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12FD9" w14:textId="7D06D2D4" w:rsidR="007A1E2D" w:rsidRPr="00F774F9" w:rsidRDefault="0060428A" w:rsidP="00F774F9">
      <w:pPr>
        <w:spacing w:line="276" w:lineRule="auto"/>
        <w:jc w:val="center"/>
        <w:rPr>
          <w:b/>
          <w:sz w:val="36"/>
          <w:szCs w:val="36"/>
          <w:lang w:val="en-US"/>
        </w:rPr>
      </w:pPr>
      <w:r w:rsidRPr="00F774F9">
        <w:rPr>
          <w:b/>
          <w:sz w:val="36"/>
          <w:szCs w:val="36"/>
          <w:lang w:val="en-US"/>
        </w:rPr>
        <w:t>DYNAMIC MODELLING AND ASSESSMENT OF MULTI-SOURCE RENEWABLE ENERGY-BASED MICROGRID SYSTEM DURING UNCERTAINTY</w:t>
      </w:r>
    </w:p>
    <w:p w14:paraId="4EEFE017" w14:textId="77777777" w:rsidR="00BF68C4" w:rsidRDefault="00BF68C4" w:rsidP="00F774F9">
      <w:pPr>
        <w:spacing w:line="276" w:lineRule="auto"/>
        <w:jc w:val="center"/>
        <w:rPr>
          <w:b/>
          <w:sz w:val="36"/>
          <w:szCs w:val="36"/>
          <w:lang w:val="en-US"/>
        </w:rPr>
      </w:pPr>
    </w:p>
    <w:p w14:paraId="21CCA537" w14:textId="628CCF0C" w:rsidR="007A1E2D" w:rsidRPr="00F774F9" w:rsidRDefault="007A1E2D" w:rsidP="00F774F9">
      <w:pPr>
        <w:spacing w:line="276" w:lineRule="auto"/>
        <w:jc w:val="center"/>
        <w:rPr>
          <w:b/>
          <w:sz w:val="36"/>
          <w:szCs w:val="36"/>
          <w:lang w:val="en-US"/>
        </w:rPr>
      </w:pPr>
      <w:bookmarkStart w:id="0" w:name="_GoBack"/>
      <w:r w:rsidRPr="00F774F9">
        <w:rPr>
          <w:b/>
          <w:sz w:val="36"/>
          <w:szCs w:val="36"/>
          <w:lang w:val="en-US"/>
        </w:rPr>
        <w:t>ODETOYE, OYINLOLU AYOMIDOTUN</w:t>
      </w:r>
    </w:p>
    <w:bookmarkEnd w:id="0"/>
    <w:p w14:paraId="42EAF3EA" w14:textId="73C2E4A5" w:rsidR="007A1E2D" w:rsidRDefault="007A1E2D" w:rsidP="00F774F9">
      <w:pPr>
        <w:spacing w:line="276" w:lineRule="auto"/>
        <w:jc w:val="center"/>
        <w:rPr>
          <w:b/>
          <w:sz w:val="36"/>
          <w:szCs w:val="36"/>
          <w:lang w:val="en-US"/>
        </w:rPr>
      </w:pPr>
      <w:r w:rsidRPr="00F774F9">
        <w:rPr>
          <w:b/>
          <w:sz w:val="36"/>
          <w:szCs w:val="36"/>
          <w:lang w:val="en-US"/>
        </w:rPr>
        <w:t>(20PGBD000143)</w:t>
      </w:r>
    </w:p>
    <w:p w14:paraId="16CA957D" w14:textId="77777777" w:rsidR="00F774F9" w:rsidRPr="00F774F9" w:rsidRDefault="00F774F9" w:rsidP="00F774F9">
      <w:pPr>
        <w:spacing w:line="276" w:lineRule="auto"/>
        <w:jc w:val="center"/>
        <w:rPr>
          <w:b/>
          <w:sz w:val="36"/>
          <w:szCs w:val="36"/>
          <w:lang w:val="en-US"/>
        </w:rPr>
      </w:pPr>
    </w:p>
    <w:p w14:paraId="65990FBD" w14:textId="77777777" w:rsidR="00E90E97" w:rsidRPr="00F774F9" w:rsidRDefault="00E90E97" w:rsidP="00F774F9">
      <w:pPr>
        <w:spacing w:line="276" w:lineRule="auto"/>
        <w:rPr>
          <w:b/>
          <w:sz w:val="36"/>
          <w:szCs w:val="36"/>
          <w:lang w:val="en-US"/>
        </w:rPr>
      </w:pPr>
    </w:p>
    <w:p w14:paraId="65D21C42" w14:textId="55A74BD8" w:rsidR="007A1E2D" w:rsidRPr="00F774F9" w:rsidRDefault="00BF68C4" w:rsidP="00F774F9">
      <w:pPr>
        <w:spacing w:line="276" w:lineRule="auto"/>
        <w:jc w:val="center"/>
        <w:rPr>
          <w:b/>
          <w:sz w:val="36"/>
          <w:szCs w:val="36"/>
          <w:lang w:val="en-US"/>
        </w:rPr>
      </w:pPr>
      <w:r>
        <w:rPr>
          <w:b/>
          <w:sz w:val="36"/>
          <w:szCs w:val="36"/>
          <w:lang w:val="en-US"/>
        </w:rPr>
        <w:t xml:space="preserve">A </w:t>
      </w:r>
      <w:r w:rsidR="00206FB7">
        <w:rPr>
          <w:b/>
          <w:sz w:val="36"/>
          <w:szCs w:val="36"/>
          <w:lang w:val="en-US"/>
        </w:rPr>
        <w:t>THESIS</w:t>
      </w:r>
      <w:r w:rsidR="00ED734C" w:rsidRPr="00F774F9">
        <w:rPr>
          <w:b/>
          <w:sz w:val="36"/>
          <w:szCs w:val="36"/>
          <w:lang w:val="en-US"/>
        </w:rPr>
        <w:t xml:space="preserve"> </w:t>
      </w:r>
      <w:r w:rsidR="007A1E2D" w:rsidRPr="00F774F9">
        <w:rPr>
          <w:b/>
          <w:sz w:val="36"/>
          <w:szCs w:val="36"/>
          <w:lang w:val="en-US"/>
        </w:rPr>
        <w:t>SUBMITTED TO THE DEPARTMENT OF ELECTRICAL AND INFORMATION ENGINEERING, COLLEGE OF ENGINEERING, LANDMARK</w:t>
      </w:r>
      <w:r w:rsidR="00ED734C" w:rsidRPr="00F774F9">
        <w:rPr>
          <w:b/>
          <w:sz w:val="36"/>
          <w:szCs w:val="36"/>
          <w:lang w:val="en-US"/>
        </w:rPr>
        <w:t xml:space="preserve"> UNIVERSITY, OMU-ARAN, KWARA STATE</w:t>
      </w:r>
    </w:p>
    <w:p w14:paraId="19356835" w14:textId="32FF04F9" w:rsidR="00E90E97" w:rsidRPr="00F774F9" w:rsidRDefault="00E90E97" w:rsidP="00F774F9">
      <w:pPr>
        <w:spacing w:line="276" w:lineRule="auto"/>
        <w:rPr>
          <w:b/>
          <w:sz w:val="36"/>
          <w:szCs w:val="36"/>
          <w:lang w:val="en-US"/>
        </w:rPr>
      </w:pPr>
    </w:p>
    <w:p w14:paraId="1C2948A1" w14:textId="25804A8D" w:rsidR="00BF68C4" w:rsidRPr="00F774F9" w:rsidRDefault="00ED734C" w:rsidP="00BF68C4">
      <w:pPr>
        <w:spacing w:line="276" w:lineRule="auto"/>
        <w:jc w:val="center"/>
        <w:rPr>
          <w:b/>
          <w:sz w:val="36"/>
          <w:szCs w:val="36"/>
          <w:lang w:val="en-US"/>
        </w:rPr>
      </w:pPr>
      <w:r w:rsidRPr="00F774F9">
        <w:rPr>
          <w:b/>
          <w:sz w:val="36"/>
          <w:szCs w:val="36"/>
          <w:lang w:val="en-US"/>
        </w:rPr>
        <w:t>IN PARTIAL FULFILMENT OF THE REQUIR</w:t>
      </w:r>
      <w:r w:rsidR="00090F71">
        <w:rPr>
          <w:b/>
          <w:sz w:val="36"/>
          <w:szCs w:val="36"/>
          <w:lang w:val="en-US"/>
        </w:rPr>
        <w:t>E</w:t>
      </w:r>
      <w:r w:rsidRPr="00F774F9">
        <w:rPr>
          <w:b/>
          <w:sz w:val="36"/>
          <w:szCs w:val="36"/>
          <w:lang w:val="en-US"/>
        </w:rPr>
        <w:t>MENTS FOR THE</w:t>
      </w:r>
      <w:r w:rsidR="00BF68C4">
        <w:rPr>
          <w:b/>
          <w:sz w:val="36"/>
          <w:szCs w:val="36"/>
          <w:lang w:val="en-US"/>
        </w:rPr>
        <w:t xml:space="preserve"> AWARD OF MASTER OF ENGINEERING (M.ENG) DEGREE </w:t>
      </w:r>
      <w:r w:rsidRPr="00F774F9">
        <w:rPr>
          <w:b/>
          <w:sz w:val="36"/>
          <w:szCs w:val="36"/>
          <w:lang w:val="en-US"/>
        </w:rPr>
        <w:t>IN ELECTRI</w:t>
      </w:r>
      <w:r w:rsidR="00E90E97" w:rsidRPr="00F774F9">
        <w:rPr>
          <w:b/>
          <w:sz w:val="36"/>
          <w:szCs w:val="36"/>
          <w:lang w:val="en-US"/>
        </w:rPr>
        <w:t>CAL AND INFORMATION ENGINEERING</w:t>
      </w:r>
      <w:r w:rsidR="00BF68C4">
        <w:rPr>
          <w:b/>
          <w:sz w:val="36"/>
          <w:szCs w:val="36"/>
          <w:lang w:val="en-US"/>
        </w:rPr>
        <w:t>,</w:t>
      </w:r>
      <w:r w:rsidR="00BF68C4" w:rsidRPr="00BF68C4">
        <w:rPr>
          <w:b/>
          <w:sz w:val="36"/>
          <w:szCs w:val="36"/>
          <w:lang w:val="en-US"/>
        </w:rPr>
        <w:t xml:space="preserve"> </w:t>
      </w:r>
      <w:r w:rsidR="00BF68C4" w:rsidRPr="00F774F9">
        <w:rPr>
          <w:b/>
          <w:sz w:val="36"/>
          <w:szCs w:val="36"/>
          <w:lang w:val="en-US"/>
        </w:rPr>
        <w:t>LANDMARK UNIVERSITY, OMU-ARAN, KWARA STATE</w:t>
      </w:r>
    </w:p>
    <w:p w14:paraId="54B66C85" w14:textId="281470CF" w:rsidR="00ED734C" w:rsidRDefault="00ED734C" w:rsidP="00F774F9">
      <w:pPr>
        <w:spacing w:line="276" w:lineRule="auto"/>
        <w:jc w:val="center"/>
        <w:rPr>
          <w:b/>
          <w:sz w:val="36"/>
          <w:szCs w:val="36"/>
          <w:lang w:val="en-US"/>
        </w:rPr>
      </w:pPr>
    </w:p>
    <w:p w14:paraId="50D2B168" w14:textId="5EC70EAE" w:rsidR="00F774F9" w:rsidRDefault="00F774F9" w:rsidP="00F774F9">
      <w:pPr>
        <w:spacing w:line="276" w:lineRule="auto"/>
        <w:jc w:val="center"/>
        <w:rPr>
          <w:b/>
          <w:sz w:val="36"/>
          <w:szCs w:val="36"/>
          <w:lang w:val="en-US"/>
        </w:rPr>
      </w:pPr>
    </w:p>
    <w:p w14:paraId="756E19A8" w14:textId="78C29502" w:rsidR="00034D5D" w:rsidRPr="00F774F9" w:rsidRDefault="00E30813" w:rsidP="00F774F9">
      <w:pPr>
        <w:spacing w:line="276" w:lineRule="auto"/>
        <w:jc w:val="center"/>
        <w:rPr>
          <w:b/>
          <w:sz w:val="36"/>
          <w:szCs w:val="36"/>
          <w:lang w:val="en-US"/>
        </w:rPr>
      </w:pPr>
      <w:r>
        <w:rPr>
          <w:b/>
          <w:sz w:val="36"/>
          <w:szCs w:val="36"/>
          <w:lang w:val="en-US"/>
        </w:rPr>
        <w:t>AUGUST</w:t>
      </w:r>
      <w:r w:rsidR="00ED734C" w:rsidRPr="00F774F9">
        <w:rPr>
          <w:b/>
          <w:sz w:val="36"/>
          <w:szCs w:val="36"/>
          <w:lang w:val="en-US"/>
        </w:rPr>
        <w:t xml:space="preserve"> 2022</w:t>
      </w:r>
    </w:p>
    <w:p w14:paraId="1C7367B4" w14:textId="71C1F6F9" w:rsidR="00ED734C" w:rsidRPr="00E90E97" w:rsidRDefault="00034D5D" w:rsidP="00E90E97">
      <w:pPr>
        <w:pStyle w:val="Heading1"/>
        <w:rPr>
          <w:lang w:val="en-US"/>
        </w:rPr>
      </w:pPr>
      <w:r>
        <w:rPr>
          <w:lang w:val="en-US"/>
        </w:rPr>
        <w:br w:type="page"/>
      </w:r>
      <w:bookmarkStart w:id="1" w:name="_Toc110502543"/>
      <w:r w:rsidR="00602ABA">
        <w:lastRenderedPageBreak/>
        <w:t>DECLARATION</w:t>
      </w:r>
      <w:bookmarkEnd w:id="1"/>
    </w:p>
    <w:p w14:paraId="763192DE" w14:textId="65307644" w:rsidR="00CC577A" w:rsidRPr="00DF2572" w:rsidRDefault="00CC577A" w:rsidP="00CC577A">
      <w:pPr>
        <w:rPr>
          <w:rFonts w:eastAsia="SimSun"/>
          <w:bCs/>
          <w:kern w:val="32"/>
          <w:szCs w:val="24"/>
          <w:lang w:eastAsia="zh-CN"/>
        </w:rPr>
      </w:pPr>
      <w:bookmarkStart w:id="2" w:name="_Toc79206117"/>
      <w:bookmarkStart w:id="3" w:name="_Toc79208717"/>
      <w:bookmarkStart w:id="4" w:name="_Toc81891296"/>
      <w:bookmarkStart w:id="5" w:name="_Toc85556487"/>
      <w:r w:rsidRPr="00DF2572">
        <w:rPr>
          <w:rFonts w:eastAsia="SimSun"/>
          <w:bCs/>
          <w:kern w:val="32"/>
          <w:szCs w:val="24"/>
          <w:lang w:eastAsia="zh-CN"/>
        </w:rPr>
        <w:t xml:space="preserve">I, </w:t>
      </w:r>
      <w:r w:rsidR="004821F5">
        <w:rPr>
          <w:rFonts w:eastAsia="SimSun"/>
          <w:bCs/>
          <w:kern w:val="32"/>
          <w:szCs w:val="24"/>
          <w:lang w:eastAsia="zh-CN"/>
        </w:rPr>
        <w:t>Oyinlolu Ayomidotun ODETOYE,</w:t>
      </w:r>
      <w:r w:rsidRPr="00DF2572">
        <w:rPr>
          <w:rFonts w:eastAsia="SimSun"/>
          <w:bCs/>
          <w:kern w:val="32"/>
          <w:szCs w:val="24"/>
          <w:lang w:eastAsia="zh-CN"/>
        </w:rPr>
        <w:t xml:space="preserve"> a M.Eng. student in the Department of Electrical and Information Engineering, Landmark University, Omu-Aran, hereby declare that this thesis entitled “</w:t>
      </w:r>
      <w:r w:rsidR="00DF2572" w:rsidRPr="00DF2572">
        <w:rPr>
          <w:b/>
          <w:szCs w:val="24"/>
          <w:lang w:val="en-US"/>
        </w:rPr>
        <w:t>DYNAMIC MODELLING AND ASSESSMENT OF MULTI-SOURCE RENEWABLE ENERGY-BASED MICROGRID SYSTEM DURING UNCERTAINTY</w:t>
      </w:r>
      <w:r w:rsidRPr="00DF2572">
        <w:rPr>
          <w:rFonts w:eastAsia="SimSun"/>
          <w:bCs/>
          <w:kern w:val="32"/>
          <w:szCs w:val="24"/>
          <w:lang w:eastAsia="zh-CN"/>
        </w:rPr>
        <w:t>”, submitted by me is based on my original work. Any material(s) obtained from other sources or work done by any other persons or institutions have been duly acknowledged.</w:t>
      </w:r>
    </w:p>
    <w:p w14:paraId="66DC4D6D" w14:textId="64F18F52" w:rsidR="00CC577A" w:rsidRPr="00DF2572" w:rsidRDefault="00CC577A" w:rsidP="00CC577A">
      <w:pPr>
        <w:rPr>
          <w:rFonts w:eastAsia="SimSun"/>
          <w:bCs/>
          <w:kern w:val="32"/>
          <w:szCs w:val="24"/>
          <w:lang w:eastAsia="zh-CN"/>
        </w:rPr>
      </w:pPr>
    </w:p>
    <w:p w14:paraId="513DF5C0" w14:textId="15EC6B88" w:rsidR="00DF2572" w:rsidRDefault="00DF2572" w:rsidP="00CC577A">
      <w:pPr>
        <w:rPr>
          <w:rFonts w:eastAsia="SimSun"/>
          <w:bCs/>
          <w:kern w:val="32"/>
          <w:szCs w:val="24"/>
          <w:lang w:eastAsia="zh-CN"/>
        </w:rPr>
      </w:pPr>
      <w:r w:rsidRPr="00DF2572">
        <w:rPr>
          <w:rFonts w:eastAsia="SimSun"/>
          <w:bCs/>
          <w:kern w:val="32"/>
          <w:szCs w:val="24"/>
          <w:lang w:eastAsia="zh-CN"/>
        </w:rPr>
        <w:t>ODETOYE, Oyinlolu Ayomidotun</w:t>
      </w:r>
      <w:r>
        <w:rPr>
          <w:rFonts w:eastAsia="SimSun"/>
          <w:bCs/>
          <w:kern w:val="32"/>
          <w:szCs w:val="24"/>
          <w:lang w:eastAsia="zh-CN"/>
        </w:rPr>
        <w:t xml:space="preserve"> </w:t>
      </w:r>
    </w:p>
    <w:p w14:paraId="29E60F15" w14:textId="6B7EB9F6" w:rsidR="00DF2572" w:rsidRPr="00DF2572" w:rsidRDefault="00DF2572" w:rsidP="00CC577A">
      <w:pPr>
        <w:rPr>
          <w:rFonts w:eastAsia="SimSun"/>
          <w:bCs/>
          <w:kern w:val="32"/>
          <w:szCs w:val="24"/>
          <w:lang w:eastAsia="zh-CN"/>
        </w:rPr>
      </w:pPr>
      <w:r>
        <w:rPr>
          <w:rFonts w:eastAsia="SimSun"/>
          <w:bCs/>
          <w:kern w:val="32"/>
          <w:szCs w:val="24"/>
          <w:lang w:eastAsia="zh-CN"/>
        </w:rPr>
        <w:t>20PGBD000143</w:t>
      </w:r>
    </w:p>
    <w:p w14:paraId="29E6E449" w14:textId="77777777" w:rsidR="00CC577A" w:rsidRPr="00DF2572" w:rsidRDefault="00CC577A" w:rsidP="00CC577A">
      <w:pPr>
        <w:rPr>
          <w:rFonts w:eastAsia="SimSun"/>
          <w:bCs/>
          <w:kern w:val="32"/>
          <w:szCs w:val="24"/>
          <w:lang w:eastAsia="zh-CN"/>
        </w:rPr>
      </w:pPr>
      <w:r w:rsidRPr="00DF2572">
        <w:rPr>
          <w:rFonts w:eastAsia="SimSun"/>
          <w:bCs/>
          <w:kern w:val="32"/>
          <w:szCs w:val="24"/>
          <w:lang w:eastAsia="zh-CN"/>
        </w:rPr>
        <w:t>----------------------------------------</w:t>
      </w:r>
    </w:p>
    <w:p w14:paraId="19D08855" w14:textId="77777777" w:rsidR="00CC577A" w:rsidRPr="00DF2572" w:rsidRDefault="00CC577A" w:rsidP="00CC577A">
      <w:pPr>
        <w:rPr>
          <w:rFonts w:eastAsia="SimSun"/>
          <w:bCs/>
          <w:kern w:val="32"/>
          <w:szCs w:val="24"/>
          <w:lang w:eastAsia="zh-CN"/>
        </w:rPr>
      </w:pPr>
      <w:r w:rsidRPr="00DF2572">
        <w:rPr>
          <w:rFonts w:eastAsia="SimSun"/>
          <w:bCs/>
          <w:kern w:val="32"/>
          <w:szCs w:val="24"/>
          <w:lang w:eastAsia="zh-CN"/>
        </w:rPr>
        <w:t>Student’s Full Name and Matriculation number</w:t>
      </w:r>
    </w:p>
    <w:p w14:paraId="700AE71D" w14:textId="77777777" w:rsidR="00CC577A" w:rsidRPr="00FC79C2" w:rsidRDefault="00CC577A" w:rsidP="00CC577A">
      <w:pPr>
        <w:rPr>
          <w:rFonts w:eastAsia="SimSun"/>
          <w:bCs/>
          <w:kern w:val="32"/>
          <w:sz w:val="32"/>
          <w:szCs w:val="32"/>
          <w:lang w:eastAsia="zh-CN"/>
        </w:rPr>
      </w:pPr>
      <w:r w:rsidRPr="00FC79C2">
        <w:rPr>
          <w:rFonts w:eastAsia="SimSun"/>
          <w:bCs/>
          <w:kern w:val="32"/>
          <w:sz w:val="32"/>
          <w:szCs w:val="32"/>
          <w:lang w:eastAsia="zh-CN"/>
        </w:rPr>
        <w:t xml:space="preserve"> </w:t>
      </w:r>
    </w:p>
    <w:p w14:paraId="6D513340" w14:textId="77777777" w:rsidR="00CC577A" w:rsidRPr="00FC79C2" w:rsidRDefault="00CC577A" w:rsidP="00CC577A">
      <w:pPr>
        <w:rPr>
          <w:rFonts w:eastAsia="SimSun"/>
          <w:bCs/>
          <w:kern w:val="32"/>
          <w:sz w:val="32"/>
          <w:szCs w:val="32"/>
          <w:lang w:eastAsia="zh-CN"/>
        </w:rPr>
      </w:pPr>
      <w:r w:rsidRPr="00FC79C2">
        <w:rPr>
          <w:rFonts w:eastAsia="SimSun"/>
          <w:bCs/>
          <w:kern w:val="32"/>
          <w:sz w:val="32"/>
          <w:szCs w:val="32"/>
          <w:lang w:eastAsia="zh-CN"/>
        </w:rPr>
        <w:t>----------------------</w:t>
      </w:r>
    </w:p>
    <w:p w14:paraId="5F2817DB" w14:textId="77777777" w:rsidR="00CC577A" w:rsidRPr="00DF2572" w:rsidRDefault="00CC577A" w:rsidP="00CC577A">
      <w:pPr>
        <w:rPr>
          <w:rFonts w:eastAsia="SimSun"/>
          <w:bCs/>
          <w:kern w:val="32"/>
          <w:szCs w:val="24"/>
          <w:lang w:eastAsia="zh-CN"/>
        </w:rPr>
      </w:pPr>
      <w:r w:rsidRPr="00DF2572">
        <w:rPr>
          <w:rFonts w:eastAsia="SimSun"/>
          <w:bCs/>
          <w:kern w:val="32"/>
          <w:szCs w:val="24"/>
          <w:lang w:eastAsia="zh-CN"/>
        </w:rPr>
        <w:t>Signature &amp; Date</w:t>
      </w:r>
    </w:p>
    <w:p w14:paraId="56135366" w14:textId="77777777" w:rsidR="00DF2572" w:rsidRDefault="00DF2572">
      <w:pPr>
        <w:spacing w:line="259" w:lineRule="auto"/>
        <w:jc w:val="left"/>
        <w:rPr>
          <w:rFonts w:eastAsiaTheme="majorEastAsia" w:cstheme="majorBidi"/>
          <w:b/>
          <w:sz w:val="32"/>
          <w:szCs w:val="32"/>
        </w:rPr>
      </w:pPr>
      <w:r>
        <w:br w:type="page"/>
      </w:r>
    </w:p>
    <w:p w14:paraId="1AA568B5" w14:textId="17A2A7FD" w:rsidR="00810A65" w:rsidRPr="001F7151" w:rsidRDefault="00810A65" w:rsidP="004821F5">
      <w:pPr>
        <w:pStyle w:val="Heading1"/>
        <w:spacing w:line="240" w:lineRule="auto"/>
      </w:pPr>
      <w:bookmarkStart w:id="6" w:name="_Toc110502544"/>
      <w:r w:rsidRPr="001F7151">
        <w:lastRenderedPageBreak/>
        <w:t>CERTIFICATION</w:t>
      </w:r>
      <w:bookmarkEnd w:id="2"/>
      <w:bookmarkEnd w:id="3"/>
      <w:bookmarkEnd w:id="4"/>
      <w:bookmarkEnd w:id="5"/>
      <w:bookmarkEnd w:id="6"/>
    </w:p>
    <w:p w14:paraId="0D5D1958" w14:textId="3DB3AEB4" w:rsidR="004821F5" w:rsidRPr="004821F5" w:rsidRDefault="004821F5" w:rsidP="004821F5">
      <w:pPr>
        <w:spacing w:after="0"/>
        <w:ind w:right="6"/>
        <w:rPr>
          <w:rFonts w:eastAsia="Times New Roman" w:cs="Times New Roman"/>
          <w:szCs w:val="24"/>
          <w:lang w:val="en-US"/>
        </w:rPr>
      </w:pPr>
      <w:r w:rsidRPr="004821F5">
        <w:rPr>
          <w:rFonts w:eastAsia="Times New Roman" w:cs="Times New Roman"/>
          <w:szCs w:val="24"/>
          <w:lang w:val="en-US"/>
        </w:rPr>
        <w:t xml:space="preserve">This is to certify that this thesis has been read and approved as meeting the requirements of the Department of </w:t>
      </w:r>
      <w:r>
        <w:rPr>
          <w:rFonts w:eastAsia="Times New Roman" w:cs="Times New Roman"/>
          <w:szCs w:val="24"/>
          <w:lang w:val="en-US"/>
        </w:rPr>
        <w:t>Electrical and Information Engineering,</w:t>
      </w:r>
      <w:r w:rsidRPr="004821F5">
        <w:rPr>
          <w:rFonts w:eastAsia="Times New Roman" w:cs="Times New Roman"/>
          <w:szCs w:val="24"/>
          <w:lang w:val="en-US"/>
        </w:rPr>
        <w:t xml:space="preserve"> Landmark University, Omu-Aran, Nigeria, for the Award of </w:t>
      </w:r>
      <w:r>
        <w:rPr>
          <w:rFonts w:eastAsia="Times New Roman" w:cs="Times New Roman"/>
          <w:szCs w:val="24"/>
          <w:lang w:val="en-US"/>
        </w:rPr>
        <w:t>Master of Engineering (M.Eng.)</w:t>
      </w:r>
      <w:r w:rsidRPr="004821F5">
        <w:rPr>
          <w:rFonts w:eastAsia="Times New Roman" w:cs="Times New Roman"/>
          <w:szCs w:val="24"/>
          <w:lang w:val="en-US"/>
        </w:rPr>
        <w:t>.</w:t>
      </w:r>
    </w:p>
    <w:p w14:paraId="47A20C73" w14:textId="77777777" w:rsidR="004821F5" w:rsidRPr="004821F5" w:rsidRDefault="004821F5" w:rsidP="004821F5">
      <w:pPr>
        <w:spacing w:after="0" w:line="200" w:lineRule="exact"/>
        <w:jc w:val="left"/>
        <w:rPr>
          <w:rFonts w:eastAsia="Times New Roman" w:cs="Times New Roman"/>
          <w:szCs w:val="24"/>
          <w:lang w:val="en-US"/>
        </w:rPr>
      </w:pPr>
    </w:p>
    <w:p w14:paraId="2EC47C8F" w14:textId="77777777" w:rsidR="004821F5" w:rsidRPr="004821F5" w:rsidRDefault="004821F5" w:rsidP="004821F5">
      <w:pPr>
        <w:spacing w:after="0" w:line="200" w:lineRule="exact"/>
        <w:jc w:val="left"/>
        <w:rPr>
          <w:rFonts w:eastAsia="Times New Roman" w:cs="Times New Roman"/>
          <w:szCs w:val="24"/>
          <w:lang w:val="en-US"/>
        </w:rPr>
      </w:pPr>
    </w:p>
    <w:p w14:paraId="42EB3930" w14:textId="77777777" w:rsidR="004821F5" w:rsidRPr="004821F5" w:rsidRDefault="004821F5" w:rsidP="004821F5">
      <w:pPr>
        <w:spacing w:after="0" w:line="362" w:lineRule="exact"/>
        <w:jc w:val="left"/>
        <w:rPr>
          <w:rFonts w:eastAsia="Times New Roman" w:cs="Times New Roman"/>
          <w:szCs w:val="24"/>
          <w:lang w:val="en-US"/>
        </w:rPr>
      </w:pPr>
    </w:p>
    <w:p w14:paraId="7F73A366" w14:textId="4AD37931" w:rsidR="004821F5" w:rsidRDefault="004821F5" w:rsidP="004821F5">
      <w:pPr>
        <w:spacing w:after="0" w:line="200" w:lineRule="exact"/>
        <w:jc w:val="left"/>
        <w:rPr>
          <w:rFonts w:eastAsia="Times New Roman" w:cs="Times New Roman"/>
          <w:szCs w:val="24"/>
          <w:lang w:val="en-US"/>
        </w:rPr>
      </w:pPr>
    </w:p>
    <w:p w14:paraId="2DDD2EF5" w14:textId="6F628949" w:rsidR="007B0F4E" w:rsidRDefault="007B0F4E" w:rsidP="004821F5">
      <w:pPr>
        <w:spacing w:after="0" w:line="200" w:lineRule="exact"/>
        <w:jc w:val="left"/>
        <w:rPr>
          <w:rFonts w:eastAsia="Times New Roman" w:cs="Times New Roman"/>
          <w:szCs w:val="24"/>
          <w:lang w:val="en-US"/>
        </w:rPr>
      </w:pPr>
    </w:p>
    <w:p w14:paraId="3239A696" w14:textId="2473EAFD" w:rsidR="007B0F4E" w:rsidRDefault="007B0F4E" w:rsidP="004821F5">
      <w:pPr>
        <w:spacing w:after="0" w:line="200" w:lineRule="exact"/>
        <w:jc w:val="left"/>
        <w:rPr>
          <w:rFonts w:eastAsia="Times New Roman" w:cs="Times New Roman"/>
          <w:szCs w:val="24"/>
          <w:lang w:val="en-US"/>
        </w:rPr>
      </w:pPr>
    </w:p>
    <w:p w14:paraId="0E0AC0E2" w14:textId="64DDBE27" w:rsidR="007B0F4E" w:rsidRDefault="007B0F4E" w:rsidP="004821F5">
      <w:pPr>
        <w:spacing w:after="0" w:line="200" w:lineRule="exact"/>
        <w:jc w:val="left"/>
        <w:rPr>
          <w:rFonts w:eastAsia="Times New Roman" w:cs="Times New Roman"/>
          <w:szCs w:val="24"/>
          <w:lang w:val="en-US"/>
        </w:rPr>
      </w:pPr>
    </w:p>
    <w:p w14:paraId="29D4C951" w14:textId="7B50ECCE" w:rsidR="007B0F4E" w:rsidRDefault="007B0F4E" w:rsidP="004821F5">
      <w:pPr>
        <w:spacing w:after="0" w:line="200" w:lineRule="exact"/>
        <w:jc w:val="left"/>
        <w:rPr>
          <w:rFonts w:eastAsia="Times New Roman" w:cs="Times New Roman"/>
          <w:szCs w:val="24"/>
          <w:lang w:val="en-US"/>
        </w:rPr>
      </w:pPr>
    </w:p>
    <w:p w14:paraId="6A9988FA" w14:textId="5C5C6B29" w:rsidR="007B0F4E" w:rsidRDefault="007B0F4E" w:rsidP="004821F5">
      <w:pPr>
        <w:spacing w:after="0" w:line="200" w:lineRule="exact"/>
        <w:jc w:val="left"/>
        <w:rPr>
          <w:rFonts w:eastAsia="Times New Roman" w:cs="Times New Roman"/>
          <w:szCs w:val="24"/>
          <w:lang w:val="en-US"/>
        </w:rPr>
      </w:pPr>
    </w:p>
    <w:p w14:paraId="6087E1DA" w14:textId="0830034A" w:rsidR="007B0F4E" w:rsidRDefault="007B0F4E" w:rsidP="004821F5">
      <w:pPr>
        <w:spacing w:after="0" w:line="200" w:lineRule="exact"/>
        <w:jc w:val="left"/>
        <w:rPr>
          <w:rFonts w:eastAsia="Times New Roman" w:cs="Times New Roman"/>
          <w:szCs w:val="24"/>
          <w:lang w:val="en-US"/>
        </w:rPr>
      </w:pPr>
      <w:r>
        <w:rPr>
          <w:rFonts w:eastAsia="Times New Roman" w:cs="Times New Roman"/>
          <w:szCs w:val="24"/>
          <w:lang w:val="en-US"/>
        </w:rPr>
        <w:t>------------------------------------</w:t>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t>-----------------------------------</w:t>
      </w:r>
    </w:p>
    <w:p w14:paraId="6582A38E" w14:textId="5FA5BED9" w:rsidR="007B0F4E" w:rsidRDefault="007B0F4E" w:rsidP="004821F5">
      <w:pPr>
        <w:spacing w:after="0" w:line="200" w:lineRule="exact"/>
        <w:jc w:val="left"/>
        <w:rPr>
          <w:rFonts w:eastAsia="Times New Roman" w:cs="Times New Roman"/>
          <w:szCs w:val="24"/>
          <w:lang w:val="en-US"/>
        </w:rPr>
      </w:pPr>
      <w:r>
        <w:rPr>
          <w:rFonts w:eastAsia="Times New Roman" w:cs="Times New Roman"/>
          <w:szCs w:val="24"/>
          <w:lang w:val="en-US"/>
        </w:rPr>
        <w:t xml:space="preserve"> Supervisor </w:t>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t xml:space="preserve">            Signature and Date</w:t>
      </w:r>
    </w:p>
    <w:p w14:paraId="443A6BAC" w14:textId="3E3A8F69" w:rsidR="007B0F4E" w:rsidRDefault="007B0F4E" w:rsidP="004821F5">
      <w:pPr>
        <w:spacing w:after="0" w:line="200" w:lineRule="exact"/>
        <w:jc w:val="left"/>
        <w:rPr>
          <w:rFonts w:eastAsia="Times New Roman" w:cs="Times New Roman"/>
          <w:szCs w:val="24"/>
          <w:lang w:val="en-US"/>
        </w:rPr>
      </w:pPr>
    </w:p>
    <w:p w14:paraId="679C8922" w14:textId="1ED03F2A" w:rsidR="007B0F4E" w:rsidRDefault="007B0F4E" w:rsidP="004821F5">
      <w:pPr>
        <w:spacing w:after="0" w:line="200" w:lineRule="exact"/>
        <w:jc w:val="left"/>
        <w:rPr>
          <w:rFonts w:eastAsia="Times New Roman" w:cs="Times New Roman"/>
          <w:szCs w:val="24"/>
          <w:lang w:val="en-US"/>
        </w:rPr>
      </w:pPr>
    </w:p>
    <w:p w14:paraId="3614034D" w14:textId="41A95361" w:rsidR="007B0F4E" w:rsidRDefault="007B0F4E" w:rsidP="004821F5">
      <w:pPr>
        <w:spacing w:after="0" w:line="200" w:lineRule="exact"/>
        <w:jc w:val="left"/>
        <w:rPr>
          <w:rFonts w:eastAsia="Times New Roman" w:cs="Times New Roman"/>
          <w:szCs w:val="24"/>
          <w:lang w:val="en-US"/>
        </w:rPr>
      </w:pPr>
    </w:p>
    <w:p w14:paraId="17F08117" w14:textId="041D4765" w:rsidR="007B0F4E" w:rsidRDefault="007B0F4E" w:rsidP="004821F5">
      <w:pPr>
        <w:spacing w:after="0" w:line="200" w:lineRule="exact"/>
        <w:jc w:val="left"/>
        <w:rPr>
          <w:rFonts w:eastAsia="Times New Roman" w:cs="Times New Roman"/>
          <w:szCs w:val="24"/>
          <w:lang w:val="en-US"/>
        </w:rPr>
      </w:pPr>
    </w:p>
    <w:p w14:paraId="7248A24A" w14:textId="06DFA0E3" w:rsidR="007B0F4E" w:rsidRDefault="007B0F4E" w:rsidP="004821F5">
      <w:pPr>
        <w:spacing w:after="0" w:line="200" w:lineRule="exact"/>
        <w:jc w:val="left"/>
        <w:rPr>
          <w:rFonts w:eastAsia="Times New Roman" w:cs="Times New Roman"/>
          <w:szCs w:val="24"/>
          <w:lang w:val="en-US"/>
        </w:rPr>
      </w:pPr>
    </w:p>
    <w:p w14:paraId="4C2BE727" w14:textId="14A73680" w:rsidR="007B0F4E" w:rsidRDefault="007B0F4E" w:rsidP="004821F5">
      <w:pPr>
        <w:spacing w:after="0" w:line="200" w:lineRule="exact"/>
        <w:jc w:val="left"/>
        <w:rPr>
          <w:rFonts w:eastAsia="Times New Roman" w:cs="Times New Roman"/>
          <w:szCs w:val="24"/>
          <w:lang w:val="en-US"/>
        </w:rPr>
      </w:pPr>
    </w:p>
    <w:p w14:paraId="6DE28418" w14:textId="32C73CAB" w:rsidR="007B0F4E" w:rsidRDefault="007B0F4E" w:rsidP="004821F5">
      <w:pPr>
        <w:spacing w:after="0" w:line="200" w:lineRule="exact"/>
        <w:jc w:val="left"/>
        <w:rPr>
          <w:rFonts w:eastAsia="Times New Roman" w:cs="Times New Roman"/>
          <w:szCs w:val="24"/>
          <w:lang w:val="en-US"/>
        </w:rPr>
      </w:pPr>
    </w:p>
    <w:p w14:paraId="206F2F8F" w14:textId="0F5BBC74" w:rsidR="007B0F4E" w:rsidRDefault="007B0F4E" w:rsidP="004821F5">
      <w:pPr>
        <w:spacing w:after="0" w:line="200" w:lineRule="exact"/>
        <w:jc w:val="left"/>
        <w:rPr>
          <w:rFonts w:eastAsia="Times New Roman" w:cs="Times New Roman"/>
          <w:szCs w:val="24"/>
          <w:lang w:val="en-US"/>
        </w:rPr>
      </w:pPr>
    </w:p>
    <w:p w14:paraId="4D59587A" w14:textId="17201A37" w:rsidR="007B0F4E" w:rsidRDefault="007B0F4E" w:rsidP="004821F5">
      <w:pPr>
        <w:spacing w:after="0" w:line="200" w:lineRule="exact"/>
        <w:jc w:val="left"/>
        <w:rPr>
          <w:rFonts w:eastAsia="Times New Roman" w:cs="Times New Roman"/>
          <w:szCs w:val="24"/>
          <w:lang w:val="en-US"/>
        </w:rPr>
      </w:pPr>
    </w:p>
    <w:p w14:paraId="459A76F0" w14:textId="67BCD0C0" w:rsidR="007B0F4E" w:rsidRDefault="007B0F4E" w:rsidP="004821F5">
      <w:pPr>
        <w:spacing w:after="0" w:line="200" w:lineRule="exact"/>
        <w:jc w:val="left"/>
        <w:rPr>
          <w:rFonts w:eastAsia="Times New Roman" w:cs="Times New Roman"/>
          <w:szCs w:val="24"/>
          <w:lang w:val="en-US"/>
        </w:rPr>
      </w:pPr>
    </w:p>
    <w:p w14:paraId="51A14039" w14:textId="0C97BDF9" w:rsidR="007B0F4E" w:rsidRDefault="007B0F4E" w:rsidP="004821F5">
      <w:pPr>
        <w:spacing w:after="0" w:line="200" w:lineRule="exact"/>
        <w:jc w:val="left"/>
        <w:rPr>
          <w:rFonts w:eastAsia="Times New Roman" w:cs="Times New Roman"/>
          <w:szCs w:val="24"/>
          <w:lang w:val="en-US"/>
        </w:rPr>
      </w:pPr>
    </w:p>
    <w:p w14:paraId="345F9E06" w14:textId="4AADFF24" w:rsidR="007B0F4E" w:rsidRDefault="007B0F4E" w:rsidP="004821F5">
      <w:pPr>
        <w:spacing w:after="0" w:line="200" w:lineRule="exact"/>
        <w:jc w:val="left"/>
        <w:rPr>
          <w:rFonts w:eastAsia="Times New Roman" w:cs="Times New Roman"/>
          <w:szCs w:val="24"/>
          <w:lang w:val="en-US"/>
        </w:rPr>
      </w:pPr>
      <w:r>
        <w:rPr>
          <w:rFonts w:eastAsia="Times New Roman" w:cs="Times New Roman"/>
          <w:szCs w:val="24"/>
          <w:lang w:val="en-US"/>
        </w:rPr>
        <w:t>------------------------------------</w:t>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t>---------------------------------</w:t>
      </w:r>
    </w:p>
    <w:p w14:paraId="1021E8E4" w14:textId="5FB7B6DB" w:rsidR="007B0F4E" w:rsidRDefault="007B0F4E" w:rsidP="004821F5">
      <w:pPr>
        <w:spacing w:after="0" w:line="200" w:lineRule="exact"/>
        <w:jc w:val="left"/>
        <w:rPr>
          <w:rFonts w:eastAsia="Times New Roman" w:cs="Times New Roman"/>
          <w:szCs w:val="24"/>
          <w:lang w:val="en-US"/>
        </w:rPr>
      </w:pPr>
      <w:r>
        <w:rPr>
          <w:rFonts w:eastAsia="Times New Roman" w:cs="Times New Roman"/>
          <w:szCs w:val="24"/>
          <w:lang w:val="en-US"/>
        </w:rPr>
        <w:t xml:space="preserve">Head of Department </w:t>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t>Signature and Date</w:t>
      </w:r>
    </w:p>
    <w:p w14:paraId="25EEE07A" w14:textId="7E893916" w:rsidR="007B0F4E" w:rsidRDefault="007B0F4E" w:rsidP="004821F5">
      <w:pPr>
        <w:spacing w:after="0" w:line="200" w:lineRule="exact"/>
        <w:jc w:val="left"/>
        <w:rPr>
          <w:rFonts w:eastAsia="Times New Roman" w:cs="Times New Roman"/>
          <w:szCs w:val="24"/>
          <w:lang w:val="en-US"/>
        </w:rPr>
      </w:pPr>
    </w:p>
    <w:p w14:paraId="715FF74D" w14:textId="71948DB7" w:rsidR="007B0F4E" w:rsidRDefault="007B0F4E" w:rsidP="004821F5">
      <w:pPr>
        <w:spacing w:after="0" w:line="200" w:lineRule="exact"/>
        <w:jc w:val="left"/>
        <w:rPr>
          <w:rFonts w:eastAsia="Times New Roman" w:cs="Times New Roman"/>
          <w:szCs w:val="24"/>
          <w:lang w:val="en-US"/>
        </w:rPr>
      </w:pPr>
    </w:p>
    <w:p w14:paraId="6B0DA4A2" w14:textId="5F4F53E6" w:rsidR="007B0F4E" w:rsidRDefault="007B0F4E" w:rsidP="004821F5">
      <w:pPr>
        <w:spacing w:after="0" w:line="200" w:lineRule="exact"/>
        <w:jc w:val="left"/>
        <w:rPr>
          <w:rFonts w:eastAsia="Times New Roman" w:cs="Times New Roman"/>
          <w:szCs w:val="24"/>
          <w:lang w:val="en-US"/>
        </w:rPr>
      </w:pPr>
    </w:p>
    <w:p w14:paraId="01527B65" w14:textId="78EEF511" w:rsidR="007B0F4E" w:rsidRDefault="007B0F4E" w:rsidP="004821F5">
      <w:pPr>
        <w:spacing w:after="0" w:line="200" w:lineRule="exact"/>
        <w:jc w:val="left"/>
        <w:rPr>
          <w:rFonts w:eastAsia="Times New Roman" w:cs="Times New Roman"/>
          <w:szCs w:val="24"/>
          <w:lang w:val="en-US"/>
        </w:rPr>
      </w:pPr>
    </w:p>
    <w:p w14:paraId="023C988C" w14:textId="150AA131" w:rsidR="007B0F4E" w:rsidRDefault="007B0F4E" w:rsidP="004821F5">
      <w:pPr>
        <w:spacing w:after="0" w:line="200" w:lineRule="exact"/>
        <w:jc w:val="left"/>
        <w:rPr>
          <w:rFonts w:eastAsia="Times New Roman" w:cs="Times New Roman"/>
          <w:szCs w:val="24"/>
          <w:lang w:val="en-US"/>
        </w:rPr>
      </w:pPr>
    </w:p>
    <w:p w14:paraId="53D699A9" w14:textId="7DECD1C1" w:rsidR="007B0F4E" w:rsidRDefault="007B0F4E" w:rsidP="004821F5">
      <w:pPr>
        <w:spacing w:after="0" w:line="200" w:lineRule="exact"/>
        <w:jc w:val="left"/>
        <w:rPr>
          <w:rFonts w:eastAsia="Times New Roman" w:cs="Times New Roman"/>
          <w:szCs w:val="24"/>
          <w:lang w:val="en-US"/>
        </w:rPr>
      </w:pPr>
    </w:p>
    <w:p w14:paraId="0137E515" w14:textId="3E192E53" w:rsidR="007B0F4E" w:rsidRDefault="007B0F4E" w:rsidP="004821F5">
      <w:pPr>
        <w:spacing w:after="0" w:line="200" w:lineRule="exact"/>
        <w:jc w:val="left"/>
        <w:rPr>
          <w:rFonts w:eastAsia="Times New Roman" w:cs="Times New Roman"/>
          <w:szCs w:val="24"/>
          <w:lang w:val="en-US"/>
        </w:rPr>
      </w:pPr>
    </w:p>
    <w:p w14:paraId="67130383" w14:textId="23B15E93" w:rsidR="007B0F4E" w:rsidRDefault="007B0F4E" w:rsidP="004821F5">
      <w:pPr>
        <w:spacing w:after="0" w:line="200" w:lineRule="exact"/>
        <w:jc w:val="left"/>
        <w:rPr>
          <w:rFonts w:eastAsia="Times New Roman" w:cs="Times New Roman"/>
          <w:szCs w:val="24"/>
          <w:lang w:val="en-US"/>
        </w:rPr>
      </w:pPr>
    </w:p>
    <w:p w14:paraId="6685EED0" w14:textId="1CCD52F8" w:rsidR="007B0F4E" w:rsidRDefault="007B0F4E" w:rsidP="004821F5">
      <w:pPr>
        <w:spacing w:after="0" w:line="200" w:lineRule="exact"/>
        <w:jc w:val="left"/>
        <w:rPr>
          <w:rFonts w:eastAsia="Times New Roman" w:cs="Times New Roman"/>
          <w:szCs w:val="24"/>
          <w:lang w:val="en-US"/>
        </w:rPr>
      </w:pPr>
    </w:p>
    <w:p w14:paraId="0BF4AF11" w14:textId="401DF095" w:rsidR="007B0F4E" w:rsidRDefault="007B0F4E" w:rsidP="004821F5">
      <w:pPr>
        <w:spacing w:after="0" w:line="200" w:lineRule="exact"/>
        <w:jc w:val="left"/>
        <w:rPr>
          <w:rFonts w:eastAsia="Times New Roman" w:cs="Times New Roman"/>
          <w:szCs w:val="24"/>
          <w:lang w:val="en-US"/>
        </w:rPr>
      </w:pPr>
    </w:p>
    <w:p w14:paraId="57A36B3B" w14:textId="11794A58" w:rsidR="007B0F4E" w:rsidRDefault="007B0F4E" w:rsidP="004821F5">
      <w:pPr>
        <w:spacing w:after="0" w:line="200" w:lineRule="exact"/>
        <w:jc w:val="left"/>
        <w:rPr>
          <w:rFonts w:eastAsia="Times New Roman" w:cs="Times New Roman"/>
          <w:szCs w:val="24"/>
          <w:lang w:val="en-US"/>
        </w:rPr>
      </w:pPr>
    </w:p>
    <w:p w14:paraId="7525D720" w14:textId="0325DADA" w:rsidR="007B0F4E" w:rsidRDefault="007B0F4E" w:rsidP="004821F5">
      <w:pPr>
        <w:spacing w:after="0" w:line="200" w:lineRule="exact"/>
        <w:jc w:val="left"/>
        <w:rPr>
          <w:rFonts w:eastAsia="Times New Roman" w:cs="Times New Roman"/>
          <w:szCs w:val="24"/>
          <w:lang w:val="en-US"/>
        </w:rPr>
      </w:pPr>
      <w:r>
        <w:rPr>
          <w:rFonts w:eastAsia="Times New Roman" w:cs="Times New Roman"/>
          <w:szCs w:val="24"/>
          <w:lang w:val="en-US"/>
        </w:rPr>
        <w:t>-----------------------------------</w:t>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t>---------------------------------</w:t>
      </w:r>
    </w:p>
    <w:p w14:paraId="2BD811FD" w14:textId="755914EB" w:rsidR="007B0F4E" w:rsidRDefault="007B0F4E" w:rsidP="004821F5">
      <w:pPr>
        <w:spacing w:after="0" w:line="200" w:lineRule="exact"/>
        <w:jc w:val="left"/>
        <w:rPr>
          <w:rFonts w:eastAsia="Times New Roman" w:cs="Times New Roman"/>
          <w:szCs w:val="24"/>
          <w:lang w:val="en-US"/>
        </w:rPr>
      </w:pPr>
      <w:r>
        <w:rPr>
          <w:rFonts w:eastAsia="Times New Roman" w:cs="Times New Roman"/>
          <w:szCs w:val="24"/>
          <w:lang w:val="en-US"/>
        </w:rPr>
        <w:t xml:space="preserve">External Examiner </w:t>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r>
      <w:r>
        <w:rPr>
          <w:rFonts w:eastAsia="Times New Roman" w:cs="Times New Roman"/>
          <w:szCs w:val="24"/>
          <w:lang w:val="en-US"/>
        </w:rPr>
        <w:tab/>
        <w:t xml:space="preserve">  Signature and Date</w:t>
      </w:r>
    </w:p>
    <w:p w14:paraId="38008CF7" w14:textId="4120A9D8" w:rsidR="007B0F4E" w:rsidRDefault="007B0F4E" w:rsidP="004821F5">
      <w:pPr>
        <w:spacing w:after="0" w:line="200" w:lineRule="exact"/>
        <w:jc w:val="left"/>
        <w:rPr>
          <w:rFonts w:eastAsia="Times New Roman" w:cs="Times New Roman"/>
          <w:szCs w:val="24"/>
          <w:lang w:val="en-US"/>
        </w:rPr>
      </w:pPr>
    </w:p>
    <w:p w14:paraId="1D20AD0C" w14:textId="3EEB275F" w:rsidR="007B0F4E" w:rsidRDefault="007B0F4E" w:rsidP="004821F5">
      <w:pPr>
        <w:spacing w:after="0" w:line="200" w:lineRule="exact"/>
        <w:jc w:val="left"/>
        <w:rPr>
          <w:rFonts w:eastAsia="Times New Roman" w:cs="Times New Roman"/>
          <w:szCs w:val="24"/>
          <w:lang w:val="en-US"/>
        </w:rPr>
      </w:pPr>
    </w:p>
    <w:p w14:paraId="5E5235F6" w14:textId="7E8BA379" w:rsidR="007B0F4E" w:rsidRDefault="007B0F4E" w:rsidP="004821F5">
      <w:pPr>
        <w:spacing w:after="0" w:line="200" w:lineRule="exact"/>
        <w:jc w:val="left"/>
        <w:rPr>
          <w:rFonts w:eastAsia="Times New Roman" w:cs="Times New Roman"/>
          <w:szCs w:val="24"/>
          <w:lang w:val="en-US"/>
        </w:rPr>
      </w:pPr>
    </w:p>
    <w:p w14:paraId="4E0B5CC1" w14:textId="7833A16F" w:rsidR="007B0F4E" w:rsidRDefault="007B0F4E" w:rsidP="004821F5">
      <w:pPr>
        <w:spacing w:after="0" w:line="200" w:lineRule="exact"/>
        <w:jc w:val="left"/>
        <w:rPr>
          <w:rFonts w:eastAsia="Times New Roman" w:cs="Times New Roman"/>
          <w:szCs w:val="24"/>
          <w:lang w:val="en-US"/>
        </w:rPr>
      </w:pPr>
    </w:p>
    <w:p w14:paraId="6FC509CB" w14:textId="77777777" w:rsidR="007B0F4E" w:rsidRPr="004821F5" w:rsidRDefault="007B0F4E" w:rsidP="004821F5">
      <w:pPr>
        <w:spacing w:after="0" w:line="200" w:lineRule="exact"/>
        <w:jc w:val="left"/>
        <w:rPr>
          <w:rFonts w:eastAsia="Times New Roman" w:cs="Times New Roman"/>
          <w:szCs w:val="24"/>
          <w:lang w:val="en-US"/>
        </w:rPr>
      </w:pPr>
    </w:p>
    <w:p w14:paraId="798024C7" w14:textId="77777777" w:rsidR="004821F5" w:rsidRDefault="004821F5">
      <w:pPr>
        <w:spacing w:line="259" w:lineRule="auto"/>
        <w:jc w:val="left"/>
        <w:rPr>
          <w:rFonts w:eastAsiaTheme="majorEastAsia" w:cstheme="majorBidi"/>
          <w:b/>
          <w:sz w:val="32"/>
          <w:szCs w:val="32"/>
        </w:rPr>
      </w:pPr>
      <w:r>
        <w:br w:type="page"/>
      </w:r>
    </w:p>
    <w:p w14:paraId="495CCC3E" w14:textId="05FA9704" w:rsidR="00810A65" w:rsidRDefault="00810A65" w:rsidP="00810A65">
      <w:pPr>
        <w:pStyle w:val="Heading1"/>
      </w:pPr>
      <w:bookmarkStart w:id="7" w:name="_Toc110502545"/>
      <w:r>
        <w:lastRenderedPageBreak/>
        <w:t>DEDICATION</w:t>
      </w:r>
      <w:bookmarkEnd w:id="7"/>
    </w:p>
    <w:p w14:paraId="6538287D" w14:textId="1AD90B1C" w:rsidR="009F1845" w:rsidRDefault="00810A65" w:rsidP="0053770C">
      <w:pPr>
        <w:spacing w:line="480" w:lineRule="auto"/>
      </w:pPr>
      <w:r>
        <w:t xml:space="preserve">This work is </w:t>
      </w:r>
      <w:r w:rsidR="004A4E0B">
        <w:t>dedicated to God Almighty, the g</w:t>
      </w:r>
      <w:r>
        <w:t xml:space="preserve">iver of knowledge and </w:t>
      </w:r>
      <w:r w:rsidR="004A4E0B">
        <w:t>e</w:t>
      </w:r>
      <w:r>
        <w:t>ssence of all that is intelligent.</w:t>
      </w:r>
      <w:r w:rsidR="009F1845">
        <w:t xml:space="preserve"> This work is also dedicated to all families who are kind and supportive, and to all those who are genuinely trying to make the world a better place </w:t>
      </w:r>
      <w:r w:rsidR="009B4FF9">
        <w:t>through</w:t>
      </w:r>
      <w:r w:rsidR="009F1845">
        <w:t xml:space="preserve"> their daily activities.</w:t>
      </w:r>
    </w:p>
    <w:p w14:paraId="41EF28DD" w14:textId="5A48B2DA" w:rsidR="00810A65" w:rsidRPr="00810A65" w:rsidRDefault="009F1845" w:rsidP="0053770C">
      <w:pPr>
        <w:spacing w:line="480" w:lineRule="auto"/>
      </w:pPr>
      <w:r>
        <w:t xml:space="preserve">This work is also dedicated to all </w:t>
      </w:r>
      <w:r w:rsidR="009B4FF9">
        <w:t xml:space="preserve">young people </w:t>
      </w:r>
      <w:r>
        <w:t xml:space="preserve">who recognise that </w:t>
      </w:r>
      <w:r w:rsidR="009B4FF9">
        <w:t>one</w:t>
      </w:r>
      <w:r w:rsidR="00A14E28">
        <w:t xml:space="preserve"> who</w:t>
      </w:r>
      <w:r w:rsidR="00A311C8">
        <w:t>, in the meantime,</w:t>
      </w:r>
      <w:r w:rsidR="00A14E28">
        <w:t xml:space="preserve"> </w:t>
      </w:r>
      <w:r w:rsidR="009B4FF9">
        <w:t>legitimately</w:t>
      </w:r>
      <w:r w:rsidR="00A14E28">
        <w:t xml:space="preserve"> </w:t>
      </w:r>
      <w:r w:rsidR="009B4FF9" w:rsidRPr="009B4FF9">
        <w:rPr>
          <w:i/>
        </w:rPr>
        <w:t>depends</w:t>
      </w:r>
      <w:r w:rsidR="009B4FF9">
        <w:t xml:space="preserve"> on their </w:t>
      </w:r>
      <w:r w:rsidR="009B4FF9" w:rsidRPr="009B4FF9">
        <w:rPr>
          <w:i/>
        </w:rPr>
        <w:t>own</w:t>
      </w:r>
      <w:r w:rsidR="009B4FF9">
        <w:t xml:space="preserve"> family for support,</w:t>
      </w:r>
      <w:r w:rsidR="00A14E28">
        <w:t xml:space="preserve"> is </w:t>
      </w:r>
      <w:r w:rsidR="009B4FF9">
        <w:t>more honourable</w:t>
      </w:r>
      <w:r w:rsidR="00A311C8">
        <w:t xml:space="preserve"> th</w:t>
      </w:r>
      <w:r w:rsidR="00A14E28">
        <w:t xml:space="preserve">an </w:t>
      </w:r>
      <w:r w:rsidR="009B4FF9">
        <w:t>one</w:t>
      </w:r>
      <w:r w:rsidR="00A14E28">
        <w:t xml:space="preserve"> who</w:t>
      </w:r>
      <w:r w:rsidR="009B4FF9">
        <w:t xml:space="preserve">se ‘financial independence’ fully </w:t>
      </w:r>
      <w:r w:rsidR="009B4FF9" w:rsidRPr="009B4FF9">
        <w:rPr>
          <w:i/>
        </w:rPr>
        <w:t>depends</w:t>
      </w:r>
      <w:r w:rsidR="009B4FF9">
        <w:t xml:space="preserve"> on defrauding others’ families</w:t>
      </w:r>
      <w:r w:rsidR="00A14E28">
        <w:t>.</w:t>
      </w:r>
      <w:r w:rsidR="00E90E97">
        <w:br w:type="page"/>
      </w:r>
    </w:p>
    <w:p w14:paraId="3A4833F4" w14:textId="303C29F1" w:rsidR="00810A65" w:rsidRDefault="00810A65">
      <w:pPr>
        <w:pStyle w:val="Heading1"/>
      </w:pPr>
      <w:bookmarkStart w:id="8" w:name="_Toc110502546"/>
      <w:r>
        <w:lastRenderedPageBreak/>
        <w:t>ACKNOWLEDGEMENTS</w:t>
      </w:r>
      <w:bookmarkEnd w:id="8"/>
    </w:p>
    <w:p w14:paraId="5CF034DC" w14:textId="31A7408E" w:rsidR="00C67229" w:rsidRDefault="001577A0" w:rsidP="0053770C">
      <w:pPr>
        <w:spacing w:line="480" w:lineRule="auto"/>
      </w:pPr>
      <w:r>
        <w:t xml:space="preserve">I acknowledge the Rock of Ages, without which I, this work, and everyone else here acknowledged, would not exist. </w:t>
      </w:r>
      <w:r w:rsidR="00C67229">
        <w:t>He has been my strength, shield, and facilitator throughout the studie</w:t>
      </w:r>
      <w:r w:rsidR="00790F02">
        <w:t>s that culminated in this work.</w:t>
      </w:r>
    </w:p>
    <w:p w14:paraId="2BB16056" w14:textId="2F6C5CE9" w:rsidR="009F1845" w:rsidRDefault="009F1845" w:rsidP="0053770C">
      <w:pPr>
        <w:spacing w:line="480" w:lineRule="auto"/>
      </w:pPr>
      <w:r>
        <w:t xml:space="preserve">Words cannot express how blessed I am to have </w:t>
      </w:r>
      <w:r w:rsidR="00F56D04">
        <w:t xml:space="preserve">Engr. </w:t>
      </w:r>
      <w:r>
        <w:t xml:space="preserve">Dr. P.K. Olulope as my M.Eng thesis supervisor. His devotion to my excellence, not only in this work but in other aspects of my academic training, transcends the call of duty and is reflected in numerous sacrifices he made on my behalf in and even </w:t>
      </w:r>
      <w:r w:rsidR="00C6691D">
        <w:t>before</w:t>
      </w:r>
      <w:r>
        <w:t xml:space="preserve"> the course of this work. His encouragement, advice, thoroughness of instruction, extensive resourcefulness, work ethic, and emotional support, have made a work of this quality possible within the relatively short time in which he had to supervise me.</w:t>
      </w:r>
    </w:p>
    <w:p w14:paraId="4EC99630" w14:textId="2AD52389" w:rsidR="009F1845" w:rsidRDefault="009F1845" w:rsidP="0053770C">
      <w:pPr>
        <w:spacing w:line="480" w:lineRule="auto"/>
      </w:pPr>
      <w:r>
        <w:t xml:space="preserve">I cannot describe how much I owe to the paternal interest, sagely encouragement and inspiring mentorship of </w:t>
      </w:r>
      <w:r w:rsidR="00F56D04">
        <w:t xml:space="preserve">Engr. </w:t>
      </w:r>
      <w:r>
        <w:t xml:space="preserve">Prof F.A. Ibikunle, which have been very illuminating and helpful in providing a rewarding experience throughout the entire duration of my studies </w:t>
      </w:r>
      <w:r w:rsidR="00C6691D">
        <w:t>at</w:t>
      </w:r>
      <w:r>
        <w:t xml:space="preserve"> Landmark University. I am also grateful to the entire staff of </w:t>
      </w:r>
      <w:r w:rsidR="00C6691D">
        <w:t xml:space="preserve">the </w:t>
      </w:r>
      <w:r>
        <w:t xml:space="preserve">EIE department, especially of the SDG 7 Research Group, for the supportive atmosphere afforded for my studies. </w:t>
      </w:r>
      <w:r w:rsidR="0053770C">
        <w:t>I am especially grateful</w:t>
      </w:r>
      <w:r>
        <w:t xml:space="preserve"> to Dr O.J.K Oghorada and Dr B.B. Adetokun </w:t>
      </w:r>
      <w:r w:rsidR="0053770C">
        <w:t xml:space="preserve">of Nile University, Abuja, </w:t>
      </w:r>
      <w:r>
        <w:t>for the roles they have played in my LMU journey</w:t>
      </w:r>
      <w:r w:rsidR="00C6691D">
        <w:t xml:space="preserve"> and my ongoing evolution as a researcher</w:t>
      </w:r>
      <w:r>
        <w:t>, for which I can hardly provide a befitting summary</w:t>
      </w:r>
      <w:r w:rsidR="0053770C">
        <w:t>,</w:t>
      </w:r>
      <w:r>
        <w:t xml:space="preserve"> and Dr G. O Igbinosa for his golden nuggets of advice.</w:t>
      </w:r>
    </w:p>
    <w:p w14:paraId="26938C33" w14:textId="7D4490A4" w:rsidR="009F1845" w:rsidRDefault="009F1845" w:rsidP="0053770C">
      <w:pPr>
        <w:spacing w:line="480" w:lineRule="auto"/>
      </w:pPr>
      <w:r>
        <w:t>I must acknowledge the impact of my adjunct lecturers who came primarily from my alma</w:t>
      </w:r>
      <w:r w:rsidR="004817DB">
        <w:t xml:space="preserve"> mater, </w:t>
      </w:r>
      <w:r w:rsidR="00C6691D">
        <w:t xml:space="preserve">the </w:t>
      </w:r>
      <w:r w:rsidR="004817DB">
        <w:t>University of Ilorin. Prof</w:t>
      </w:r>
      <w:r>
        <w:t xml:space="preserve">. </w:t>
      </w:r>
      <w:r w:rsidR="00101164">
        <w:t xml:space="preserve">M.F </w:t>
      </w:r>
      <w:r>
        <w:t xml:space="preserve">Akorede’s delivery of the Research Methods </w:t>
      </w:r>
      <w:r>
        <w:lastRenderedPageBreak/>
        <w:t xml:space="preserve">course and the Renewable Energy course has been directly relevant to this work, as have Dr </w:t>
      </w:r>
      <w:r w:rsidR="00101164">
        <w:t xml:space="preserve">A.Y </w:t>
      </w:r>
      <w:r>
        <w:t xml:space="preserve">Abdulrahman’s MATLAB demonstrations and Dr </w:t>
      </w:r>
      <w:r w:rsidR="00101164">
        <w:t xml:space="preserve">I.O.A </w:t>
      </w:r>
      <w:r>
        <w:t>Omeiza’s eye-opening lectures. My closest M.Eng study colleagues, John Onyemenam and Nnaemeka Okeke</w:t>
      </w:r>
      <w:r w:rsidR="00C6691D">
        <w:t>,</w:t>
      </w:r>
      <w:r>
        <w:t xml:space="preserve"> have been mutually supportive and very encouraging </w:t>
      </w:r>
      <w:r w:rsidR="00C6691D">
        <w:t>and helped me out several times</w:t>
      </w:r>
      <w:r>
        <w:t xml:space="preserve"> and I have learnt a lot from them not only about academics but about life in general, for which I am very grateful. Engr. Egbune, Engr. Kareem and Mr Alabi were very helpful on several occasions.</w:t>
      </w:r>
    </w:p>
    <w:p w14:paraId="0576556D" w14:textId="66B368DD" w:rsidR="009F1845" w:rsidRDefault="009F1845" w:rsidP="0053770C">
      <w:pPr>
        <w:spacing w:line="480" w:lineRule="auto"/>
      </w:pPr>
      <w:r>
        <w:t xml:space="preserve">Dr B.S Fakinle helped me find my feet </w:t>
      </w:r>
      <w:r w:rsidR="00C6691D">
        <w:t>at</w:t>
      </w:r>
      <w:r>
        <w:t xml:space="preserve"> LMU at a very critical time, and he and Dr O. Oyewole of </w:t>
      </w:r>
      <w:r w:rsidR="00C6691D">
        <w:t xml:space="preserve">the </w:t>
      </w:r>
      <w:r>
        <w:t>Chemical Engineering department have been full of encouragement, advice, and support for me at all times. I am also very grateful to Prof O. Awodele for constant motivation, Dr Gbadamosi, Dr Nwonuma, Mr Ayooluwa Ayoola, Pastor Adekunle, Mrs Boluwape Olarewaju, I.K Anyim for highly valuable interactions</w:t>
      </w:r>
      <w:r w:rsidR="00D8353F">
        <w:t xml:space="preserve"> and crucial kind gestures</w:t>
      </w:r>
      <w:r>
        <w:t xml:space="preserve">, and those who were, </w:t>
      </w:r>
      <w:r w:rsidR="00101164">
        <w:t>simply</w:t>
      </w:r>
      <w:r>
        <w:t xml:space="preserve"> inspiring lights every</w:t>
      </w:r>
      <w:r w:rsidR="00101164">
        <w:t xml:space="preserve"> </w:t>
      </w:r>
      <w:r>
        <w:t xml:space="preserve">time I was around them, such as F.F Olasehinde and E.M. Ibitogbe. I appreciate Bishop D.O Oyedepo for the vision for Landmark University that gave me </w:t>
      </w:r>
      <w:r w:rsidR="00C6691D">
        <w:t xml:space="preserve">the </w:t>
      </w:r>
      <w:r>
        <w:t>opportunity for this study.</w:t>
      </w:r>
      <w:r w:rsidR="00A96F7B">
        <w:t xml:space="preserve"> Climatic</w:t>
      </w:r>
      <w:r w:rsidR="00A96F7B" w:rsidRPr="00A96F7B">
        <w:t xml:space="preserve"> data were obtained from the NASA Langley Research Center (LaRC) POWER Project funded through the NASA Earth Science/Applied Science Program</w:t>
      </w:r>
      <w:r w:rsidR="00A96F7B">
        <w:t>.</w:t>
      </w:r>
    </w:p>
    <w:p w14:paraId="27B7E25C" w14:textId="7441F7B3" w:rsidR="009F1845" w:rsidRDefault="009F1845" w:rsidP="0053770C">
      <w:pPr>
        <w:spacing w:line="480" w:lineRule="auto"/>
      </w:pPr>
      <w:r>
        <w:t xml:space="preserve">I appreciate SDA Church, Igangu, Omu-Aran under the leadership of Pastor Solademi for being a support system and for several kind gestures I enjoyed. I have been happy in the church’s youth and choir groups, in which I found both a service opportunity and joyful comradeship. I am especially indebted to the family of Elder Engr. Samuel Aremu and Dr. Mrs. Adepeju Aremu. There is no appropriate way of expressing the ramifications of their love which I have enjoyed, I have to settle for saying that they have been my family in </w:t>
      </w:r>
      <w:r>
        <w:lastRenderedPageBreak/>
        <w:t>Omu-Aran. Not only did they consistently see t</w:t>
      </w:r>
      <w:r w:rsidR="0053770C">
        <w:t>o my physical welfare, but Engr</w:t>
      </w:r>
      <w:r>
        <w:t xml:space="preserve"> Aremu, as a power engineer himself, was very helpful in my work, including but not limited to facilitating the access to required data</w:t>
      </w:r>
      <w:r w:rsidR="00CA7E0B">
        <w:t xml:space="preserve"> for which I am grateful to the Transmission Company of Nigeria</w:t>
      </w:r>
      <w:r>
        <w:t>.</w:t>
      </w:r>
    </w:p>
    <w:p w14:paraId="547399E5" w14:textId="2C2575BB" w:rsidR="009F1845" w:rsidRDefault="009F1845" w:rsidP="0053770C">
      <w:pPr>
        <w:spacing w:line="480" w:lineRule="auto"/>
      </w:pPr>
      <w:r>
        <w:t xml:space="preserve">I am very grateful to my uncle, Mr Adeyemi Adebayo, for his constant interest in my electrical professional education and </w:t>
      </w:r>
      <w:r w:rsidR="00C6691D">
        <w:t xml:space="preserve">for </w:t>
      </w:r>
      <w:r>
        <w:t>being more than willing to help whenever I needed a field personnel’s experienced advice, especially when it came to the Arandun power system. I am also very grateful to another uncle of mine, Mr Sunday Folayan, for his time, effort, and invaluable assistance in facilitating my stream-gauging efforts. Having him with me was a real blessing.</w:t>
      </w:r>
    </w:p>
    <w:p w14:paraId="71E3C20D" w14:textId="4620F13C" w:rsidR="009F1845" w:rsidRDefault="009F1845" w:rsidP="0053770C">
      <w:pPr>
        <w:spacing w:line="480" w:lineRule="auto"/>
      </w:pPr>
      <w:r>
        <w:t>I acknowledge the support and especially prayers of my home church</w:t>
      </w:r>
      <w:r w:rsidR="00C6691D">
        <w:t xml:space="preserve"> family, the SDA Church, Gaa-Akanbi in</w:t>
      </w:r>
      <w:r>
        <w:t xml:space="preserve"> Ilorin, under the leadership of Pastor Dr Olaofe. My brother and friend, Prince Adefila Emmanuel, who was studying for his own Master’s degree at the same time in a different but similar setting </w:t>
      </w:r>
      <w:r w:rsidR="00CF66DA">
        <w:t>to mine</w:t>
      </w:r>
      <w:r>
        <w:t xml:space="preserve"> was always encouraging with his mature approach to our respective academic situations. Furthermore, our mummy, Deaconess Adefila was always checking on me over the phone. In this regard, I am also very grateful to Dr Dunmade for always keeping me in mind.</w:t>
      </w:r>
    </w:p>
    <w:p w14:paraId="75D16646" w14:textId="0E5B98EE" w:rsidR="009F1845" w:rsidRDefault="009F1845" w:rsidP="0053770C">
      <w:pPr>
        <w:spacing w:line="480" w:lineRule="auto"/>
      </w:pPr>
      <w:r>
        <w:t>I am immensely grateful to my parents, Arc. Dr. A</w:t>
      </w:r>
      <w:r w:rsidR="00D8353F">
        <w:t xml:space="preserve">deola </w:t>
      </w:r>
      <w:r>
        <w:t>S</w:t>
      </w:r>
      <w:r w:rsidR="00D8353F">
        <w:t>.</w:t>
      </w:r>
      <w:r>
        <w:t xml:space="preserve"> Odetoye (FNIA) and Engr. Dr Mrs T</w:t>
      </w:r>
      <w:r w:rsidR="00D8353F">
        <w:t xml:space="preserve">emitope </w:t>
      </w:r>
      <w:r>
        <w:t>E. Odetoye (FNSE) for all they have done for me up till now, including</w:t>
      </w:r>
      <w:r w:rsidR="00C6691D">
        <w:t>,</w:t>
      </w:r>
      <w:r>
        <w:t xml:space="preserve"> in this case, their tireless support and enablement of my academic endeavours. I thank</w:t>
      </w:r>
      <w:r w:rsidR="00F56D04">
        <w:t xml:space="preserve"> my sisters</w:t>
      </w:r>
      <w:r w:rsidR="00D86696">
        <w:t xml:space="preserve"> and </w:t>
      </w:r>
      <w:r w:rsidR="00643182">
        <w:t xml:space="preserve">big </w:t>
      </w:r>
      <w:r w:rsidR="00D86696">
        <w:t xml:space="preserve">brother </w:t>
      </w:r>
      <w:r w:rsidR="00643182">
        <w:t>(</w:t>
      </w:r>
      <w:r w:rsidR="00D86696">
        <w:t>in-law</w:t>
      </w:r>
      <w:r w:rsidR="00643182">
        <w:t>)</w:t>
      </w:r>
      <w:r w:rsidR="00F56D04">
        <w:t xml:space="preserve">, </w:t>
      </w:r>
      <w:r w:rsidR="00D86696">
        <w:t xml:space="preserve">Dr and </w:t>
      </w:r>
      <w:r w:rsidR="00F56D04">
        <w:t>Mrs</w:t>
      </w:r>
      <w:r w:rsidR="00D86696">
        <w:t xml:space="preserve"> </w:t>
      </w:r>
      <w:r>
        <w:t>Oyinlola</w:t>
      </w:r>
      <w:r w:rsidR="00784A0A">
        <w:t xml:space="preserve"> </w:t>
      </w:r>
      <w:r w:rsidR="00F56D04">
        <w:t>Oluwasegun-Yahaya</w:t>
      </w:r>
      <w:r>
        <w:t>, Oyinlade</w:t>
      </w:r>
      <w:r w:rsidR="00784A0A">
        <w:t xml:space="preserve"> </w:t>
      </w:r>
      <w:r w:rsidR="00F56D04">
        <w:t>Odetoye</w:t>
      </w:r>
      <w:r w:rsidR="00643182">
        <w:t>,</w:t>
      </w:r>
      <w:r w:rsidR="00E70932">
        <w:t xml:space="preserve"> </w:t>
      </w:r>
      <w:r>
        <w:t>Oyinlayo</w:t>
      </w:r>
      <w:r w:rsidR="00F56D04">
        <w:t xml:space="preserve"> Odetoye</w:t>
      </w:r>
      <w:r>
        <w:t xml:space="preserve">, </w:t>
      </w:r>
      <w:r w:rsidR="00D86696">
        <w:t>and my niece and nephew, Mo</w:t>
      </w:r>
      <w:r w:rsidR="00784A0A">
        <w:t>desoyinol</w:t>
      </w:r>
      <w:r w:rsidR="00D86696">
        <w:t>uwa and Moyosoyinoluwa</w:t>
      </w:r>
      <w:r w:rsidR="00643182">
        <w:t xml:space="preserve"> Oluwasegun-Yahaya</w:t>
      </w:r>
      <w:r w:rsidR="00D86696">
        <w:t xml:space="preserve"> </w:t>
      </w:r>
      <w:r>
        <w:t xml:space="preserve">for being an inexhaustible source of moral (and </w:t>
      </w:r>
      <w:r>
        <w:lastRenderedPageBreak/>
        <w:t>other forms of) support to me in the course of this research, and for the little things and big things they did to make my Master’s studies as painless as possible. If I had hired</w:t>
      </w:r>
      <w:r w:rsidR="00720A84">
        <w:t xml:space="preserve"> people to </w:t>
      </w:r>
      <w:r w:rsidR="00C6691D">
        <w:t>support and assist</w:t>
      </w:r>
      <w:r w:rsidR="00720A84">
        <w:t xml:space="preserve"> </w:t>
      </w:r>
      <w:r>
        <w:t xml:space="preserve">me in the course of my programme, they could not possibly have done it with the dedication and impact that my family have. </w:t>
      </w:r>
      <w:r w:rsidR="00101164">
        <w:t>I acknowledge everyone who has played a role in my success in this study</w:t>
      </w:r>
      <w:r w:rsidR="00E70932">
        <w:t>, and whose work has made it possible</w:t>
      </w:r>
      <w:r w:rsidR="001577A0">
        <w:t>.</w:t>
      </w:r>
    </w:p>
    <w:p w14:paraId="2EF434AC" w14:textId="7CFC8519" w:rsidR="00021BDA" w:rsidRPr="00810A65" w:rsidRDefault="00471FDA" w:rsidP="0053770C">
      <w:pPr>
        <w:spacing w:line="480" w:lineRule="auto"/>
        <w:jc w:val="left"/>
      </w:pPr>
      <w:r>
        <w:br w:type="page"/>
      </w:r>
    </w:p>
    <w:bookmarkStart w:id="9" w:name="_Toc110502547" w:displacedByCustomXml="next"/>
    <w:sdt>
      <w:sdtPr>
        <w:rPr>
          <w:rFonts w:eastAsiaTheme="minorHAnsi" w:cstheme="minorBidi"/>
          <w:b w:val="0"/>
          <w:sz w:val="24"/>
          <w:szCs w:val="22"/>
        </w:rPr>
        <w:id w:val="804124747"/>
        <w:docPartObj>
          <w:docPartGallery w:val="Table of Contents"/>
          <w:docPartUnique/>
        </w:docPartObj>
      </w:sdtPr>
      <w:sdtEndPr>
        <w:rPr>
          <w:bCs/>
          <w:noProof/>
        </w:rPr>
      </w:sdtEndPr>
      <w:sdtContent>
        <w:p w14:paraId="502CB6E3" w14:textId="77777777" w:rsidR="007708C9" w:rsidRPr="00602ABA" w:rsidRDefault="007708C9" w:rsidP="00022BF8">
          <w:pPr>
            <w:pStyle w:val="Heading1"/>
            <w:spacing w:line="276" w:lineRule="auto"/>
          </w:pPr>
          <w:r w:rsidRPr="00602ABA">
            <w:t>TABLE OF CONTENTS</w:t>
          </w:r>
          <w:bookmarkEnd w:id="9"/>
        </w:p>
        <w:p w14:paraId="309508E0" w14:textId="4ED33C86" w:rsidR="00D77E3F" w:rsidRDefault="007708C9">
          <w:pPr>
            <w:pStyle w:val="TOC1"/>
            <w:tabs>
              <w:tab w:val="right" w:leader="dot" w:pos="8630"/>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10502543" w:history="1">
            <w:r w:rsidR="00D77E3F" w:rsidRPr="000E4272">
              <w:rPr>
                <w:rStyle w:val="Hyperlink"/>
                <w:noProof/>
              </w:rPr>
              <w:t>DECLARATION</w:t>
            </w:r>
            <w:r w:rsidR="00D77E3F">
              <w:rPr>
                <w:noProof/>
                <w:webHidden/>
              </w:rPr>
              <w:tab/>
            </w:r>
            <w:r w:rsidR="00D77E3F">
              <w:rPr>
                <w:noProof/>
                <w:webHidden/>
              </w:rPr>
              <w:fldChar w:fldCharType="begin"/>
            </w:r>
            <w:r w:rsidR="00D77E3F">
              <w:rPr>
                <w:noProof/>
                <w:webHidden/>
              </w:rPr>
              <w:instrText xml:space="preserve"> PAGEREF _Toc110502543 \h </w:instrText>
            </w:r>
            <w:r w:rsidR="00D77E3F">
              <w:rPr>
                <w:noProof/>
                <w:webHidden/>
              </w:rPr>
            </w:r>
            <w:r w:rsidR="00D77E3F">
              <w:rPr>
                <w:noProof/>
                <w:webHidden/>
              </w:rPr>
              <w:fldChar w:fldCharType="separate"/>
            </w:r>
            <w:r w:rsidR="00D77E3F">
              <w:rPr>
                <w:noProof/>
                <w:webHidden/>
              </w:rPr>
              <w:t>ii</w:t>
            </w:r>
            <w:r w:rsidR="00D77E3F">
              <w:rPr>
                <w:noProof/>
                <w:webHidden/>
              </w:rPr>
              <w:fldChar w:fldCharType="end"/>
            </w:r>
          </w:hyperlink>
        </w:p>
        <w:p w14:paraId="60824E44" w14:textId="0B167B42" w:rsidR="00D77E3F" w:rsidRDefault="00783427">
          <w:pPr>
            <w:pStyle w:val="TOC1"/>
            <w:tabs>
              <w:tab w:val="right" w:leader="dot" w:pos="8630"/>
            </w:tabs>
            <w:rPr>
              <w:rFonts w:asciiTheme="minorHAnsi" w:eastAsiaTheme="minorEastAsia" w:hAnsiTheme="minorHAnsi"/>
              <w:noProof/>
              <w:sz w:val="22"/>
              <w:lang w:val="en-US"/>
            </w:rPr>
          </w:pPr>
          <w:hyperlink w:anchor="_Toc110502544" w:history="1">
            <w:r w:rsidR="00D77E3F" w:rsidRPr="000E4272">
              <w:rPr>
                <w:rStyle w:val="Hyperlink"/>
                <w:noProof/>
              </w:rPr>
              <w:t>CERTIFICATION</w:t>
            </w:r>
            <w:r w:rsidR="00D77E3F">
              <w:rPr>
                <w:noProof/>
                <w:webHidden/>
              </w:rPr>
              <w:tab/>
            </w:r>
            <w:r w:rsidR="00D77E3F">
              <w:rPr>
                <w:noProof/>
                <w:webHidden/>
              </w:rPr>
              <w:fldChar w:fldCharType="begin"/>
            </w:r>
            <w:r w:rsidR="00D77E3F">
              <w:rPr>
                <w:noProof/>
                <w:webHidden/>
              </w:rPr>
              <w:instrText xml:space="preserve"> PAGEREF _Toc110502544 \h </w:instrText>
            </w:r>
            <w:r w:rsidR="00D77E3F">
              <w:rPr>
                <w:noProof/>
                <w:webHidden/>
              </w:rPr>
            </w:r>
            <w:r w:rsidR="00D77E3F">
              <w:rPr>
                <w:noProof/>
                <w:webHidden/>
              </w:rPr>
              <w:fldChar w:fldCharType="separate"/>
            </w:r>
            <w:r w:rsidR="00D77E3F">
              <w:rPr>
                <w:noProof/>
                <w:webHidden/>
              </w:rPr>
              <w:t>iii</w:t>
            </w:r>
            <w:r w:rsidR="00D77E3F">
              <w:rPr>
                <w:noProof/>
                <w:webHidden/>
              </w:rPr>
              <w:fldChar w:fldCharType="end"/>
            </w:r>
          </w:hyperlink>
        </w:p>
        <w:p w14:paraId="02017F31" w14:textId="0E35FA0A" w:rsidR="00D77E3F" w:rsidRDefault="00783427">
          <w:pPr>
            <w:pStyle w:val="TOC1"/>
            <w:tabs>
              <w:tab w:val="right" w:leader="dot" w:pos="8630"/>
            </w:tabs>
            <w:rPr>
              <w:rFonts w:asciiTheme="minorHAnsi" w:eastAsiaTheme="minorEastAsia" w:hAnsiTheme="minorHAnsi"/>
              <w:noProof/>
              <w:sz w:val="22"/>
              <w:lang w:val="en-US"/>
            </w:rPr>
          </w:pPr>
          <w:hyperlink w:anchor="_Toc110502545" w:history="1">
            <w:r w:rsidR="00D77E3F" w:rsidRPr="000E4272">
              <w:rPr>
                <w:rStyle w:val="Hyperlink"/>
                <w:noProof/>
              </w:rPr>
              <w:t>DEDICATION</w:t>
            </w:r>
            <w:r w:rsidR="00D77E3F">
              <w:rPr>
                <w:noProof/>
                <w:webHidden/>
              </w:rPr>
              <w:tab/>
            </w:r>
            <w:r w:rsidR="00D77E3F">
              <w:rPr>
                <w:noProof/>
                <w:webHidden/>
              </w:rPr>
              <w:fldChar w:fldCharType="begin"/>
            </w:r>
            <w:r w:rsidR="00D77E3F">
              <w:rPr>
                <w:noProof/>
                <w:webHidden/>
              </w:rPr>
              <w:instrText xml:space="preserve"> PAGEREF _Toc110502545 \h </w:instrText>
            </w:r>
            <w:r w:rsidR="00D77E3F">
              <w:rPr>
                <w:noProof/>
                <w:webHidden/>
              </w:rPr>
            </w:r>
            <w:r w:rsidR="00D77E3F">
              <w:rPr>
                <w:noProof/>
                <w:webHidden/>
              </w:rPr>
              <w:fldChar w:fldCharType="separate"/>
            </w:r>
            <w:r w:rsidR="00D77E3F">
              <w:rPr>
                <w:noProof/>
                <w:webHidden/>
              </w:rPr>
              <w:t>iv</w:t>
            </w:r>
            <w:r w:rsidR="00D77E3F">
              <w:rPr>
                <w:noProof/>
                <w:webHidden/>
              </w:rPr>
              <w:fldChar w:fldCharType="end"/>
            </w:r>
          </w:hyperlink>
        </w:p>
        <w:p w14:paraId="0E793147" w14:textId="37BB2BBE" w:rsidR="00D77E3F" w:rsidRDefault="00783427">
          <w:pPr>
            <w:pStyle w:val="TOC1"/>
            <w:tabs>
              <w:tab w:val="right" w:leader="dot" w:pos="8630"/>
            </w:tabs>
            <w:rPr>
              <w:rFonts w:asciiTheme="minorHAnsi" w:eastAsiaTheme="minorEastAsia" w:hAnsiTheme="minorHAnsi"/>
              <w:noProof/>
              <w:sz w:val="22"/>
              <w:lang w:val="en-US"/>
            </w:rPr>
          </w:pPr>
          <w:hyperlink w:anchor="_Toc110502546" w:history="1">
            <w:r w:rsidR="00D77E3F" w:rsidRPr="000E4272">
              <w:rPr>
                <w:rStyle w:val="Hyperlink"/>
                <w:noProof/>
              </w:rPr>
              <w:t>ACKNOWLEDGEMENTS</w:t>
            </w:r>
            <w:r w:rsidR="00D77E3F">
              <w:rPr>
                <w:noProof/>
                <w:webHidden/>
              </w:rPr>
              <w:tab/>
            </w:r>
            <w:r w:rsidR="00D77E3F">
              <w:rPr>
                <w:noProof/>
                <w:webHidden/>
              </w:rPr>
              <w:fldChar w:fldCharType="begin"/>
            </w:r>
            <w:r w:rsidR="00D77E3F">
              <w:rPr>
                <w:noProof/>
                <w:webHidden/>
              </w:rPr>
              <w:instrText xml:space="preserve"> PAGEREF _Toc110502546 \h </w:instrText>
            </w:r>
            <w:r w:rsidR="00D77E3F">
              <w:rPr>
                <w:noProof/>
                <w:webHidden/>
              </w:rPr>
            </w:r>
            <w:r w:rsidR="00D77E3F">
              <w:rPr>
                <w:noProof/>
                <w:webHidden/>
              </w:rPr>
              <w:fldChar w:fldCharType="separate"/>
            </w:r>
            <w:r w:rsidR="00D77E3F">
              <w:rPr>
                <w:noProof/>
                <w:webHidden/>
              </w:rPr>
              <w:t>v</w:t>
            </w:r>
            <w:r w:rsidR="00D77E3F">
              <w:rPr>
                <w:noProof/>
                <w:webHidden/>
              </w:rPr>
              <w:fldChar w:fldCharType="end"/>
            </w:r>
          </w:hyperlink>
        </w:p>
        <w:p w14:paraId="5A64264B" w14:textId="2D229F2B" w:rsidR="00D77E3F" w:rsidRDefault="00783427">
          <w:pPr>
            <w:pStyle w:val="TOC1"/>
            <w:tabs>
              <w:tab w:val="right" w:leader="dot" w:pos="8630"/>
            </w:tabs>
            <w:rPr>
              <w:rFonts w:asciiTheme="minorHAnsi" w:eastAsiaTheme="minorEastAsia" w:hAnsiTheme="minorHAnsi"/>
              <w:noProof/>
              <w:sz w:val="22"/>
              <w:lang w:val="en-US"/>
            </w:rPr>
          </w:pPr>
          <w:hyperlink w:anchor="_Toc110502547" w:history="1">
            <w:r w:rsidR="00D77E3F" w:rsidRPr="000E4272">
              <w:rPr>
                <w:rStyle w:val="Hyperlink"/>
                <w:noProof/>
              </w:rPr>
              <w:t>TABLE OF CONTENTS</w:t>
            </w:r>
            <w:r w:rsidR="00D77E3F">
              <w:rPr>
                <w:noProof/>
                <w:webHidden/>
              </w:rPr>
              <w:tab/>
            </w:r>
            <w:r w:rsidR="00D77E3F">
              <w:rPr>
                <w:noProof/>
                <w:webHidden/>
              </w:rPr>
              <w:fldChar w:fldCharType="begin"/>
            </w:r>
            <w:r w:rsidR="00D77E3F">
              <w:rPr>
                <w:noProof/>
                <w:webHidden/>
              </w:rPr>
              <w:instrText xml:space="preserve"> PAGEREF _Toc110502547 \h </w:instrText>
            </w:r>
            <w:r w:rsidR="00D77E3F">
              <w:rPr>
                <w:noProof/>
                <w:webHidden/>
              </w:rPr>
            </w:r>
            <w:r w:rsidR="00D77E3F">
              <w:rPr>
                <w:noProof/>
                <w:webHidden/>
              </w:rPr>
              <w:fldChar w:fldCharType="separate"/>
            </w:r>
            <w:r w:rsidR="00D77E3F">
              <w:rPr>
                <w:noProof/>
                <w:webHidden/>
              </w:rPr>
              <w:t>viii</w:t>
            </w:r>
            <w:r w:rsidR="00D77E3F">
              <w:rPr>
                <w:noProof/>
                <w:webHidden/>
              </w:rPr>
              <w:fldChar w:fldCharType="end"/>
            </w:r>
          </w:hyperlink>
        </w:p>
        <w:p w14:paraId="4F1DF040" w14:textId="1E3810F6" w:rsidR="00D77E3F" w:rsidRDefault="00783427">
          <w:pPr>
            <w:pStyle w:val="TOC1"/>
            <w:tabs>
              <w:tab w:val="right" w:leader="dot" w:pos="8630"/>
            </w:tabs>
            <w:rPr>
              <w:rFonts w:asciiTheme="minorHAnsi" w:eastAsiaTheme="minorEastAsia" w:hAnsiTheme="minorHAnsi"/>
              <w:noProof/>
              <w:sz w:val="22"/>
              <w:lang w:val="en-US"/>
            </w:rPr>
          </w:pPr>
          <w:hyperlink w:anchor="_Toc110502548" w:history="1">
            <w:r w:rsidR="00D77E3F" w:rsidRPr="000E4272">
              <w:rPr>
                <w:rStyle w:val="Hyperlink"/>
                <w:noProof/>
                <w:lang w:val="en-US"/>
              </w:rPr>
              <w:t>LIST OF TABLES</w:t>
            </w:r>
            <w:r w:rsidR="00D77E3F">
              <w:rPr>
                <w:noProof/>
                <w:webHidden/>
              </w:rPr>
              <w:tab/>
            </w:r>
            <w:r w:rsidR="00D77E3F">
              <w:rPr>
                <w:noProof/>
                <w:webHidden/>
              </w:rPr>
              <w:fldChar w:fldCharType="begin"/>
            </w:r>
            <w:r w:rsidR="00D77E3F">
              <w:rPr>
                <w:noProof/>
                <w:webHidden/>
              </w:rPr>
              <w:instrText xml:space="preserve"> PAGEREF _Toc110502548 \h </w:instrText>
            </w:r>
            <w:r w:rsidR="00D77E3F">
              <w:rPr>
                <w:noProof/>
                <w:webHidden/>
              </w:rPr>
            </w:r>
            <w:r w:rsidR="00D77E3F">
              <w:rPr>
                <w:noProof/>
                <w:webHidden/>
              </w:rPr>
              <w:fldChar w:fldCharType="separate"/>
            </w:r>
            <w:r w:rsidR="00D77E3F">
              <w:rPr>
                <w:noProof/>
                <w:webHidden/>
              </w:rPr>
              <w:t>xiii</w:t>
            </w:r>
            <w:r w:rsidR="00D77E3F">
              <w:rPr>
                <w:noProof/>
                <w:webHidden/>
              </w:rPr>
              <w:fldChar w:fldCharType="end"/>
            </w:r>
          </w:hyperlink>
        </w:p>
        <w:p w14:paraId="4A969B65" w14:textId="5821B8B5" w:rsidR="00D77E3F" w:rsidRDefault="00783427">
          <w:pPr>
            <w:pStyle w:val="TOC1"/>
            <w:tabs>
              <w:tab w:val="right" w:leader="dot" w:pos="8630"/>
            </w:tabs>
            <w:rPr>
              <w:rFonts w:asciiTheme="minorHAnsi" w:eastAsiaTheme="minorEastAsia" w:hAnsiTheme="minorHAnsi"/>
              <w:noProof/>
              <w:sz w:val="22"/>
              <w:lang w:val="en-US"/>
            </w:rPr>
          </w:pPr>
          <w:hyperlink w:anchor="_Toc110502549" w:history="1">
            <w:r w:rsidR="00D77E3F" w:rsidRPr="000E4272">
              <w:rPr>
                <w:rStyle w:val="Hyperlink"/>
                <w:noProof/>
                <w:lang w:val="en-US"/>
              </w:rPr>
              <w:t>LIST OF FIGURES</w:t>
            </w:r>
            <w:r w:rsidR="00D77E3F">
              <w:rPr>
                <w:noProof/>
                <w:webHidden/>
              </w:rPr>
              <w:tab/>
            </w:r>
            <w:r w:rsidR="00D77E3F">
              <w:rPr>
                <w:noProof/>
                <w:webHidden/>
              </w:rPr>
              <w:fldChar w:fldCharType="begin"/>
            </w:r>
            <w:r w:rsidR="00D77E3F">
              <w:rPr>
                <w:noProof/>
                <w:webHidden/>
              </w:rPr>
              <w:instrText xml:space="preserve"> PAGEREF _Toc110502549 \h </w:instrText>
            </w:r>
            <w:r w:rsidR="00D77E3F">
              <w:rPr>
                <w:noProof/>
                <w:webHidden/>
              </w:rPr>
            </w:r>
            <w:r w:rsidR="00D77E3F">
              <w:rPr>
                <w:noProof/>
                <w:webHidden/>
              </w:rPr>
              <w:fldChar w:fldCharType="separate"/>
            </w:r>
            <w:r w:rsidR="00D77E3F">
              <w:rPr>
                <w:noProof/>
                <w:webHidden/>
              </w:rPr>
              <w:t>xv</w:t>
            </w:r>
            <w:r w:rsidR="00D77E3F">
              <w:rPr>
                <w:noProof/>
                <w:webHidden/>
              </w:rPr>
              <w:fldChar w:fldCharType="end"/>
            </w:r>
          </w:hyperlink>
        </w:p>
        <w:p w14:paraId="0ED44ADC" w14:textId="0D5F5835" w:rsidR="00D77E3F" w:rsidRDefault="00783427">
          <w:pPr>
            <w:pStyle w:val="TOC1"/>
            <w:tabs>
              <w:tab w:val="right" w:leader="dot" w:pos="8630"/>
            </w:tabs>
            <w:rPr>
              <w:rFonts w:asciiTheme="minorHAnsi" w:eastAsiaTheme="minorEastAsia" w:hAnsiTheme="minorHAnsi"/>
              <w:noProof/>
              <w:sz w:val="22"/>
              <w:lang w:val="en-US"/>
            </w:rPr>
          </w:pPr>
          <w:hyperlink w:anchor="_Toc110502550" w:history="1">
            <w:r w:rsidR="00D77E3F" w:rsidRPr="000E4272">
              <w:rPr>
                <w:rStyle w:val="Hyperlink"/>
                <w:noProof/>
                <w:lang w:val="en-US"/>
              </w:rPr>
              <w:t>ABSTRACT</w:t>
            </w:r>
            <w:r w:rsidR="00D77E3F">
              <w:rPr>
                <w:noProof/>
                <w:webHidden/>
              </w:rPr>
              <w:tab/>
            </w:r>
            <w:r w:rsidR="00D77E3F">
              <w:rPr>
                <w:noProof/>
                <w:webHidden/>
              </w:rPr>
              <w:fldChar w:fldCharType="begin"/>
            </w:r>
            <w:r w:rsidR="00D77E3F">
              <w:rPr>
                <w:noProof/>
                <w:webHidden/>
              </w:rPr>
              <w:instrText xml:space="preserve"> PAGEREF _Toc110502550 \h </w:instrText>
            </w:r>
            <w:r w:rsidR="00D77E3F">
              <w:rPr>
                <w:noProof/>
                <w:webHidden/>
              </w:rPr>
            </w:r>
            <w:r w:rsidR="00D77E3F">
              <w:rPr>
                <w:noProof/>
                <w:webHidden/>
              </w:rPr>
              <w:fldChar w:fldCharType="separate"/>
            </w:r>
            <w:r w:rsidR="00D77E3F">
              <w:rPr>
                <w:noProof/>
                <w:webHidden/>
              </w:rPr>
              <w:t>xviii</w:t>
            </w:r>
            <w:r w:rsidR="00D77E3F">
              <w:rPr>
                <w:noProof/>
                <w:webHidden/>
              </w:rPr>
              <w:fldChar w:fldCharType="end"/>
            </w:r>
          </w:hyperlink>
        </w:p>
        <w:p w14:paraId="0148933F" w14:textId="1D44B8B5" w:rsidR="00D77E3F" w:rsidRDefault="00783427">
          <w:pPr>
            <w:pStyle w:val="TOC1"/>
            <w:tabs>
              <w:tab w:val="right" w:leader="dot" w:pos="8630"/>
            </w:tabs>
            <w:rPr>
              <w:rFonts w:asciiTheme="minorHAnsi" w:eastAsiaTheme="minorEastAsia" w:hAnsiTheme="minorHAnsi"/>
              <w:noProof/>
              <w:sz w:val="22"/>
              <w:lang w:val="en-US"/>
            </w:rPr>
          </w:pPr>
          <w:hyperlink w:anchor="_Toc110502551" w:history="1">
            <w:r w:rsidR="00D77E3F" w:rsidRPr="000E4272">
              <w:rPr>
                <w:rStyle w:val="Hyperlink"/>
                <w:noProof/>
                <w:lang w:val="en-US"/>
              </w:rPr>
              <w:t>CHAPTER ONE</w:t>
            </w:r>
            <w:r w:rsidR="00D77E3F">
              <w:rPr>
                <w:noProof/>
                <w:webHidden/>
              </w:rPr>
              <w:tab/>
            </w:r>
            <w:r w:rsidR="00D77E3F">
              <w:rPr>
                <w:noProof/>
                <w:webHidden/>
              </w:rPr>
              <w:fldChar w:fldCharType="begin"/>
            </w:r>
            <w:r w:rsidR="00D77E3F">
              <w:rPr>
                <w:noProof/>
                <w:webHidden/>
              </w:rPr>
              <w:instrText xml:space="preserve"> PAGEREF _Toc110502551 \h </w:instrText>
            </w:r>
            <w:r w:rsidR="00D77E3F">
              <w:rPr>
                <w:noProof/>
                <w:webHidden/>
              </w:rPr>
            </w:r>
            <w:r w:rsidR="00D77E3F">
              <w:rPr>
                <w:noProof/>
                <w:webHidden/>
              </w:rPr>
              <w:fldChar w:fldCharType="separate"/>
            </w:r>
            <w:r w:rsidR="00D77E3F">
              <w:rPr>
                <w:noProof/>
                <w:webHidden/>
              </w:rPr>
              <w:t>1</w:t>
            </w:r>
            <w:r w:rsidR="00D77E3F">
              <w:rPr>
                <w:noProof/>
                <w:webHidden/>
              </w:rPr>
              <w:fldChar w:fldCharType="end"/>
            </w:r>
          </w:hyperlink>
        </w:p>
        <w:p w14:paraId="584589A3" w14:textId="013E3FAE" w:rsidR="00D77E3F" w:rsidRDefault="00783427">
          <w:pPr>
            <w:pStyle w:val="TOC2"/>
            <w:tabs>
              <w:tab w:val="right" w:leader="dot" w:pos="8630"/>
            </w:tabs>
            <w:rPr>
              <w:rFonts w:asciiTheme="minorHAnsi" w:eastAsiaTheme="minorEastAsia" w:hAnsiTheme="minorHAnsi"/>
              <w:noProof/>
              <w:sz w:val="22"/>
              <w:lang w:val="en-US"/>
            </w:rPr>
          </w:pPr>
          <w:hyperlink w:anchor="_Toc110502552" w:history="1">
            <w:r w:rsidR="00D77E3F" w:rsidRPr="000E4272">
              <w:rPr>
                <w:rStyle w:val="Hyperlink"/>
                <w:noProof/>
                <w:lang w:val="en-US"/>
              </w:rPr>
              <w:t>INTRODUCTION</w:t>
            </w:r>
            <w:r w:rsidR="00D77E3F">
              <w:rPr>
                <w:noProof/>
                <w:webHidden/>
              </w:rPr>
              <w:tab/>
            </w:r>
            <w:r w:rsidR="00D77E3F">
              <w:rPr>
                <w:noProof/>
                <w:webHidden/>
              </w:rPr>
              <w:fldChar w:fldCharType="begin"/>
            </w:r>
            <w:r w:rsidR="00D77E3F">
              <w:rPr>
                <w:noProof/>
                <w:webHidden/>
              </w:rPr>
              <w:instrText xml:space="preserve"> PAGEREF _Toc110502552 \h </w:instrText>
            </w:r>
            <w:r w:rsidR="00D77E3F">
              <w:rPr>
                <w:noProof/>
                <w:webHidden/>
              </w:rPr>
            </w:r>
            <w:r w:rsidR="00D77E3F">
              <w:rPr>
                <w:noProof/>
                <w:webHidden/>
              </w:rPr>
              <w:fldChar w:fldCharType="separate"/>
            </w:r>
            <w:r w:rsidR="00D77E3F">
              <w:rPr>
                <w:noProof/>
                <w:webHidden/>
              </w:rPr>
              <w:t>1</w:t>
            </w:r>
            <w:r w:rsidR="00D77E3F">
              <w:rPr>
                <w:noProof/>
                <w:webHidden/>
              </w:rPr>
              <w:fldChar w:fldCharType="end"/>
            </w:r>
          </w:hyperlink>
        </w:p>
        <w:p w14:paraId="7EBE236E" w14:textId="23B6E4B1" w:rsidR="00D77E3F" w:rsidRDefault="00783427">
          <w:pPr>
            <w:pStyle w:val="TOC3"/>
            <w:tabs>
              <w:tab w:val="right" w:leader="dot" w:pos="8630"/>
            </w:tabs>
            <w:rPr>
              <w:rFonts w:asciiTheme="minorHAnsi" w:eastAsiaTheme="minorEastAsia" w:hAnsiTheme="minorHAnsi"/>
              <w:noProof/>
              <w:sz w:val="22"/>
              <w:lang w:val="en-US"/>
            </w:rPr>
          </w:pPr>
          <w:hyperlink w:anchor="_Toc110502553" w:history="1">
            <w:r w:rsidR="00D77E3F" w:rsidRPr="000E4272">
              <w:rPr>
                <w:rStyle w:val="Hyperlink"/>
                <w:noProof/>
              </w:rPr>
              <w:t>1.1 BACKGROUND TO THE PROBLEM</w:t>
            </w:r>
            <w:r w:rsidR="00D77E3F">
              <w:rPr>
                <w:noProof/>
                <w:webHidden/>
              </w:rPr>
              <w:tab/>
            </w:r>
            <w:r w:rsidR="00D77E3F">
              <w:rPr>
                <w:noProof/>
                <w:webHidden/>
              </w:rPr>
              <w:fldChar w:fldCharType="begin"/>
            </w:r>
            <w:r w:rsidR="00D77E3F">
              <w:rPr>
                <w:noProof/>
                <w:webHidden/>
              </w:rPr>
              <w:instrText xml:space="preserve"> PAGEREF _Toc110502553 \h </w:instrText>
            </w:r>
            <w:r w:rsidR="00D77E3F">
              <w:rPr>
                <w:noProof/>
                <w:webHidden/>
              </w:rPr>
            </w:r>
            <w:r w:rsidR="00D77E3F">
              <w:rPr>
                <w:noProof/>
                <w:webHidden/>
              </w:rPr>
              <w:fldChar w:fldCharType="separate"/>
            </w:r>
            <w:r w:rsidR="00D77E3F">
              <w:rPr>
                <w:noProof/>
                <w:webHidden/>
              </w:rPr>
              <w:t>1</w:t>
            </w:r>
            <w:r w:rsidR="00D77E3F">
              <w:rPr>
                <w:noProof/>
                <w:webHidden/>
              </w:rPr>
              <w:fldChar w:fldCharType="end"/>
            </w:r>
          </w:hyperlink>
        </w:p>
        <w:p w14:paraId="5F6229DF" w14:textId="0C3F4FB1" w:rsidR="00D77E3F" w:rsidRDefault="00783427">
          <w:pPr>
            <w:pStyle w:val="TOC3"/>
            <w:tabs>
              <w:tab w:val="right" w:leader="dot" w:pos="8630"/>
            </w:tabs>
            <w:rPr>
              <w:rFonts w:asciiTheme="minorHAnsi" w:eastAsiaTheme="minorEastAsia" w:hAnsiTheme="minorHAnsi"/>
              <w:noProof/>
              <w:sz w:val="22"/>
              <w:lang w:val="en-US"/>
            </w:rPr>
          </w:pPr>
          <w:hyperlink w:anchor="_Toc110502554" w:history="1">
            <w:r w:rsidR="00D77E3F" w:rsidRPr="000E4272">
              <w:rPr>
                <w:rStyle w:val="Hyperlink"/>
                <w:noProof/>
              </w:rPr>
              <w:t>1.2 STATEMENT OF THE PROBLEM</w:t>
            </w:r>
            <w:r w:rsidR="00D77E3F">
              <w:rPr>
                <w:noProof/>
                <w:webHidden/>
              </w:rPr>
              <w:tab/>
            </w:r>
            <w:r w:rsidR="00D77E3F">
              <w:rPr>
                <w:noProof/>
                <w:webHidden/>
              </w:rPr>
              <w:fldChar w:fldCharType="begin"/>
            </w:r>
            <w:r w:rsidR="00D77E3F">
              <w:rPr>
                <w:noProof/>
                <w:webHidden/>
              </w:rPr>
              <w:instrText xml:space="preserve"> PAGEREF _Toc110502554 \h </w:instrText>
            </w:r>
            <w:r w:rsidR="00D77E3F">
              <w:rPr>
                <w:noProof/>
                <w:webHidden/>
              </w:rPr>
            </w:r>
            <w:r w:rsidR="00D77E3F">
              <w:rPr>
                <w:noProof/>
                <w:webHidden/>
              </w:rPr>
              <w:fldChar w:fldCharType="separate"/>
            </w:r>
            <w:r w:rsidR="00D77E3F">
              <w:rPr>
                <w:noProof/>
                <w:webHidden/>
              </w:rPr>
              <w:t>7</w:t>
            </w:r>
            <w:r w:rsidR="00D77E3F">
              <w:rPr>
                <w:noProof/>
                <w:webHidden/>
              </w:rPr>
              <w:fldChar w:fldCharType="end"/>
            </w:r>
          </w:hyperlink>
        </w:p>
        <w:p w14:paraId="53ED340A" w14:textId="0F806124" w:rsidR="00D77E3F" w:rsidRDefault="00783427">
          <w:pPr>
            <w:pStyle w:val="TOC3"/>
            <w:tabs>
              <w:tab w:val="right" w:leader="dot" w:pos="8630"/>
            </w:tabs>
            <w:rPr>
              <w:rFonts w:asciiTheme="minorHAnsi" w:eastAsiaTheme="minorEastAsia" w:hAnsiTheme="minorHAnsi"/>
              <w:noProof/>
              <w:sz w:val="22"/>
              <w:lang w:val="en-US"/>
            </w:rPr>
          </w:pPr>
          <w:hyperlink w:anchor="_Toc110502555" w:history="1">
            <w:r w:rsidR="00D77E3F" w:rsidRPr="000E4272">
              <w:rPr>
                <w:rStyle w:val="Hyperlink"/>
                <w:noProof/>
              </w:rPr>
              <w:t>1.3 JUSTIFICATION FOR THE STUDY</w:t>
            </w:r>
            <w:r w:rsidR="00D77E3F">
              <w:rPr>
                <w:noProof/>
                <w:webHidden/>
              </w:rPr>
              <w:tab/>
            </w:r>
            <w:r w:rsidR="00D77E3F">
              <w:rPr>
                <w:noProof/>
                <w:webHidden/>
              </w:rPr>
              <w:fldChar w:fldCharType="begin"/>
            </w:r>
            <w:r w:rsidR="00D77E3F">
              <w:rPr>
                <w:noProof/>
                <w:webHidden/>
              </w:rPr>
              <w:instrText xml:space="preserve"> PAGEREF _Toc110502555 \h </w:instrText>
            </w:r>
            <w:r w:rsidR="00D77E3F">
              <w:rPr>
                <w:noProof/>
                <w:webHidden/>
              </w:rPr>
            </w:r>
            <w:r w:rsidR="00D77E3F">
              <w:rPr>
                <w:noProof/>
                <w:webHidden/>
              </w:rPr>
              <w:fldChar w:fldCharType="separate"/>
            </w:r>
            <w:r w:rsidR="00D77E3F">
              <w:rPr>
                <w:noProof/>
                <w:webHidden/>
              </w:rPr>
              <w:t>8</w:t>
            </w:r>
            <w:r w:rsidR="00D77E3F">
              <w:rPr>
                <w:noProof/>
                <w:webHidden/>
              </w:rPr>
              <w:fldChar w:fldCharType="end"/>
            </w:r>
          </w:hyperlink>
        </w:p>
        <w:p w14:paraId="4DF25047" w14:textId="51D99774" w:rsidR="00D77E3F" w:rsidRDefault="00783427">
          <w:pPr>
            <w:pStyle w:val="TOC3"/>
            <w:tabs>
              <w:tab w:val="right" w:leader="dot" w:pos="8630"/>
            </w:tabs>
            <w:rPr>
              <w:rFonts w:asciiTheme="minorHAnsi" w:eastAsiaTheme="minorEastAsia" w:hAnsiTheme="minorHAnsi"/>
              <w:noProof/>
              <w:sz w:val="22"/>
              <w:lang w:val="en-US"/>
            </w:rPr>
          </w:pPr>
          <w:hyperlink w:anchor="_Toc110502556" w:history="1">
            <w:r w:rsidR="00D77E3F" w:rsidRPr="000E4272">
              <w:rPr>
                <w:rStyle w:val="Hyperlink"/>
                <w:noProof/>
              </w:rPr>
              <w:t>1.4 AIM OF THE RESEARCH</w:t>
            </w:r>
            <w:r w:rsidR="00D77E3F">
              <w:rPr>
                <w:noProof/>
                <w:webHidden/>
              </w:rPr>
              <w:tab/>
            </w:r>
            <w:r w:rsidR="00D77E3F">
              <w:rPr>
                <w:noProof/>
                <w:webHidden/>
              </w:rPr>
              <w:fldChar w:fldCharType="begin"/>
            </w:r>
            <w:r w:rsidR="00D77E3F">
              <w:rPr>
                <w:noProof/>
                <w:webHidden/>
              </w:rPr>
              <w:instrText xml:space="preserve"> PAGEREF _Toc110502556 \h </w:instrText>
            </w:r>
            <w:r w:rsidR="00D77E3F">
              <w:rPr>
                <w:noProof/>
                <w:webHidden/>
              </w:rPr>
            </w:r>
            <w:r w:rsidR="00D77E3F">
              <w:rPr>
                <w:noProof/>
                <w:webHidden/>
              </w:rPr>
              <w:fldChar w:fldCharType="separate"/>
            </w:r>
            <w:r w:rsidR="00D77E3F">
              <w:rPr>
                <w:noProof/>
                <w:webHidden/>
              </w:rPr>
              <w:t>9</w:t>
            </w:r>
            <w:r w:rsidR="00D77E3F">
              <w:rPr>
                <w:noProof/>
                <w:webHidden/>
              </w:rPr>
              <w:fldChar w:fldCharType="end"/>
            </w:r>
          </w:hyperlink>
        </w:p>
        <w:p w14:paraId="63FE9C2B" w14:textId="19F9F6AF" w:rsidR="00D77E3F" w:rsidRDefault="00783427">
          <w:pPr>
            <w:pStyle w:val="TOC3"/>
            <w:tabs>
              <w:tab w:val="right" w:leader="dot" w:pos="8630"/>
            </w:tabs>
            <w:rPr>
              <w:rFonts w:asciiTheme="minorHAnsi" w:eastAsiaTheme="minorEastAsia" w:hAnsiTheme="minorHAnsi"/>
              <w:noProof/>
              <w:sz w:val="22"/>
              <w:lang w:val="en-US"/>
            </w:rPr>
          </w:pPr>
          <w:hyperlink w:anchor="_Toc110502557" w:history="1">
            <w:r w:rsidR="00D77E3F" w:rsidRPr="000E4272">
              <w:rPr>
                <w:rStyle w:val="Hyperlink"/>
                <w:noProof/>
              </w:rPr>
              <w:t>1.5 SPECIFIC OBJECTIVES OF THE RESEARCH</w:t>
            </w:r>
            <w:r w:rsidR="00D77E3F">
              <w:rPr>
                <w:noProof/>
                <w:webHidden/>
              </w:rPr>
              <w:tab/>
            </w:r>
            <w:r w:rsidR="00D77E3F">
              <w:rPr>
                <w:noProof/>
                <w:webHidden/>
              </w:rPr>
              <w:fldChar w:fldCharType="begin"/>
            </w:r>
            <w:r w:rsidR="00D77E3F">
              <w:rPr>
                <w:noProof/>
                <w:webHidden/>
              </w:rPr>
              <w:instrText xml:space="preserve"> PAGEREF _Toc110502557 \h </w:instrText>
            </w:r>
            <w:r w:rsidR="00D77E3F">
              <w:rPr>
                <w:noProof/>
                <w:webHidden/>
              </w:rPr>
            </w:r>
            <w:r w:rsidR="00D77E3F">
              <w:rPr>
                <w:noProof/>
                <w:webHidden/>
              </w:rPr>
              <w:fldChar w:fldCharType="separate"/>
            </w:r>
            <w:r w:rsidR="00D77E3F">
              <w:rPr>
                <w:noProof/>
                <w:webHidden/>
              </w:rPr>
              <w:t>9</w:t>
            </w:r>
            <w:r w:rsidR="00D77E3F">
              <w:rPr>
                <w:noProof/>
                <w:webHidden/>
              </w:rPr>
              <w:fldChar w:fldCharType="end"/>
            </w:r>
          </w:hyperlink>
        </w:p>
        <w:p w14:paraId="39B9F86F" w14:textId="0EFCA36F" w:rsidR="00D77E3F" w:rsidRDefault="00783427">
          <w:pPr>
            <w:pStyle w:val="TOC3"/>
            <w:tabs>
              <w:tab w:val="right" w:leader="dot" w:pos="8630"/>
            </w:tabs>
            <w:rPr>
              <w:rFonts w:asciiTheme="minorHAnsi" w:eastAsiaTheme="minorEastAsia" w:hAnsiTheme="minorHAnsi"/>
              <w:noProof/>
              <w:sz w:val="22"/>
              <w:lang w:val="en-US"/>
            </w:rPr>
          </w:pPr>
          <w:hyperlink w:anchor="_Toc110502558" w:history="1">
            <w:r w:rsidR="00D77E3F" w:rsidRPr="000E4272">
              <w:rPr>
                <w:rStyle w:val="Hyperlink"/>
                <w:noProof/>
              </w:rPr>
              <w:t>1.6 SCOPE OF THE RESEARCH</w:t>
            </w:r>
            <w:r w:rsidR="00D77E3F">
              <w:rPr>
                <w:noProof/>
                <w:webHidden/>
              </w:rPr>
              <w:tab/>
            </w:r>
            <w:r w:rsidR="00D77E3F">
              <w:rPr>
                <w:noProof/>
                <w:webHidden/>
              </w:rPr>
              <w:fldChar w:fldCharType="begin"/>
            </w:r>
            <w:r w:rsidR="00D77E3F">
              <w:rPr>
                <w:noProof/>
                <w:webHidden/>
              </w:rPr>
              <w:instrText xml:space="preserve"> PAGEREF _Toc110502558 \h </w:instrText>
            </w:r>
            <w:r w:rsidR="00D77E3F">
              <w:rPr>
                <w:noProof/>
                <w:webHidden/>
              </w:rPr>
            </w:r>
            <w:r w:rsidR="00D77E3F">
              <w:rPr>
                <w:noProof/>
                <w:webHidden/>
              </w:rPr>
              <w:fldChar w:fldCharType="separate"/>
            </w:r>
            <w:r w:rsidR="00D77E3F">
              <w:rPr>
                <w:noProof/>
                <w:webHidden/>
              </w:rPr>
              <w:t>10</w:t>
            </w:r>
            <w:r w:rsidR="00D77E3F">
              <w:rPr>
                <w:noProof/>
                <w:webHidden/>
              </w:rPr>
              <w:fldChar w:fldCharType="end"/>
            </w:r>
          </w:hyperlink>
        </w:p>
        <w:p w14:paraId="2E7C99DC" w14:textId="2DA8A163" w:rsidR="00D77E3F" w:rsidRDefault="00783427">
          <w:pPr>
            <w:pStyle w:val="TOC3"/>
            <w:tabs>
              <w:tab w:val="right" w:leader="dot" w:pos="8630"/>
            </w:tabs>
            <w:rPr>
              <w:rFonts w:asciiTheme="minorHAnsi" w:eastAsiaTheme="minorEastAsia" w:hAnsiTheme="minorHAnsi"/>
              <w:noProof/>
              <w:sz w:val="22"/>
              <w:lang w:val="en-US"/>
            </w:rPr>
          </w:pPr>
          <w:hyperlink w:anchor="_Toc110502559" w:history="1">
            <w:r w:rsidR="00D77E3F" w:rsidRPr="000E4272">
              <w:rPr>
                <w:rStyle w:val="Hyperlink"/>
                <w:noProof/>
              </w:rPr>
              <w:t>1.7 SIGNIFICANCE OF THE STUDY</w:t>
            </w:r>
            <w:r w:rsidR="00D77E3F">
              <w:rPr>
                <w:noProof/>
                <w:webHidden/>
              </w:rPr>
              <w:tab/>
            </w:r>
            <w:r w:rsidR="00D77E3F">
              <w:rPr>
                <w:noProof/>
                <w:webHidden/>
              </w:rPr>
              <w:fldChar w:fldCharType="begin"/>
            </w:r>
            <w:r w:rsidR="00D77E3F">
              <w:rPr>
                <w:noProof/>
                <w:webHidden/>
              </w:rPr>
              <w:instrText xml:space="preserve"> PAGEREF _Toc110502559 \h </w:instrText>
            </w:r>
            <w:r w:rsidR="00D77E3F">
              <w:rPr>
                <w:noProof/>
                <w:webHidden/>
              </w:rPr>
            </w:r>
            <w:r w:rsidR="00D77E3F">
              <w:rPr>
                <w:noProof/>
                <w:webHidden/>
              </w:rPr>
              <w:fldChar w:fldCharType="separate"/>
            </w:r>
            <w:r w:rsidR="00D77E3F">
              <w:rPr>
                <w:noProof/>
                <w:webHidden/>
              </w:rPr>
              <w:t>10</w:t>
            </w:r>
            <w:r w:rsidR="00D77E3F">
              <w:rPr>
                <w:noProof/>
                <w:webHidden/>
              </w:rPr>
              <w:fldChar w:fldCharType="end"/>
            </w:r>
          </w:hyperlink>
        </w:p>
        <w:p w14:paraId="7D275719" w14:textId="359259F4" w:rsidR="00D77E3F" w:rsidRDefault="00783427">
          <w:pPr>
            <w:pStyle w:val="TOC1"/>
            <w:tabs>
              <w:tab w:val="right" w:leader="dot" w:pos="8630"/>
            </w:tabs>
            <w:rPr>
              <w:rFonts w:asciiTheme="minorHAnsi" w:eastAsiaTheme="minorEastAsia" w:hAnsiTheme="minorHAnsi"/>
              <w:noProof/>
              <w:sz w:val="22"/>
              <w:lang w:val="en-US"/>
            </w:rPr>
          </w:pPr>
          <w:hyperlink w:anchor="_Toc110502560" w:history="1">
            <w:r w:rsidR="00D77E3F" w:rsidRPr="000E4272">
              <w:rPr>
                <w:rStyle w:val="Hyperlink"/>
                <w:noProof/>
                <w:lang w:val="en-US"/>
              </w:rPr>
              <w:t>CHAPTER TWO</w:t>
            </w:r>
            <w:r w:rsidR="00D77E3F">
              <w:rPr>
                <w:noProof/>
                <w:webHidden/>
              </w:rPr>
              <w:tab/>
            </w:r>
            <w:r w:rsidR="00D77E3F">
              <w:rPr>
                <w:noProof/>
                <w:webHidden/>
              </w:rPr>
              <w:fldChar w:fldCharType="begin"/>
            </w:r>
            <w:r w:rsidR="00D77E3F">
              <w:rPr>
                <w:noProof/>
                <w:webHidden/>
              </w:rPr>
              <w:instrText xml:space="preserve"> PAGEREF _Toc110502560 \h </w:instrText>
            </w:r>
            <w:r w:rsidR="00D77E3F">
              <w:rPr>
                <w:noProof/>
                <w:webHidden/>
              </w:rPr>
            </w:r>
            <w:r w:rsidR="00D77E3F">
              <w:rPr>
                <w:noProof/>
                <w:webHidden/>
              </w:rPr>
              <w:fldChar w:fldCharType="separate"/>
            </w:r>
            <w:r w:rsidR="00D77E3F">
              <w:rPr>
                <w:noProof/>
                <w:webHidden/>
              </w:rPr>
              <w:t>12</w:t>
            </w:r>
            <w:r w:rsidR="00D77E3F">
              <w:rPr>
                <w:noProof/>
                <w:webHidden/>
              </w:rPr>
              <w:fldChar w:fldCharType="end"/>
            </w:r>
          </w:hyperlink>
        </w:p>
        <w:p w14:paraId="6945538A" w14:textId="7E51EEC0" w:rsidR="00D77E3F" w:rsidRDefault="00783427">
          <w:pPr>
            <w:pStyle w:val="TOC2"/>
            <w:tabs>
              <w:tab w:val="right" w:leader="dot" w:pos="8630"/>
            </w:tabs>
            <w:rPr>
              <w:rFonts w:asciiTheme="minorHAnsi" w:eastAsiaTheme="minorEastAsia" w:hAnsiTheme="minorHAnsi"/>
              <w:noProof/>
              <w:sz w:val="22"/>
              <w:lang w:val="en-US"/>
            </w:rPr>
          </w:pPr>
          <w:hyperlink w:anchor="_Toc110502561" w:history="1">
            <w:r w:rsidR="00D77E3F" w:rsidRPr="000E4272">
              <w:rPr>
                <w:rStyle w:val="Hyperlink"/>
                <w:noProof/>
                <w:lang w:val="en-US"/>
              </w:rPr>
              <w:t>REVIEW OF RELATED LITERATURE</w:t>
            </w:r>
            <w:r w:rsidR="00D77E3F">
              <w:rPr>
                <w:noProof/>
                <w:webHidden/>
              </w:rPr>
              <w:tab/>
            </w:r>
            <w:r w:rsidR="00D77E3F">
              <w:rPr>
                <w:noProof/>
                <w:webHidden/>
              </w:rPr>
              <w:fldChar w:fldCharType="begin"/>
            </w:r>
            <w:r w:rsidR="00D77E3F">
              <w:rPr>
                <w:noProof/>
                <w:webHidden/>
              </w:rPr>
              <w:instrText xml:space="preserve"> PAGEREF _Toc110502561 \h </w:instrText>
            </w:r>
            <w:r w:rsidR="00D77E3F">
              <w:rPr>
                <w:noProof/>
                <w:webHidden/>
              </w:rPr>
            </w:r>
            <w:r w:rsidR="00D77E3F">
              <w:rPr>
                <w:noProof/>
                <w:webHidden/>
              </w:rPr>
              <w:fldChar w:fldCharType="separate"/>
            </w:r>
            <w:r w:rsidR="00D77E3F">
              <w:rPr>
                <w:noProof/>
                <w:webHidden/>
              </w:rPr>
              <w:t>12</w:t>
            </w:r>
            <w:r w:rsidR="00D77E3F">
              <w:rPr>
                <w:noProof/>
                <w:webHidden/>
              </w:rPr>
              <w:fldChar w:fldCharType="end"/>
            </w:r>
          </w:hyperlink>
        </w:p>
        <w:p w14:paraId="23A2BFE8" w14:textId="2416543A"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562" w:history="1">
            <w:r w:rsidR="00D77E3F" w:rsidRPr="000E4272">
              <w:rPr>
                <w:rStyle w:val="Hyperlink"/>
                <w:noProof/>
              </w:rPr>
              <w:t>2.1</w:t>
            </w:r>
            <w:r w:rsidR="00D77E3F">
              <w:rPr>
                <w:rFonts w:asciiTheme="minorHAnsi" w:eastAsiaTheme="minorEastAsia" w:hAnsiTheme="minorHAnsi"/>
                <w:noProof/>
                <w:sz w:val="22"/>
                <w:lang w:val="en-US"/>
              </w:rPr>
              <w:tab/>
            </w:r>
            <w:r w:rsidR="00D77E3F" w:rsidRPr="000E4272">
              <w:rPr>
                <w:rStyle w:val="Hyperlink"/>
                <w:noProof/>
              </w:rPr>
              <w:t>THE EMERGING STRUCTURE OF POWER SYSTEMS</w:t>
            </w:r>
            <w:r w:rsidR="00D77E3F">
              <w:rPr>
                <w:noProof/>
                <w:webHidden/>
              </w:rPr>
              <w:tab/>
            </w:r>
            <w:r w:rsidR="00D77E3F">
              <w:rPr>
                <w:noProof/>
                <w:webHidden/>
              </w:rPr>
              <w:fldChar w:fldCharType="begin"/>
            </w:r>
            <w:r w:rsidR="00D77E3F">
              <w:rPr>
                <w:noProof/>
                <w:webHidden/>
              </w:rPr>
              <w:instrText xml:space="preserve"> PAGEREF _Toc110502562 \h </w:instrText>
            </w:r>
            <w:r w:rsidR="00D77E3F">
              <w:rPr>
                <w:noProof/>
                <w:webHidden/>
              </w:rPr>
            </w:r>
            <w:r w:rsidR="00D77E3F">
              <w:rPr>
                <w:noProof/>
                <w:webHidden/>
              </w:rPr>
              <w:fldChar w:fldCharType="separate"/>
            </w:r>
            <w:r w:rsidR="00D77E3F">
              <w:rPr>
                <w:noProof/>
                <w:webHidden/>
              </w:rPr>
              <w:t>12</w:t>
            </w:r>
            <w:r w:rsidR="00D77E3F">
              <w:rPr>
                <w:noProof/>
                <w:webHidden/>
              </w:rPr>
              <w:fldChar w:fldCharType="end"/>
            </w:r>
          </w:hyperlink>
        </w:p>
        <w:p w14:paraId="35A8FAE7" w14:textId="6EA89328"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563" w:history="1">
            <w:r w:rsidR="00D77E3F" w:rsidRPr="000E4272">
              <w:rPr>
                <w:rStyle w:val="Hyperlink"/>
                <w:noProof/>
              </w:rPr>
              <w:t>2.2</w:t>
            </w:r>
            <w:r w:rsidR="00D77E3F">
              <w:rPr>
                <w:rFonts w:asciiTheme="minorHAnsi" w:eastAsiaTheme="minorEastAsia" w:hAnsiTheme="minorHAnsi"/>
                <w:noProof/>
                <w:sz w:val="22"/>
                <w:lang w:val="en-US"/>
              </w:rPr>
              <w:tab/>
            </w:r>
            <w:r w:rsidR="00D77E3F" w:rsidRPr="000E4272">
              <w:rPr>
                <w:rStyle w:val="Hyperlink"/>
                <w:noProof/>
              </w:rPr>
              <w:t>THE CONCEPT OF DISTRIBUTED GENERATION</w:t>
            </w:r>
            <w:r w:rsidR="00D77E3F">
              <w:rPr>
                <w:noProof/>
                <w:webHidden/>
              </w:rPr>
              <w:tab/>
            </w:r>
            <w:r w:rsidR="00D77E3F">
              <w:rPr>
                <w:noProof/>
                <w:webHidden/>
              </w:rPr>
              <w:fldChar w:fldCharType="begin"/>
            </w:r>
            <w:r w:rsidR="00D77E3F">
              <w:rPr>
                <w:noProof/>
                <w:webHidden/>
              </w:rPr>
              <w:instrText xml:space="preserve"> PAGEREF _Toc110502563 \h </w:instrText>
            </w:r>
            <w:r w:rsidR="00D77E3F">
              <w:rPr>
                <w:noProof/>
                <w:webHidden/>
              </w:rPr>
            </w:r>
            <w:r w:rsidR="00D77E3F">
              <w:rPr>
                <w:noProof/>
                <w:webHidden/>
              </w:rPr>
              <w:fldChar w:fldCharType="separate"/>
            </w:r>
            <w:r w:rsidR="00D77E3F">
              <w:rPr>
                <w:noProof/>
                <w:webHidden/>
              </w:rPr>
              <w:t>12</w:t>
            </w:r>
            <w:r w:rsidR="00D77E3F">
              <w:rPr>
                <w:noProof/>
                <w:webHidden/>
              </w:rPr>
              <w:fldChar w:fldCharType="end"/>
            </w:r>
          </w:hyperlink>
        </w:p>
        <w:p w14:paraId="2EAE3EAB" w14:textId="0505A1D7" w:rsidR="00D77E3F" w:rsidRDefault="00783427">
          <w:pPr>
            <w:pStyle w:val="TOC3"/>
            <w:tabs>
              <w:tab w:val="right" w:leader="dot" w:pos="8630"/>
            </w:tabs>
            <w:rPr>
              <w:rFonts w:asciiTheme="minorHAnsi" w:eastAsiaTheme="minorEastAsia" w:hAnsiTheme="minorHAnsi"/>
              <w:noProof/>
              <w:sz w:val="22"/>
              <w:lang w:val="en-US"/>
            </w:rPr>
          </w:pPr>
          <w:hyperlink w:anchor="_Toc110502564" w:history="1">
            <w:r w:rsidR="00D77E3F" w:rsidRPr="000E4272">
              <w:rPr>
                <w:rStyle w:val="Hyperlink"/>
                <w:noProof/>
              </w:rPr>
              <w:t>2.3 MICROGRID CONCEPT</w:t>
            </w:r>
            <w:r w:rsidR="00D77E3F">
              <w:rPr>
                <w:noProof/>
                <w:webHidden/>
              </w:rPr>
              <w:tab/>
            </w:r>
            <w:r w:rsidR="00D77E3F">
              <w:rPr>
                <w:noProof/>
                <w:webHidden/>
              </w:rPr>
              <w:fldChar w:fldCharType="begin"/>
            </w:r>
            <w:r w:rsidR="00D77E3F">
              <w:rPr>
                <w:noProof/>
                <w:webHidden/>
              </w:rPr>
              <w:instrText xml:space="preserve"> PAGEREF _Toc110502564 \h </w:instrText>
            </w:r>
            <w:r w:rsidR="00D77E3F">
              <w:rPr>
                <w:noProof/>
                <w:webHidden/>
              </w:rPr>
            </w:r>
            <w:r w:rsidR="00D77E3F">
              <w:rPr>
                <w:noProof/>
                <w:webHidden/>
              </w:rPr>
              <w:fldChar w:fldCharType="separate"/>
            </w:r>
            <w:r w:rsidR="00D77E3F">
              <w:rPr>
                <w:noProof/>
                <w:webHidden/>
              </w:rPr>
              <w:t>17</w:t>
            </w:r>
            <w:r w:rsidR="00D77E3F">
              <w:rPr>
                <w:noProof/>
                <w:webHidden/>
              </w:rPr>
              <w:fldChar w:fldCharType="end"/>
            </w:r>
          </w:hyperlink>
        </w:p>
        <w:p w14:paraId="6DA6FC49" w14:textId="7D84AD36" w:rsidR="00D77E3F" w:rsidRDefault="00783427">
          <w:pPr>
            <w:pStyle w:val="TOC3"/>
            <w:tabs>
              <w:tab w:val="right" w:leader="dot" w:pos="8630"/>
            </w:tabs>
            <w:rPr>
              <w:rFonts w:asciiTheme="minorHAnsi" w:eastAsiaTheme="minorEastAsia" w:hAnsiTheme="minorHAnsi"/>
              <w:noProof/>
              <w:sz w:val="22"/>
              <w:lang w:val="en-US"/>
            </w:rPr>
          </w:pPr>
          <w:hyperlink w:anchor="_Toc110502565" w:history="1">
            <w:r w:rsidR="00D77E3F" w:rsidRPr="000E4272">
              <w:rPr>
                <w:rStyle w:val="Hyperlink"/>
                <w:noProof/>
              </w:rPr>
              <w:t>2.4 CLASSIFICATIONS OF MICROGRIDS BY PURPOSE</w:t>
            </w:r>
            <w:r w:rsidR="00D77E3F">
              <w:rPr>
                <w:noProof/>
                <w:webHidden/>
              </w:rPr>
              <w:tab/>
            </w:r>
            <w:r w:rsidR="00D77E3F">
              <w:rPr>
                <w:noProof/>
                <w:webHidden/>
              </w:rPr>
              <w:fldChar w:fldCharType="begin"/>
            </w:r>
            <w:r w:rsidR="00D77E3F">
              <w:rPr>
                <w:noProof/>
                <w:webHidden/>
              </w:rPr>
              <w:instrText xml:space="preserve"> PAGEREF _Toc110502565 \h </w:instrText>
            </w:r>
            <w:r w:rsidR="00D77E3F">
              <w:rPr>
                <w:noProof/>
                <w:webHidden/>
              </w:rPr>
            </w:r>
            <w:r w:rsidR="00D77E3F">
              <w:rPr>
                <w:noProof/>
                <w:webHidden/>
              </w:rPr>
              <w:fldChar w:fldCharType="separate"/>
            </w:r>
            <w:r w:rsidR="00D77E3F">
              <w:rPr>
                <w:noProof/>
                <w:webHidden/>
              </w:rPr>
              <w:t>19</w:t>
            </w:r>
            <w:r w:rsidR="00D77E3F">
              <w:rPr>
                <w:noProof/>
                <w:webHidden/>
              </w:rPr>
              <w:fldChar w:fldCharType="end"/>
            </w:r>
          </w:hyperlink>
        </w:p>
        <w:p w14:paraId="3A297860" w14:textId="03FDE4F8" w:rsidR="00D77E3F" w:rsidRDefault="00783427">
          <w:pPr>
            <w:pStyle w:val="TOC3"/>
            <w:tabs>
              <w:tab w:val="right" w:leader="dot" w:pos="8630"/>
            </w:tabs>
            <w:rPr>
              <w:rFonts w:asciiTheme="minorHAnsi" w:eastAsiaTheme="minorEastAsia" w:hAnsiTheme="minorHAnsi"/>
              <w:noProof/>
              <w:sz w:val="22"/>
              <w:lang w:val="en-US"/>
            </w:rPr>
          </w:pPr>
          <w:hyperlink w:anchor="_Toc110502566" w:history="1">
            <w:r w:rsidR="00D77E3F" w:rsidRPr="000E4272">
              <w:rPr>
                <w:rStyle w:val="Hyperlink"/>
                <w:noProof/>
              </w:rPr>
              <w:t>2.5 STABILITY IN MODERN POWER SYSTEMS</w:t>
            </w:r>
            <w:r w:rsidR="00D77E3F">
              <w:rPr>
                <w:noProof/>
                <w:webHidden/>
              </w:rPr>
              <w:tab/>
            </w:r>
            <w:r w:rsidR="00D77E3F">
              <w:rPr>
                <w:noProof/>
                <w:webHidden/>
              </w:rPr>
              <w:fldChar w:fldCharType="begin"/>
            </w:r>
            <w:r w:rsidR="00D77E3F">
              <w:rPr>
                <w:noProof/>
                <w:webHidden/>
              </w:rPr>
              <w:instrText xml:space="preserve"> PAGEREF _Toc110502566 \h </w:instrText>
            </w:r>
            <w:r w:rsidR="00D77E3F">
              <w:rPr>
                <w:noProof/>
                <w:webHidden/>
              </w:rPr>
            </w:r>
            <w:r w:rsidR="00D77E3F">
              <w:rPr>
                <w:noProof/>
                <w:webHidden/>
              </w:rPr>
              <w:fldChar w:fldCharType="separate"/>
            </w:r>
            <w:r w:rsidR="00D77E3F">
              <w:rPr>
                <w:noProof/>
                <w:webHidden/>
              </w:rPr>
              <w:t>24</w:t>
            </w:r>
            <w:r w:rsidR="00D77E3F">
              <w:rPr>
                <w:noProof/>
                <w:webHidden/>
              </w:rPr>
              <w:fldChar w:fldCharType="end"/>
            </w:r>
          </w:hyperlink>
        </w:p>
        <w:p w14:paraId="63FBDE74" w14:textId="01E88782" w:rsidR="00D77E3F" w:rsidRDefault="00783427">
          <w:pPr>
            <w:pStyle w:val="TOC3"/>
            <w:tabs>
              <w:tab w:val="right" w:leader="dot" w:pos="8630"/>
            </w:tabs>
            <w:rPr>
              <w:rFonts w:asciiTheme="minorHAnsi" w:eastAsiaTheme="minorEastAsia" w:hAnsiTheme="minorHAnsi"/>
              <w:noProof/>
              <w:sz w:val="22"/>
              <w:lang w:val="en-US"/>
            </w:rPr>
          </w:pPr>
          <w:hyperlink w:anchor="_Toc110502567" w:history="1">
            <w:r w:rsidR="00D77E3F" w:rsidRPr="000E4272">
              <w:rPr>
                <w:rStyle w:val="Hyperlink"/>
                <w:noProof/>
              </w:rPr>
              <w:t>2.6 UNCERTAINTY IN POWER SYSTEMS</w:t>
            </w:r>
            <w:r w:rsidR="00D77E3F">
              <w:rPr>
                <w:noProof/>
                <w:webHidden/>
              </w:rPr>
              <w:tab/>
            </w:r>
            <w:r w:rsidR="00D77E3F">
              <w:rPr>
                <w:noProof/>
                <w:webHidden/>
              </w:rPr>
              <w:fldChar w:fldCharType="begin"/>
            </w:r>
            <w:r w:rsidR="00D77E3F">
              <w:rPr>
                <w:noProof/>
                <w:webHidden/>
              </w:rPr>
              <w:instrText xml:space="preserve"> PAGEREF _Toc110502567 \h </w:instrText>
            </w:r>
            <w:r w:rsidR="00D77E3F">
              <w:rPr>
                <w:noProof/>
                <w:webHidden/>
              </w:rPr>
            </w:r>
            <w:r w:rsidR="00D77E3F">
              <w:rPr>
                <w:noProof/>
                <w:webHidden/>
              </w:rPr>
              <w:fldChar w:fldCharType="separate"/>
            </w:r>
            <w:r w:rsidR="00D77E3F">
              <w:rPr>
                <w:noProof/>
                <w:webHidden/>
              </w:rPr>
              <w:t>26</w:t>
            </w:r>
            <w:r w:rsidR="00D77E3F">
              <w:rPr>
                <w:noProof/>
                <w:webHidden/>
              </w:rPr>
              <w:fldChar w:fldCharType="end"/>
            </w:r>
          </w:hyperlink>
        </w:p>
        <w:p w14:paraId="5091F157" w14:textId="41DDEBC2" w:rsidR="00D77E3F" w:rsidRDefault="00783427">
          <w:pPr>
            <w:pStyle w:val="TOC3"/>
            <w:tabs>
              <w:tab w:val="right" w:leader="dot" w:pos="8630"/>
            </w:tabs>
            <w:rPr>
              <w:rFonts w:asciiTheme="minorHAnsi" w:eastAsiaTheme="minorEastAsia" w:hAnsiTheme="minorHAnsi"/>
              <w:noProof/>
              <w:sz w:val="22"/>
              <w:lang w:val="en-US"/>
            </w:rPr>
          </w:pPr>
          <w:hyperlink w:anchor="_Toc110502568" w:history="1">
            <w:r w:rsidR="00D77E3F" w:rsidRPr="000E4272">
              <w:rPr>
                <w:rStyle w:val="Hyperlink"/>
                <w:noProof/>
              </w:rPr>
              <w:t>2.7   QUASI-DYNAMIC SIMULATION</w:t>
            </w:r>
            <w:r w:rsidR="00D77E3F">
              <w:rPr>
                <w:noProof/>
                <w:webHidden/>
              </w:rPr>
              <w:tab/>
            </w:r>
            <w:r w:rsidR="00D77E3F">
              <w:rPr>
                <w:noProof/>
                <w:webHidden/>
              </w:rPr>
              <w:fldChar w:fldCharType="begin"/>
            </w:r>
            <w:r w:rsidR="00D77E3F">
              <w:rPr>
                <w:noProof/>
                <w:webHidden/>
              </w:rPr>
              <w:instrText xml:space="preserve"> PAGEREF _Toc110502568 \h </w:instrText>
            </w:r>
            <w:r w:rsidR="00D77E3F">
              <w:rPr>
                <w:noProof/>
                <w:webHidden/>
              </w:rPr>
            </w:r>
            <w:r w:rsidR="00D77E3F">
              <w:rPr>
                <w:noProof/>
                <w:webHidden/>
              </w:rPr>
              <w:fldChar w:fldCharType="separate"/>
            </w:r>
            <w:r w:rsidR="00D77E3F">
              <w:rPr>
                <w:noProof/>
                <w:webHidden/>
              </w:rPr>
              <w:t>28</w:t>
            </w:r>
            <w:r w:rsidR="00D77E3F">
              <w:rPr>
                <w:noProof/>
                <w:webHidden/>
              </w:rPr>
              <w:fldChar w:fldCharType="end"/>
            </w:r>
          </w:hyperlink>
        </w:p>
        <w:p w14:paraId="09E47159" w14:textId="41481281"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569" w:history="1">
            <w:r w:rsidR="00D77E3F" w:rsidRPr="000E4272">
              <w:rPr>
                <w:rStyle w:val="Hyperlink"/>
                <w:noProof/>
              </w:rPr>
              <w:t>2.8</w:t>
            </w:r>
            <w:r w:rsidR="00D77E3F">
              <w:rPr>
                <w:rFonts w:asciiTheme="minorHAnsi" w:eastAsiaTheme="minorEastAsia" w:hAnsiTheme="minorHAnsi"/>
                <w:noProof/>
                <w:sz w:val="22"/>
                <w:lang w:val="en-US"/>
              </w:rPr>
              <w:tab/>
            </w:r>
            <w:r w:rsidR="00D77E3F" w:rsidRPr="000E4272">
              <w:rPr>
                <w:rStyle w:val="Hyperlink"/>
                <w:noProof/>
              </w:rPr>
              <w:t>FUZZY LOGIC FOR SOCIAL ACCEPTABILITY ANALYSIS</w:t>
            </w:r>
            <w:r w:rsidR="00D77E3F">
              <w:rPr>
                <w:noProof/>
                <w:webHidden/>
              </w:rPr>
              <w:tab/>
            </w:r>
            <w:r w:rsidR="00D77E3F">
              <w:rPr>
                <w:noProof/>
                <w:webHidden/>
              </w:rPr>
              <w:fldChar w:fldCharType="begin"/>
            </w:r>
            <w:r w:rsidR="00D77E3F">
              <w:rPr>
                <w:noProof/>
                <w:webHidden/>
              </w:rPr>
              <w:instrText xml:space="preserve"> PAGEREF _Toc110502569 \h </w:instrText>
            </w:r>
            <w:r w:rsidR="00D77E3F">
              <w:rPr>
                <w:noProof/>
                <w:webHidden/>
              </w:rPr>
            </w:r>
            <w:r w:rsidR="00D77E3F">
              <w:rPr>
                <w:noProof/>
                <w:webHidden/>
              </w:rPr>
              <w:fldChar w:fldCharType="separate"/>
            </w:r>
            <w:r w:rsidR="00D77E3F">
              <w:rPr>
                <w:noProof/>
                <w:webHidden/>
              </w:rPr>
              <w:t>30</w:t>
            </w:r>
            <w:r w:rsidR="00D77E3F">
              <w:rPr>
                <w:noProof/>
                <w:webHidden/>
              </w:rPr>
              <w:fldChar w:fldCharType="end"/>
            </w:r>
          </w:hyperlink>
        </w:p>
        <w:p w14:paraId="1BDD1589" w14:textId="21504992" w:rsidR="00D77E3F" w:rsidRDefault="00783427">
          <w:pPr>
            <w:pStyle w:val="TOC3"/>
            <w:tabs>
              <w:tab w:val="right" w:leader="dot" w:pos="8630"/>
            </w:tabs>
            <w:rPr>
              <w:rFonts w:asciiTheme="minorHAnsi" w:eastAsiaTheme="minorEastAsia" w:hAnsiTheme="minorHAnsi"/>
              <w:noProof/>
              <w:sz w:val="22"/>
              <w:lang w:val="en-US"/>
            </w:rPr>
          </w:pPr>
          <w:hyperlink w:anchor="_Toc110502570" w:history="1">
            <w:r w:rsidR="00D77E3F" w:rsidRPr="000E4272">
              <w:rPr>
                <w:rStyle w:val="Hyperlink"/>
                <w:noProof/>
              </w:rPr>
              <w:t>2.9 GAP IDENTIFIED IN THE LITERATURE</w:t>
            </w:r>
            <w:r w:rsidR="00D77E3F">
              <w:rPr>
                <w:noProof/>
                <w:webHidden/>
              </w:rPr>
              <w:tab/>
            </w:r>
            <w:r w:rsidR="00D77E3F">
              <w:rPr>
                <w:noProof/>
                <w:webHidden/>
              </w:rPr>
              <w:fldChar w:fldCharType="begin"/>
            </w:r>
            <w:r w:rsidR="00D77E3F">
              <w:rPr>
                <w:noProof/>
                <w:webHidden/>
              </w:rPr>
              <w:instrText xml:space="preserve"> PAGEREF _Toc110502570 \h </w:instrText>
            </w:r>
            <w:r w:rsidR="00D77E3F">
              <w:rPr>
                <w:noProof/>
                <w:webHidden/>
              </w:rPr>
            </w:r>
            <w:r w:rsidR="00D77E3F">
              <w:rPr>
                <w:noProof/>
                <w:webHidden/>
              </w:rPr>
              <w:fldChar w:fldCharType="separate"/>
            </w:r>
            <w:r w:rsidR="00D77E3F">
              <w:rPr>
                <w:noProof/>
                <w:webHidden/>
              </w:rPr>
              <w:t>42</w:t>
            </w:r>
            <w:r w:rsidR="00D77E3F">
              <w:rPr>
                <w:noProof/>
                <w:webHidden/>
              </w:rPr>
              <w:fldChar w:fldCharType="end"/>
            </w:r>
          </w:hyperlink>
        </w:p>
        <w:p w14:paraId="0B8FF713" w14:textId="1D9275DA" w:rsidR="00D77E3F" w:rsidRDefault="00783427">
          <w:pPr>
            <w:pStyle w:val="TOC1"/>
            <w:tabs>
              <w:tab w:val="right" w:leader="dot" w:pos="8630"/>
            </w:tabs>
            <w:rPr>
              <w:rFonts w:asciiTheme="minorHAnsi" w:eastAsiaTheme="minorEastAsia" w:hAnsiTheme="minorHAnsi"/>
              <w:noProof/>
              <w:sz w:val="22"/>
              <w:lang w:val="en-US"/>
            </w:rPr>
          </w:pPr>
          <w:hyperlink w:anchor="_Toc110502571" w:history="1">
            <w:r w:rsidR="00D77E3F" w:rsidRPr="000E4272">
              <w:rPr>
                <w:rStyle w:val="Hyperlink"/>
                <w:noProof/>
                <w:lang w:val="en-US"/>
              </w:rPr>
              <w:t>CHAPTER THREE</w:t>
            </w:r>
            <w:r w:rsidR="00D77E3F">
              <w:rPr>
                <w:noProof/>
                <w:webHidden/>
              </w:rPr>
              <w:tab/>
            </w:r>
            <w:r w:rsidR="00D77E3F">
              <w:rPr>
                <w:noProof/>
                <w:webHidden/>
              </w:rPr>
              <w:fldChar w:fldCharType="begin"/>
            </w:r>
            <w:r w:rsidR="00D77E3F">
              <w:rPr>
                <w:noProof/>
                <w:webHidden/>
              </w:rPr>
              <w:instrText xml:space="preserve"> PAGEREF _Toc110502571 \h </w:instrText>
            </w:r>
            <w:r w:rsidR="00D77E3F">
              <w:rPr>
                <w:noProof/>
                <w:webHidden/>
              </w:rPr>
            </w:r>
            <w:r w:rsidR="00D77E3F">
              <w:rPr>
                <w:noProof/>
                <w:webHidden/>
              </w:rPr>
              <w:fldChar w:fldCharType="separate"/>
            </w:r>
            <w:r w:rsidR="00D77E3F">
              <w:rPr>
                <w:noProof/>
                <w:webHidden/>
              </w:rPr>
              <w:t>43</w:t>
            </w:r>
            <w:r w:rsidR="00D77E3F">
              <w:rPr>
                <w:noProof/>
                <w:webHidden/>
              </w:rPr>
              <w:fldChar w:fldCharType="end"/>
            </w:r>
          </w:hyperlink>
        </w:p>
        <w:p w14:paraId="2D064043" w14:textId="034067E7" w:rsidR="00D77E3F" w:rsidRDefault="00783427">
          <w:pPr>
            <w:pStyle w:val="TOC2"/>
            <w:tabs>
              <w:tab w:val="right" w:leader="dot" w:pos="8630"/>
            </w:tabs>
            <w:rPr>
              <w:rFonts w:asciiTheme="minorHAnsi" w:eastAsiaTheme="minorEastAsia" w:hAnsiTheme="minorHAnsi"/>
              <w:noProof/>
              <w:sz w:val="22"/>
              <w:lang w:val="en-US"/>
            </w:rPr>
          </w:pPr>
          <w:hyperlink w:anchor="_Toc110502572" w:history="1">
            <w:r w:rsidR="00D77E3F" w:rsidRPr="000E4272">
              <w:rPr>
                <w:rStyle w:val="Hyperlink"/>
                <w:noProof/>
                <w:lang w:val="en-US"/>
              </w:rPr>
              <w:t>METHODOLOGY</w:t>
            </w:r>
            <w:r w:rsidR="00D77E3F">
              <w:rPr>
                <w:noProof/>
                <w:webHidden/>
              </w:rPr>
              <w:tab/>
            </w:r>
            <w:r w:rsidR="00D77E3F">
              <w:rPr>
                <w:noProof/>
                <w:webHidden/>
              </w:rPr>
              <w:fldChar w:fldCharType="begin"/>
            </w:r>
            <w:r w:rsidR="00D77E3F">
              <w:rPr>
                <w:noProof/>
                <w:webHidden/>
              </w:rPr>
              <w:instrText xml:space="preserve"> PAGEREF _Toc110502572 \h </w:instrText>
            </w:r>
            <w:r w:rsidR="00D77E3F">
              <w:rPr>
                <w:noProof/>
                <w:webHidden/>
              </w:rPr>
            </w:r>
            <w:r w:rsidR="00D77E3F">
              <w:rPr>
                <w:noProof/>
                <w:webHidden/>
              </w:rPr>
              <w:fldChar w:fldCharType="separate"/>
            </w:r>
            <w:r w:rsidR="00D77E3F">
              <w:rPr>
                <w:noProof/>
                <w:webHidden/>
              </w:rPr>
              <w:t>43</w:t>
            </w:r>
            <w:r w:rsidR="00D77E3F">
              <w:rPr>
                <w:noProof/>
                <w:webHidden/>
              </w:rPr>
              <w:fldChar w:fldCharType="end"/>
            </w:r>
          </w:hyperlink>
        </w:p>
        <w:p w14:paraId="63DC1232" w14:textId="4F8BECFB" w:rsidR="00D77E3F" w:rsidRDefault="00783427">
          <w:pPr>
            <w:pStyle w:val="TOC3"/>
            <w:tabs>
              <w:tab w:val="right" w:leader="dot" w:pos="8630"/>
            </w:tabs>
            <w:rPr>
              <w:rFonts w:asciiTheme="minorHAnsi" w:eastAsiaTheme="minorEastAsia" w:hAnsiTheme="minorHAnsi"/>
              <w:noProof/>
              <w:sz w:val="22"/>
              <w:lang w:val="en-US"/>
            </w:rPr>
          </w:pPr>
          <w:hyperlink w:anchor="_Toc110502573" w:history="1">
            <w:r w:rsidR="00D77E3F" w:rsidRPr="000E4272">
              <w:rPr>
                <w:rStyle w:val="Hyperlink"/>
                <w:noProof/>
              </w:rPr>
              <w:t>3.1 RESEARCH DESIGN/MODEL SPECIFICATION</w:t>
            </w:r>
            <w:r w:rsidR="00D77E3F">
              <w:rPr>
                <w:noProof/>
                <w:webHidden/>
              </w:rPr>
              <w:tab/>
            </w:r>
            <w:r w:rsidR="00D77E3F">
              <w:rPr>
                <w:noProof/>
                <w:webHidden/>
              </w:rPr>
              <w:fldChar w:fldCharType="begin"/>
            </w:r>
            <w:r w:rsidR="00D77E3F">
              <w:rPr>
                <w:noProof/>
                <w:webHidden/>
              </w:rPr>
              <w:instrText xml:space="preserve"> PAGEREF _Toc110502573 \h </w:instrText>
            </w:r>
            <w:r w:rsidR="00D77E3F">
              <w:rPr>
                <w:noProof/>
                <w:webHidden/>
              </w:rPr>
            </w:r>
            <w:r w:rsidR="00D77E3F">
              <w:rPr>
                <w:noProof/>
                <w:webHidden/>
              </w:rPr>
              <w:fldChar w:fldCharType="separate"/>
            </w:r>
            <w:r w:rsidR="00D77E3F">
              <w:rPr>
                <w:noProof/>
                <w:webHidden/>
              </w:rPr>
              <w:t>43</w:t>
            </w:r>
            <w:r w:rsidR="00D77E3F">
              <w:rPr>
                <w:noProof/>
                <w:webHidden/>
              </w:rPr>
              <w:fldChar w:fldCharType="end"/>
            </w:r>
          </w:hyperlink>
        </w:p>
        <w:p w14:paraId="0CB2E96D" w14:textId="71B6DABC" w:rsidR="00D77E3F" w:rsidRDefault="00783427">
          <w:pPr>
            <w:pStyle w:val="TOC3"/>
            <w:tabs>
              <w:tab w:val="right" w:leader="dot" w:pos="8630"/>
            </w:tabs>
            <w:rPr>
              <w:rFonts w:asciiTheme="minorHAnsi" w:eastAsiaTheme="minorEastAsia" w:hAnsiTheme="minorHAnsi"/>
              <w:noProof/>
              <w:sz w:val="22"/>
              <w:lang w:val="en-US"/>
            </w:rPr>
          </w:pPr>
          <w:hyperlink w:anchor="_Toc110502574" w:history="1">
            <w:r w:rsidR="00D77E3F" w:rsidRPr="000E4272">
              <w:rPr>
                <w:rStyle w:val="Hyperlink"/>
                <w:noProof/>
              </w:rPr>
              <w:t>3.1.1 Description of Study Area</w:t>
            </w:r>
            <w:r w:rsidR="00D77E3F">
              <w:rPr>
                <w:noProof/>
                <w:webHidden/>
              </w:rPr>
              <w:tab/>
            </w:r>
            <w:r w:rsidR="00D77E3F">
              <w:rPr>
                <w:noProof/>
                <w:webHidden/>
              </w:rPr>
              <w:fldChar w:fldCharType="begin"/>
            </w:r>
            <w:r w:rsidR="00D77E3F">
              <w:rPr>
                <w:noProof/>
                <w:webHidden/>
              </w:rPr>
              <w:instrText xml:space="preserve"> PAGEREF _Toc110502574 \h </w:instrText>
            </w:r>
            <w:r w:rsidR="00D77E3F">
              <w:rPr>
                <w:noProof/>
                <w:webHidden/>
              </w:rPr>
            </w:r>
            <w:r w:rsidR="00D77E3F">
              <w:rPr>
                <w:noProof/>
                <w:webHidden/>
              </w:rPr>
              <w:fldChar w:fldCharType="separate"/>
            </w:r>
            <w:r w:rsidR="00D77E3F">
              <w:rPr>
                <w:noProof/>
                <w:webHidden/>
              </w:rPr>
              <w:t>43</w:t>
            </w:r>
            <w:r w:rsidR="00D77E3F">
              <w:rPr>
                <w:noProof/>
                <w:webHidden/>
              </w:rPr>
              <w:fldChar w:fldCharType="end"/>
            </w:r>
          </w:hyperlink>
        </w:p>
        <w:p w14:paraId="46B1A53B" w14:textId="23BA1B47" w:rsidR="00D77E3F" w:rsidRDefault="00783427">
          <w:pPr>
            <w:pStyle w:val="TOC3"/>
            <w:tabs>
              <w:tab w:val="right" w:leader="dot" w:pos="8630"/>
            </w:tabs>
            <w:rPr>
              <w:rFonts w:asciiTheme="minorHAnsi" w:eastAsiaTheme="minorEastAsia" w:hAnsiTheme="minorHAnsi"/>
              <w:noProof/>
              <w:sz w:val="22"/>
              <w:lang w:val="en-US"/>
            </w:rPr>
          </w:pPr>
          <w:hyperlink w:anchor="_Toc110502575" w:history="1">
            <w:r w:rsidR="00D77E3F" w:rsidRPr="000E4272">
              <w:rPr>
                <w:rStyle w:val="Hyperlink"/>
                <w:noProof/>
                <w:lang w:eastAsia="en-GB"/>
              </w:rPr>
              <w:t>3.1.2 Research Workstation</w:t>
            </w:r>
            <w:r w:rsidR="00D77E3F">
              <w:rPr>
                <w:noProof/>
                <w:webHidden/>
              </w:rPr>
              <w:tab/>
            </w:r>
            <w:r w:rsidR="00D77E3F">
              <w:rPr>
                <w:noProof/>
                <w:webHidden/>
              </w:rPr>
              <w:fldChar w:fldCharType="begin"/>
            </w:r>
            <w:r w:rsidR="00D77E3F">
              <w:rPr>
                <w:noProof/>
                <w:webHidden/>
              </w:rPr>
              <w:instrText xml:space="preserve"> PAGEREF _Toc110502575 \h </w:instrText>
            </w:r>
            <w:r w:rsidR="00D77E3F">
              <w:rPr>
                <w:noProof/>
                <w:webHidden/>
              </w:rPr>
            </w:r>
            <w:r w:rsidR="00D77E3F">
              <w:rPr>
                <w:noProof/>
                <w:webHidden/>
              </w:rPr>
              <w:fldChar w:fldCharType="separate"/>
            </w:r>
            <w:r w:rsidR="00D77E3F">
              <w:rPr>
                <w:noProof/>
                <w:webHidden/>
              </w:rPr>
              <w:t>44</w:t>
            </w:r>
            <w:r w:rsidR="00D77E3F">
              <w:rPr>
                <w:noProof/>
                <w:webHidden/>
              </w:rPr>
              <w:fldChar w:fldCharType="end"/>
            </w:r>
          </w:hyperlink>
        </w:p>
        <w:p w14:paraId="281CAFD6" w14:textId="4F8659FB" w:rsidR="00D77E3F" w:rsidRDefault="00783427">
          <w:pPr>
            <w:pStyle w:val="TOC3"/>
            <w:tabs>
              <w:tab w:val="right" w:leader="dot" w:pos="8630"/>
            </w:tabs>
            <w:rPr>
              <w:rFonts w:asciiTheme="minorHAnsi" w:eastAsiaTheme="minorEastAsia" w:hAnsiTheme="minorHAnsi"/>
              <w:noProof/>
              <w:sz w:val="22"/>
              <w:lang w:val="en-US"/>
            </w:rPr>
          </w:pPr>
          <w:hyperlink w:anchor="_Toc110502576" w:history="1">
            <w:r w:rsidR="00D77E3F" w:rsidRPr="000E4272">
              <w:rPr>
                <w:rStyle w:val="Hyperlink"/>
                <w:noProof/>
              </w:rPr>
              <w:t>3.2 RESEARCH DESIGN LAYOUT</w:t>
            </w:r>
            <w:r w:rsidR="00D77E3F">
              <w:rPr>
                <w:noProof/>
                <w:webHidden/>
              </w:rPr>
              <w:tab/>
            </w:r>
            <w:r w:rsidR="00D77E3F">
              <w:rPr>
                <w:noProof/>
                <w:webHidden/>
              </w:rPr>
              <w:fldChar w:fldCharType="begin"/>
            </w:r>
            <w:r w:rsidR="00D77E3F">
              <w:rPr>
                <w:noProof/>
                <w:webHidden/>
              </w:rPr>
              <w:instrText xml:space="preserve"> PAGEREF _Toc110502576 \h </w:instrText>
            </w:r>
            <w:r w:rsidR="00D77E3F">
              <w:rPr>
                <w:noProof/>
                <w:webHidden/>
              </w:rPr>
            </w:r>
            <w:r w:rsidR="00D77E3F">
              <w:rPr>
                <w:noProof/>
                <w:webHidden/>
              </w:rPr>
              <w:fldChar w:fldCharType="separate"/>
            </w:r>
            <w:r w:rsidR="00D77E3F">
              <w:rPr>
                <w:noProof/>
                <w:webHidden/>
              </w:rPr>
              <w:t>44</w:t>
            </w:r>
            <w:r w:rsidR="00D77E3F">
              <w:rPr>
                <w:noProof/>
                <w:webHidden/>
              </w:rPr>
              <w:fldChar w:fldCharType="end"/>
            </w:r>
          </w:hyperlink>
        </w:p>
        <w:p w14:paraId="6F9271B1" w14:textId="6062B2E0"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577" w:history="1">
            <w:r w:rsidR="00D77E3F" w:rsidRPr="000E4272">
              <w:rPr>
                <w:rStyle w:val="Hyperlink"/>
                <w:noProof/>
              </w:rPr>
              <w:t>3.2.1</w:t>
            </w:r>
            <w:r w:rsidR="00D77E3F">
              <w:rPr>
                <w:rFonts w:asciiTheme="minorHAnsi" w:eastAsiaTheme="minorEastAsia" w:hAnsiTheme="minorHAnsi"/>
                <w:noProof/>
                <w:sz w:val="22"/>
                <w:lang w:val="en-US"/>
              </w:rPr>
              <w:tab/>
            </w:r>
            <w:r w:rsidR="00D77E3F" w:rsidRPr="000E4272">
              <w:rPr>
                <w:rStyle w:val="Hyperlink"/>
                <w:noProof/>
              </w:rPr>
              <w:t>SOCIAL ACCEPTABILITY ANALYSIS</w:t>
            </w:r>
            <w:r w:rsidR="00D77E3F">
              <w:rPr>
                <w:noProof/>
                <w:webHidden/>
              </w:rPr>
              <w:tab/>
            </w:r>
            <w:r w:rsidR="00D77E3F">
              <w:rPr>
                <w:noProof/>
                <w:webHidden/>
              </w:rPr>
              <w:fldChar w:fldCharType="begin"/>
            </w:r>
            <w:r w:rsidR="00D77E3F">
              <w:rPr>
                <w:noProof/>
                <w:webHidden/>
              </w:rPr>
              <w:instrText xml:space="preserve"> PAGEREF _Toc110502577 \h </w:instrText>
            </w:r>
            <w:r w:rsidR="00D77E3F">
              <w:rPr>
                <w:noProof/>
                <w:webHidden/>
              </w:rPr>
            </w:r>
            <w:r w:rsidR="00D77E3F">
              <w:rPr>
                <w:noProof/>
                <w:webHidden/>
              </w:rPr>
              <w:fldChar w:fldCharType="separate"/>
            </w:r>
            <w:r w:rsidR="00D77E3F">
              <w:rPr>
                <w:noProof/>
                <w:webHidden/>
              </w:rPr>
              <w:t>48</w:t>
            </w:r>
            <w:r w:rsidR="00D77E3F">
              <w:rPr>
                <w:noProof/>
                <w:webHidden/>
              </w:rPr>
              <w:fldChar w:fldCharType="end"/>
            </w:r>
          </w:hyperlink>
        </w:p>
        <w:p w14:paraId="6020820B" w14:textId="51D60FDC" w:rsidR="00D77E3F" w:rsidRDefault="00783427">
          <w:pPr>
            <w:pStyle w:val="TOC3"/>
            <w:tabs>
              <w:tab w:val="left" w:pos="1540"/>
              <w:tab w:val="right" w:leader="dot" w:pos="8630"/>
            </w:tabs>
            <w:rPr>
              <w:rFonts w:asciiTheme="minorHAnsi" w:eastAsiaTheme="minorEastAsia" w:hAnsiTheme="minorHAnsi"/>
              <w:noProof/>
              <w:sz w:val="22"/>
              <w:lang w:val="en-US"/>
            </w:rPr>
          </w:pPr>
          <w:hyperlink w:anchor="_Toc110502578" w:history="1">
            <w:r w:rsidR="00D77E3F" w:rsidRPr="000E4272">
              <w:rPr>
                <w:rStyle w:val="Hyperlink"/>
                <w:noProof/>
              </w:rPr>
              <w:t>3.2.1.1</w:t>
            </w:r>
            <w:r w:rsidR="00D77E3F">
              <w:rPr>
                <w:rFonts w:asciiTheme="minorHAnsi" w:eastAsiaTheme="minorEastAsia" w:hAnsiTheme="minorHAnsi"/>
                <w:noProof/>
                <w:sz w:val="22"/>
                <w:lang w:val="en-US"/>
              </w:rPr>
              <w:tab/>
            </w:r>
            <w:r w:rsidR="00D77E3F" w:rsidRPr="000E4272">
              <w:rPr>
                <w:rStyle w:val="Hyperlink"/>
                <w:noProof/>
              </w:rPr>
              <w:t>Fuzzy Logic Structure</w:t>
            </w:r>
            <w:r w:rsidR="00D77E3F">
              <w:rPr>
                <w:noProof/>
                <w:webHidden/>
              </w:rPr>
              <w:tab/>
            </w:r>
            <w:r w:rsidR="00D77E3F">
              <w:rPr>
                <w:noProof/>
                <w:webHidden/>
              </w:rPr>
              <w:fldChar w:fldCharType="begin"/>
            </w:r>
            <w:r w:rsidR="00D77E3F">
              <w:rPr>
                <w:noProof/>
                <w:webHidden/>
              </w:rPr>
              <w:instrText xml:space="preserve"> PAGEREF _Toc110502578 \h </w:instrText>
            </w:r>
            <w:r w:rsidR="00D77E3F">
              <w:rPr>
                <w:noProof/>
                <w:webHidden/>
              </w:rPr>
            </w:r>
            <w:r w:rsidR="00D77E3F">
              <w:rPr>
                <w:noProof/>
                <w:webHidden/>
              </w:rPr>
              <w:fldChar w:fldCharType="separate"/>
            </w:r>
            <w:r w:rsidR="00D77E3F">
              <w:rPr>
                <w:noProof/>
                <w:webHidden/>
              </w:rPr>
              <w:t>48</w:t>
            </w:r>
            <w:r w:rsidR="00D77E3F">
              <w:rPr>
                <w:noProof/>
                <w:webHidden/>
              </w:rPr>
              <w:fldChar w:fldCharType="end"/>
            </w:r>
          </w:hyperlink>
        </w:p>
        <w:p w14:paraId="5A29CBD1" w14:textId="5C75346A"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579" w:history="1">
            <w:r w:rsidR="00D77E3F" w:rsidRPr="000E4272">
              <w:rPr>
                <w:rStyle w:val="Hyperlink"/>
                <w:noProof/>
              </w:rPr>
              <w:t>3.2.2</w:t>
            </w:r>
            <w:r w:rsidR="00D77E3F">
              <w:rPr>
                <w:rFonts w:asciiTheme="minorHAnsi" w:eastAsiaTheme="minorEastAsia" w:hAnsiTheme="minorHAnsi"/>
                <w:noProof/>
                <w:sz w:val="22"/>
                <w:lang w:val="en-US"/>
              </w:rPr>
              <w:tab/>
            </w:r>
            <w:r w:rsidR="00D77E3F" w:rsidRPr="000E4272">
              <w:rPr>
                <w:rStyle w:val="Hyperlink"/>
                <w:noProof/>
              </w:rPr>
              <w:t>TECHNO-ECONOMIC FEASIBILITY ASSESSMENT</w:t>
            </w:r>
            <w:r w:rsidR="00D77E3F">
              <w:rPr>
                <w:noProof/>
                <w:webHidden/>
              </w:rPr>
              <w:tab/>
            </w:r>
            <w:r w:rsidR="00D77E3F">
              <w:rPr>
                <w:noProof/>
                <w:webHidden/>
              </w:rPr>
              <w:fldChar w:fldCharType="begin"/>
            </w:r>
            <w:r w:rsidR="00D77E3F">
              <w:rPr>
                <w:noProof/>
                <w:webHidden/>
              </w:rPr>
              <w:instrText xml:space="preserve"> PAGEREF _Toc110502579 \h </w:instrText>
            </w:r>
            <w:r w:rsidR="00D77E3F">
              <w:rPr>
                <w:noProof/>
                <w:webHidden/>
              </w:rPr>
            </w:r>
            <w:r w:rsidR="00D77E3F">
              <w:rPr>
                <w:noProof/>
                <w:webHidden/>
              </w:rPr>
              <w:fldChar w:fldCharType="separate"/>
            </w:r>
            <w:r w:rsidR="00D77E3F">
              <w:rPr>
                <w:noProof/>
                <w:webHidden/>
              </w:rPr>
              <w:t>55</w:t>
            </w:r>
            <w:r w:rsidR="00D77E3F">
              <w:rPr>
                <w:noProof/>
                <w:webHidden/>
              </w:rPr>
              <w:fldChar w:fldCharType="end"/>
            </w:r>
          </w:hyperlink>
        </w:p>
        <w:p w14:paraId="107CF961" w14:textId="466395EC" w:rsidR="00D77E3F" w:rsidRDefault="00783427">
          <w:pPr>
            <w:pStyle w:val="TOC3"/>
            <w:tabs>
              <w:tab w:val="left" w:pos="1540"/>
              <w:tab w:val="right" w:leader="dot" w:pos="8630"/>
            </w:tabs>
            <w:rPr>
              <w:rFonts w:asciiTheme="minorHAnsi" w:eastAsiaTheme="minorEastAsia" w:hAnsiTheme="minorHAnsi"/>
              <w:noProof/>
              <w:sz w:val="22"/>
              <w:lang w:val="en-US"/>
            </w:rPr>
          </w:pPr>
          <w:hyperlink w:anchor="_Toc110502580" w:history="1">
            <w:r w:rsidR="00D77E3F" w:rsidRPr="000E4272">
              <w:rPr>
                <w:rStyle w:val="Hyperlink"/>
                <w:noProof/>
              </w:rPr>
              <w:t>3.2.2.1</w:t>
            </w:r>
            <w:r w:rsidR="00D77E3F">
              <w:rPr>
                <w:rFonts w:asciiTheme="minorHAnsi" w:eastAsiaTheme="minorEastAsia" w:hAnsiTheme="minorHAnsi"/>
                <w:noProof/>
                <w:sz w:val="22"/>
                <w:lang w:val="en-US"/>
              </w:rPr>
              <w:tab/>
            </w:r>
            <w:r w:rsidR="00D77E3F" w:rsidRPr="000E4272">
              <w:rPr>
                <w:rStyle w:val="Hyperlink"/>
                <w:noProof/>
              </w:rPr>
              <w:t>Renewable Microgrid Scenario with Energy Storage.</w:t>
            </w:r>
            <w:r w:rsidR="00D77E3F">
              <w:rPr>
                <w:noProof/>
                <w:webHidden/>
              </w:rPr>
              <w:tab/>
            </w:r>
            <w:r w:rsidR="00D77E3F">
              <w:rPr>
                <w:noProof/>
                <w:webHidden/>
              </w:rPr>
              <w:fldChar w:fldCharType="begin"/>
            </w:r>
            <w:r w:rsidR="00D77E3F">
              <w:rPr>
                <w:noProof/>
                <w:webHidden/>
              </w:rPr>
              <w:instrText xml:space="preserve"> PAGEREF _Toc110502580 \h </w:instrText>
            </w:r>
            <w:r w:rsidR="00D77E3F">
              <w:rPr>
                <w:noProof/>
                <w:webHidden/>
              </w:rPr>
            </w:r>
            <w:r w:rsidR="00D77E3F">
              <w:rPr>
                <w:noProof/>
                <w:webHidden/>
              </w:rPr>
              <w:fldChar w:fldCharType="separate"/>
            </w:r>
            <w:r w:rsidR="00D77E3F">
              <w:rPr>
                <w:noProof/>
                <w:webHidden/>
              </w:rPr>
              <w:t>56</w:t>
            </w:r>
            <w:r w:rsidR="00D77E3F">
              <w:rPr>
                <w:noProof/>
                <w:webHidden/>
              </w:rPr>
              <w:fldChar w:fldCharType="end"/>
            </w:r>
          </w:hyperlink>
        </w:p>
        <w:p w14:paraId="2577B9A9" w14:textId="3E7B6F33" w:rsidR="00D77E3F" w:rsidRDefault="00783427">
          <w:pPr>
            <w:pStyle w:val="TOC3"/>
            <w:tabs>
              <w:tab w:val="left" w:pos="1540"/>
              <w:tab w:val="right" w:leader="dot" w:pos="8630"/>
            </w:tabs>
            <w:rPr>
              <w:rFonts w:asciiTheme="minorHAnsi" w:eastAsiaTheme="minorEastAsia" w:hAnsiTheme="minorHAnsi"/>
              <w:noProof/>
              <w:sz w:val="22"/>
              <w:lang w:val="en-US"/>
            </w:rPr>
          </w:pPr>
          <w:hyperlink w:anchor="_Toc110502581" w:history="1">
            <w:r w:rsidR="00D77E3F" w:rsidRPr="000E4272">
              <w:rPr>
                <w:rStyle w:val="Hyperlink"/>
                <w:noProof/>
              </w:rPr>
              <w:t>3.2.2.2</w:t>
            </w:r>
            <w:r w:rsidR="00D77E3F">
              <w:rPr>
                <w:rFonts w:asciiTheme="minorHAnsi" w:eastAsiaTheme="minorEastAsia" w:hAnsiTheme="minorHAnsi"/>
                <w:noProof/>
                <w:sz w:val="22"/>
                <w:lang w:val="en-US"/>
              </w:rPr>
              <w:tab/>
            </w:r>
            <w:r w:rsidR="00D77E3F" w:rsidRPr="000E4272">
              <w:rPr>
                <w:rStyle w:val="Hyperlink"/>
                <w:noProof/>
              </w:rPr>
              <w:t>Dispatch Strategy for the Renewable Microgrid.</w:t>
            </w:r>
            <w:r w:rsidR="00D77E3F">
              <w:rPr>
                <w:noProof/>
                <w:webHidden/>
              </w:rPr>
              <w:tab/>
            </w:r>
            <w:r w:rsidR="00D77E3F">
              <w:rPr>
                <w:noProof/>
                <w:webHidden/>
              </w:rPr>
              <w:fldChar w:fldCharType="begin"/>
            </w:r>
            <w:r w:rsidR="00D77E3F">
              <w:rPr>
                <w:noProof/>
                <w:webHidden/>
              </w:rPr>
              <w:instrText xml:space="preserve"> PAGEREF _Toc110502581 \h </w:instrText>
            </w:r>
            <w:r w:rsidR="00D77E3F">
              <w:rPr>
                <w:noProof/>
                <w:webHidden/>
              </w:rPr>
            </w:r>
            <w:r w:rsidR="00D77E3F">
              <w:rPr>
                <w:noProof/>
                <w:webHidden/>
              </w:rPr>
              <w:fldChar w:fldCharType="separate"/>
            </w:r>
            <w:r w:rsidR="00D77E3F">
              <w:rPr>
                <w:noProof/>
                <w:webHidden/>
              </w:rPr>
              <w:t>57</w:t>
            </w:r>
            <w:r w:rsidR="00D77E3F">
              <w:rPr>
                <w:noProof/>
                <w:webHidden/>
              </w:rPr>
              <w:fldChar w:fldCharType="end"/>
            </w:r>
          </w:hyperlink>
        </w:p>
        <w:p w14:paraId="7D1A3D71" w14:textId="29D4581B" w:rsidR="00D77E3F" w:rsidRDefault="00783427">
          <w:pPr>
            <w:pStyle w:val="TOC3"/>
            <w:tabs>
              <w:tab w:val="left" w:pos="1540"/>
              <w:tab w:val="right" w:leader="dot" w:pos="8630"/>
            </w:tabs>
            <w:rPr>
              <w:rFonts w:asciiTheme="minorHAnsi" w:eastAsiaTheme="minorEastAsia" w:hAnsiTheme="minorHAnsi"/>
              <w:noProof/>
              <w:sz w:val="22"/>
              <w:lang w:val="en-US"/>
            </w:rPr>
          </w:pPr>
          <w:hyperlink w:anchor="_Toc110502582" w:history="1">
            <w:r w:rsidR="00D77E3F" w:rsidRPr="000E4272">
              <w:rPr>
                <w:rStyle w:val="Hyperlink"/>
                <w:noProof/>
              </w:rPr>
              <w:t>3.2.2.3</w:t>
            </w:r>
            <w:r w:rsidR="00D77E3F">
              <w:rPr>
                <w:rFonts w:asciiTheme="minorHAnsi" w:eastAsiaTheme="minorEastAsia" w:hAnsiTheme="minorHAnsi"/>
                <w:noProof/>
                <w:sz w:val="22"/>
                <w:lang w:val="en-US"/>
              </w:rPr>
              <w:tab/>
            </w:r>
            <w:r w:rsidR="00D77E3F" w:rsidRPr="000E4272">
              <w:rPr>
                <w:rStyle w:val="Hyperlink"/>
                <w:noProof/>
              </w:rPr>
              <w:t>Diesel Microgrid Scenario</w:t>
            </w:r>
            <w:r w:rsidR="00D77E3F">
              <w:rPr>
                <w:noProof/>
                <w:webHidden/>
              </w:rPr>
              <w:tab/>
            </w:r>
            <w:r w:rsidR="00D77E3F">
              <w:rPr>
                <w:noProof/>
                <w:webHidden/>
              </w:rPr>
              <w:fldChar w:fldCharType="begin"/>
            </w:r>
            <w:r w:rsidR="00D77E3F">
              <w:rPr>
                <w:noProof/>
                <w:webHidden/>
              </w:rPr>
              <w:instrText xml:space="preserve"> PAGEREF _Toc110502582 \h </w:instrText>
            </w:r>
            <w:r w:rsidR="00D77E3F">
              <w:rPr>
                <w:noProof/>
                <w:webHidden/>
              </w:rPr>
            </w:r>
            <w:r w:rsidR="00D77E3F">
              <w:rPr>
                <w:noProof/>
                <w:webHidden/>
              </w:rPr>
              <w:fldChar w:fldCharType="separate"/>
            </w:r>
            <w:r w:rsidR="00D77E3F">
              <w:rPr>
                <w:noProof/>
                <w:webHidden/>
              </w:rPr>
              <w:t>58</w:t>
            </w:r>
            <w:r w:rsidR="00D77E3F">
              <w:rPr>
                <w:noProof/>
                <w:webHidden/>
              </w:rPr>
              <w:fldChar w:fldCharType="end"/>
            </w:r>
          </w:hyperlink>
        </w:p>
        <w:p w14:paraId="72B408F7" w14:textId="1C0BE09B"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583" w:history="1">
            <w:r w:rsidR="00D77E3F" w:rsidRPr="000E4272">
              <w:rPr>
                <w:rStyle w:val="Hyperlink"/>
                <w:noProof/>
              </w:rPr>
              <w:t>3.3</w:t>
            </w:r>
            <w:r w:rsidR="00D77E3F">
              <w:rPr>
                <w:rFonts w:asciiTheme="minorHAnsi" w:eastAsiaTheme="minorEastAsia" w:hAnsiTheme="minorHAnsi"/>
                <w:noProof/>
                <w:sz w:val="22"/>
                <w:lang w:val="en-US"/>
              </w:rPr>
              <w:tab/>
            </w:r>
            <w:r w:rsidR="00D77E3F" w:rsidRPr="000E4272">
              <w:rPr>
                <w:rStyle w:val="Hyperlink"/>
                <w:noProof/>
              </w:rPr>
              <w:t>DYNAMIC MODELLING OF SYSTEM COMPONENTS</w:t>
            </w:r>
            <w:r w:rsidR="00D77E3F">
              <w:rPr>
                <w:noProof/>
                <w:webHidden/>
              </w:rPr>
              <w:tab/>
            </w:r>
            <w:r w:rsidR="00D77E3F">
              <w:rPr>
                <w:noProof/>
                <w:webHidden/>
              </w:rPr>
              <w:fldChar w:fldCharType="begin"/>
            </w:r>
            <w:r w:rsidR="00D77E3F">
              <w:rPr>
                <w:noProof/>
                <w:webHidden/>
              </w:rPr>
              <w:instrText xml:space="preserve"> PAGEREF _Toc110502583 \h </w:instrText>
            </w:r>
            <w:r w:rsidR="00D77E3F">
              <w:rPr>
                <w:noProof/>
                <w:webHidden/>
              </w:rPr>
            </w:r>
            <w:r w:rsidR="00D77E3F">
              <w:rPr>
                <w:noProof/>
                <w:webHidden/>
              </w:rPr>
              <w:fldChar w:fldCharType="separate"/>
            </w:r>
            <w:r w:rsidR="00D77E3F">
              <w:rPr>
                <w:noProof/>
                <w:webHidden/>
              </w:rPr>
              <w:t>61</w:t>
            </w:r>
            <w:r w:rsidR="00D77E3F">
              <w:rPr>
                <w:noProof/>
                <w:webHidden/>
              </w:rPr>
              <w:fldChar w:fldCharType="end"/>
            </w:r>
          </w:hyperlink>
        </w:p>
        <w:p w14:paraId="7FC8E1BD" w14:textId="49C7EF9C"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584" w:history="1">
            <w:r w:rsidR="00D77E3F" w:rsidRPr="000E4272">
              <w:rPr>
                <w:rStyle w:val="Hyperlink"/>
                <w:noProof/>
              </w:rPr>
              <w:t>3.3.1</w:t>
            </w:r>
            <w:r w:rsidR="00D77E3F">
              <w:rPr>
                <w:rFonts w:asciiTheme="minorHAnsi" w:eastAsiaTheme="minorEastAsia" w:hAnsiTheme="minorHAnsi"/>
                <w:noProof/>
                <w:sz w:val="22"/>
                <w:lang w:val="en-US"/>
              </w:rPr>
              <w:tab/>
            </w:r>
            <w:r w:rsidR="00D77E3F" w:rsidRPr="000E4272">
              <w:rPr>
                <w:rStyle w:val="Hyperlink"/>
                <w:noProof/>
              </w:rPr>
              <w:t>Wind Generator (Doubly-Fed Induction Generator)</w:t>
            </w:r>
            <w:r w:rsidR="00D77E3F">
              <w:rPr>
                <w:noProof/>
                <w:webHidden/>
              </w:rPr>
              <w:tab/>
            </w:r>
            <w:r w:rsidR="00D77E3F">
              <w:rPr>
                <w:noProof/>
                <w:webHidden/>
              </w:rPr>
              <w:fldChar w:fldCharType="begin"/>
            </w:r>
            <w:r w:rsidR="00D77E3F">
              <w:rPr>
                <w:noProof/>
                <w:webHidden/>
              </w:rPr>
              <w:instrText xml:space="preserve"> PAGEREF _Toc110502584 \h </w:instrText>
            </w:r>
            <w:r w:rsidR="00D77E3F">
              <w:rPr>
                <w:noProof/>
                <w:webHidden/>
              </w:rPr>
            </w:r>
            <w:r w:rsidR="00D77E3F">
              <w:rPr>
                <w:noProof/>
                <w:webHidden/>
              </w:rPr>
              <w:fldChar w:fldCharType="separate"/>
            </w:r>
            <w:r w:rsidR="00D77E3F">
              <w:rPr>
                <w:noProof/>
                <w:webHidden/>
              </w:rPr>
              <w:t>61</w:t>
            </w:r>
            <w:r w:rsidR="00D77E3F">
              <w:rPr>
                <w:noProof/>
                <w:webHidden/>
              </w:rPr>
              <w:fldChar w:fldCharType="end"/>
            </w:r>
          </w:hyperlink>
        </w:p>
        <w:p w14:paraId="58891328" w14:textId="11151F1A"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585" w:history="1">
            <w:r w:rsidR="00D77E3F" w:rsidRPr="000E4272">
              <w:rPr>
                <w:rStyle w:val="Hyperlink"/>
                <w:noProof/>
              </w:rPr>
              <w:t>3.3.2</w:t>
            </w:r>
            <w:r w:rsidR="00D77E3F">
              <w:rPr>
                <w:rFonts w:asciiTheme="minorHAnsi" w:eastAsiaTheme="minorEastAsia" w:hAnsiTheme="minorHAnsi"/>
                <w:noProof/>
                <w:sz w:val="22"/>
                <w:lang w:val="en-US"/>
              </w:rPr>
              <w:tab/>
            </w:r>
            <w:r w:rsidR="00D77E3F" w:rsidRPr="000E4272">
              <w:rPr>
                <w:rStyle w:val="Hyperlink"/>
                <w:noProof/>
              </w:rPr>
              <w:t>Quasi-Dynamic Mathematical Formulations for Synchronous Generators</w:t>
            </w:r>
            <w:r w:rsidR="00D77E3F">
              <w:rPr>
                <w:noProof/>
                <w:webHidden/>
              </w:rPr>
              <w:tab/>
            </w:r>
            <w:r w:rsidR="00D77E3F">
              <w:rPr>
                <w:noProof/>
                <w:webHidden/>
              </w:rPr>
              <w:fldChar w:fldCharType="begin"/>
            </w:r>
            <w:r w:rsidR="00D77E3F">
              <w:rPr>
                <w:noProof/>
                <w:webHidden/>
              </w:rPr>
              <w:instrText xml:space="preserve"> PAGEREF _Toc110502585 \h </w:instrText>
            </w:r>
            <w:r w:rsidR="00D77E3F">
              <w:rPr>
                <w:noProof/>
                <w:webHidden/>
              </w:rPr>
            </w:r>
            <w:r w:rsidR="00D77E3F">
              <w:rPr>
                <w:noProof/>
                <w:webHidden/>
              </w:rPr>
              <w:fldChar w:fldCharType="separate"/>
            </w:r>
            <w:r w:rsidR="00D77E3F">
              <w:rPr>
                <w:noProof/>
                <w:webHidden/>
              </w:rPr>
              <w:t>63</w:t>
            </w:r>
            <w:r w:rsidR="00D77E3F">
              <w:rPr>
                <w:noProof/>
                <w:webHidden/>
              </w:rPr>
              <w:fldChar w:fldCharType="end"/>
            </w:r>
          </w:hyperlink>
        </w:p>
        <w:p w14:paraId="1DB0DD58" w14:textId="008C3094"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586" w:history="1">
            <w:r w:rsidR="00D77E3F" w:rsidRPr="000E4272">
              <w:rPr>
                <w:rStyle w:val="Hyperlink"/>
                <w:noProof/>
              </w:rPr>
              <w:t>3.3.3</w:t>
            </w:r>
            <w:r w:rsidR="00D77E3F">
              <w:rPr>
                <w:rFonts w:asciiTheme="minorHAnsi" w:eastAsiaTheme="minorEastAsia" w:hAnsiTheme="minorHAnsi"/>
                <w:noProof/>
                <w:sz w:val="22"/>
                <w:lang w:val="en-US"/>
              </w:rPr>
              <w:tab/>
            </w:r>
            <w:r w:rsidR="00D77E3F" w:rsidRPr="000E4272">
              <w:rPr>
                <w:rStyle w:val="Hyperlink"/>
                <w:noProof/>
              </w:rPr>
              <w:t>Micro-Hydro Turbine Modelling</w:t>
            </w:r>
            <w:r w:rsidR="00D77E3F">
              <w:rPr>
                <w:noProof/>
                <w:webHidden/>
              </w:rPr>
              <w:tab/>
            </w:r>
            <w:r w:rsidR="00D77E3F">
              <w:rPr>
                <w:noProof/>
                <w:webHidden/>
              </w:rPr>
              <w:fldChar w:fldCharType="begin"/>
            </w:r>
            <w:r w:rsidR="00D77E3F">
              <w:rPr>
                <w:noProof/>
                <w:webHidden/>
              </w:rPr>
              <w:instrText xml:space="preserve"> PAGEREF _Toc110502586 \h </w:instrText>
            </w:r>
            <w:r w:rsidR="00D77E3F">
              <w:rPr>
                <w:noProof/>
                <w:webHidden/>
              </w:rPr>
            </w:r>
            <w:r w:rsidR="00D77E3F">
              <w:rPr>
                <w:noProof/>
                <w:webHidden/>
              </w:rPr>
              <w:fldChar w:fldCharType="separate"/>
            </w:r>
            <w:r w:rsidR="00D77E3F">
              <w:rPr>
                <w:noProof/>
                <w:webHidden/>
              </w:rPr>
              <w:t>65</w:t>
            </w:r>
            <w:r w:rsidR="00D77E3F">
              <w:rPr>
                <w:noProof/>
                <w:webHidden/>
              </w:rPr>
              <w:fldChar w:fldCharType="end"/>
            </w:r>
          </w:hyperlink>
        </w:p>
        <w:p w14:paraId="25283D75" w14:textId="0A7F9728"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587" w:history="1">
            <w:r w:rsidR="00D77E3F" w:rsidRPr="000E4272">
              <w:rPr>
                <w:rStyle w:val="Hyperlink"/>
                <w:noProof/>
              </w:rPr>
              <w:t>3.3.4</w:t>
            </w:r>
            <w:r w:rsidR="00D77E3F">
              <w:rPr>
                <w:rFonts w:asciiTheme="minorHAnsi" w:eastAsiaTheme="minorEastAsia" w:hAnsiTheme="minorHAnsi"/>
                <w:noProof/>
                <w:sz w:val="22"/>
                <w:lang w:val="en-US"/>
              </w:rPr>
              <w:tab/>
            </w:r>
            <w:r w:rsidR="00D77E3F" w:rsidRPr="000E4272">
              <w:rPr>
                <w:rStyle w:val="Hyperlink"/>
                <w:noProof/>
              </w:rPr>
              <w:t>Concentrated Solar Power Modelling</w:t>
            </w:r>
            <w:r w:rsidR="00D77E3F">
              <w:rPr>
                <w:noProof/>
                <w:webHidden/>
              </w:rPr>
              <w:tab/>
            </w:r>
            <w:r w:rsidR="00D77E3F">
              <w:rPr>
                <w:noProof/>
                <w:webHidden/>
              </w:rPr>
              <w:fldChar w:fldCharType="begin"/>
            </w:r>
            <w:r w:rsidR="00D77E3F">
              <w:rPr>
                <w:noProof/>
                <w:webHidden/>
              </w:rPr>
              <w:instrText xml:space="preserve"> PAGEREF _Toc110502587 \h </w:instrText>
            </w:r>
            <w:r w:rsidR="00D77E3F">
              <w:rPr>
                <w:noProof/>
                <w:webHidden/>
              </w:rPr>
            </w:r>
            <w:r w:rsidR="00D77E3F">
              <w:rPr>
                <w:noProof/>
                <w:webHidden/>
              </w:rPr>
              <w:fldChar w:fldCharType="separate"/>
            </w:r>
            <w:r w:rsidR="00D77E3F">
              <w:rPr>
                <w:noProof/>
                <w:webHidden/>
              </w:rPr>
              <w:t>66</w:t>
            </w:r>
            <w:r w:rsidR="00D77E3F">
              <w:rPr>
                <w:noProof/>
                <w:webHidden/>
              </w:rPr>
              <w:fldChar w:fldCharType="end"/>
            </w:r>
          </w:hyperlink>
        </w:p>
        <w:p w14:paraId="13CA65BB" w14:textId="0342746A"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588" w:history="1">
            <w:r w:rsidR="00D77E3F" w:rsidRPr="000E4272">
              <w:rPr>
                <w:rStyle w:val="Hyperlink"/>
                <w:noProof/>
              </w:rPr>
              <w:t>3.3.5</w:t>
            </w:r>
            <w:r w:rsidR="00D77E3F">
              <w:rPr>
                <w:rFonts w:asciiTheme="minorHAnsi" w:eastAsiaTheme="minorEastAsia" w:hAnsiTheme="minorHAnsi"/>
                <w:noProof/>
                <w:sz w:val="22"/>
                <w:lang w:val="en-US"/>
              </w:rPr>
              <w:tab/>
            </w:r>
            <w:r w:rsidR="00D77E3F" w:rsidRPr="000E4272">
              <w:rPr>
                <w:rStyle w:val="Hyperlink"/>
                <w:noProof/>
              </w:rPr>
              <w:t>Photovoltaic, Inverter, and Battery Storage Model</w:t>
            </w:r>
            <w:r w:rsidR="00D77E3F">
              <w:rPr>
                <w:noProof/>
                <w:webHidden/>
              </w:rPr>
              <w:tab/>
            </w:r>
            <w:r w:rsidR="00D77E3F">
              <w:rPr>
                <w:noProof/>
                <w:webHidden/>
              </w:rPr>
              <w:fldChar w:fldCharType="begin"/>
            </w:r>
            <w:r w:rsidR="00D77E3F">
              <w:rPr>
                <w:noProof/>
                <w:webHidden/>
              </w:rPr>
              <w:instrText xml:space="preserve"> PAGEREF _Toc110502588 \h </w:instrText>
            </w:r>
            <w:r w:rsidR="00D77E3F">
              <w:rPr>
                <w:noProof/>
                <w:webHidden/>
              </w:rPr>
            </w:r>
            <w:r w:rsidR="00D77E3F">
              <w:rPr>
                <w:noProof/>
                <w:webHidden/>
              </w:rPr>
              <w:fldChar w:fldCharType="separate"/>
            </w:r>
            <w:r w:rsidR="00D77E3F">
              <w:rPr>
                <w:noProof/>
                <w:webHidden/>
              </w:rPr>
              <w:t>68</w:t>
            </w:r>
            <w:r w:rsidR="00D77E3F">
              <w:rPr>
                <w:noProof/>
                <w:webHidden/>
              </w:rPr>
              <w:fldChar w:fldCharType="end"/>
            </w:r>
          </w:hyperlink>
        </w:p>
        <w:p w14:paraId="56AD8190" w14:textId="47B37E62" w:rsidR="00D77E3F" w:rsidRDefault="00783427">
          <w:pPr>
            <w:pStyle w:val="TOC3"/>
            <w:tabs>
              <w:tab w:val="right" w:leader="dot" w:pos="8630"/>
            </w:tabs>
            <w:rPr>
              <w:rFonts w:asciiTheme="minorHAnsi" w:eastAsiaTheme="minorEastAsia" w:hAnsiTheme="minorHAnsi"/>
              <w:noProof/>
              <w:sz w:val="22"/>
              <w:lang w:val="en-US"/>
            </w:rPr>
          </w:pPr>
          <w:hyperlink w:anchor="_Toc110502589" w:history="1">
            <w:r w:rsidR="00D77E3F" w:rsidRPr="000E4272">
              <w:rPr>
                <w:rStyle w:val="Hyperlink"/>
                <w:noProof/>
              </w:rPr>
              <w:t>3.4 PROBABILISTIC TECHNIQUES IN THE STUDY.</w:t>
            </w:r>
            <w:r w:rsidR="00D77E3F">
              <w:rPr>
                <w:noProof/>
                <w:webHidden/>
              </w:rPr>
              <w:tab/>
            </w:r>
            <w:r w:rsidR="00D77E3F">
              <w:rPr>
                <w:noProof/>
                <w:webHidden/>
              </w:rPr>
              <w:fldChar w:fldCharType="begin"/>
            </w:r>
            <w:r w:rsidR="00D77E3F">
              <w:rPr>
                <w:noProof/>
                <w:webHidden/>
              </w:rPr>
              <w:instrText xml:space="preserve"> PAGEREF _Toc110502589 \h </w:instrText>
            </w:r>
            <w:r w:rsidR="00D77E3F">
              <w:rPr>
                <w:noProof/>
                <w:webHidden/>
              </w:rPr>
            </w:r>
            <w:r w:rsidR="00D77E3F">
              <w:rPr>
                <w:noProof/>
                <w:webHidden/>
              </w:rPr>
              <w:fldChar w:fldCharType="separate"/>
            </w:r>
            <w:r w:rsidR="00D77E3F">
              <w:rPr>
                <w:noProof/>
                <w:webHidden/>
              </w:rPr>
              <w:t>70</w:t>
            </w:r>
            <w:r w:rsidR="00D77E3F">
              <w:rPr>
                <w:noProof/>
                <w:webHidden/>
              </w:rPr>
              <w:fldChar w:fldCharType="end"/>
            </w:r>
          </w:hyperlink>
        </w:p>
        <w:p w14:paraId="595047DA" w14:textId="35EE2215" w:rsidR="00D77E3F" w:rsidRDefault="00783427">
          <w:pPr>
            <w:pStyle w:val="TOC3"/>
            <w:tabs>
              <w:tab w:val="right" w:leader="dot" w:pos="8630"/>
            </w:tabs>
            <w:rPr>
              <w:rFonts w:asciiTheme="minorHAnsi" w:eastAsiaTheme="minorEastAsia" w:hAnsiTheme="minorHAnsi"/>
              <w:noProof/>
              <w:sz w:val="22"/>
              <w:lang w:val="en-US"/>
            </w:rPr>
          </w:pPr>
          <w:hyperlink w:anchor="_Toc110502590" w:history="1">
            <w:r w:rsidR="00D77E3F" w:rsidRPr="000E4272">
              <w:rPr>
                <w:rStyle w:val="Hyperlink"/>
                <w:noProof/>
              </w:rPr>
              <w:t>3.4.1 Weibull Distribution</w:t>
            </w:r>
            <w:r w:rsidR="00D77E3F">
              <w:rPr>
                <w:noProof/>
                <w:webHidden/>
              </w:rPr>
              <w:tab/>
            </w:r>
            <w:r w:rsidR="00D77E3F">
              <w:rPr>
                <w:noProof/>
                <w:webHidden/>
              </w:rPr>
              <w:fldChar w:fldCharType="begin"/>
            </w:r>
            <w:r w:rsidR="00D77E3F">
              <w:rPr>
                <w:noProof/>
                <w:webHidden/>
              </w:rPr>
              <w:instrText xml:space="preserve"> PAGEREF _Toc110502590 \h </w:instrText>
            </w:r>
            <w:r w:rsidR="00D77E3F">
              <w:rPr>
                <w:noProof/>
                <w:webHidden/>
              </w:rPr>
            </w:r>
            <w:r w:rsidR="00D77E3F">
              <w:rPr>
                <w:noProof/>
                <w:webHidden/>
              </w:rPr>
              <w:fldChar w:fldCharType="separate"/>
            </w:r>
            <w:r w:rsidR="00D77E3F">
              <w:rPr>
                <w:noProof/>
                <w:webHidden/>
              </w:rPr>
              <w:t>70</w:t>
            </w:r>
            <w:r w:rsidR="00D77E3F">
              <w:rPr>
                <w:noProof/>
                <w:webHidden/>
              </w:rPr>
              <w:fldChar w:fldCharType="end"/>
            </w:r>
          </w:hyperlink>
        </w:p>
        <w:p w14:paraId="77E16E87" w14:textId="522658E0" w:rsidR="00D77E3F" w:rsidRDefault="00783427">
          <w:pPr>
            <w:pStyle w:val="TOC3"/>
            <w:tabs>
              <w:tab w:val="right" w:leader="dot" w:pos="8630"/>
            </w:tabs>
            <w:rPr>
              <w:rFonts w:asciiTheme="minorHAnsi" w:eastAsiaTheme="minorEastAsia" w:hAnsiTheme="minorHAnsi"/>
              <w:noProof/>
              <w:sz w:val="22"/>
              <w:lang w:val="en-US"/>
            </w:rPr>
          </w:pPr>
          <w:hyperlink w:anchor="_Toc110502591" w:history="1">
            <w:r w:rsidR="00D77E3F" w:rsidRPr="000E4272">
              <w:rPr>
                <w:rStyle w:val="Hyperlink"/>
                <w:noProof/>
              </w:rPr>
              <w:t>3.4.2 Normal Distribution</w:t>
            </w:r>
            <w:r w:rsidR="00D77E3F">
              <w:rPr>
                <w:noProof/>
                <w:webHidden/>
              </w:rPr>
              <w:tab/>
            </w:r>
            <w:r w:rsidR="00D77E3F">
              <w:rPr>
                <w:noProof/>
                <w:webHidden/>
              </w:rPr>
              <w:fldChar w:fldCharType="begin"/>
            </w:r>
            <w:r w:rsidR="00D77E3F">
              <w:rPr>
                <w:noProof/>
                <w:webHidden/>
              </w:rPr>
              <w:instrText xml:space="preserve"> PAGEREF _Toc110502591 \h </w:instrText>
            </w:r>
            <w:r w:rsidR="00D77E3F">
              <w:rPr>
                <w:noProof/>
                <w:webHidden/>
              </w:rPr>
            </w:r>
            <w:r w:rsidR="00D77E3F">
              <w:rPr>
                <w:noProof/>
                <w:webHidden/>
              </w:rPr>
              <w:fldChar w:fldCharType="separate"/>
            </w:r>
            <w:r w:rsidR="00D77E3F">
              <w:rPr>
                <w:noProof/>
                <w:webHidden/>
              </w:rPr>
              <w:t>71</w:t>
            </w:r>
            <w:r w:rsidR="00D77E3F">
              <w:rPr>
                <w:noProof/>
                <w:webHidden/>
              </w:rPr>
              <w:fldChar w:fldCharType="end"/>
            </w:r>
          </w:hyperlink>
        </w:p>
        <w:p w14:paraId="1E5A264F" w14:textId="24FD2710" w:rsidR="00D77E3F" w:rsidRDefault="00783427">
          <w:pPr>
            <w:pStyle w:val="TOC3"/>
            <w:tabs>
              <w:tab w:val="right" w:leader="dot" w:pos="8630"/>
            </w:tabs>
            <w:rPr>
              <w:rFonts w:asciiTheme="minorHAnsi" w:eastAsiaTheme="minorEastAsia" w:hAnsiTheme="minorHAnsi"/>
              <w:noProof/>
              <w:sz w:val="22"/>
              <w:lang w:val="en-US"/>
            </w:rPr>
          </w:pPr>
          <w:hyperlink w:anchor="_Toc110502592" w:history="1">
            <w:r w:rsidR="00D77E3F" w:rsidRPr="000E4272">
              <w:rPr>
                <w:rStyle w:val="Hyperlink"/>
                <w:noProof/>
              </w:rPr>
              <w:t>3.4.3 Gumbel (Extreme-Value Type - 1) Distribution</w:t>
            </w:r>
            <w:r w:rsidR="00D77E3F">
              <w:rPr>
                <w:noProof/>
                <w:webHidden/>
              </w:rPr>
              <w:tab/>
            </w:r>
            <w:r w:rsidR="00D77E3F">
              <w:rPr>
                <w:noProof/>
                <w:webHidden/>
              </w:rPr>
              <w:fldChar w:fldCharType="begin"/>
            </w:r>
            <w:r w:rsidR="00D77E3F">
              <w:rPr>
                <w:noProof/>
                <w:webHidden/>
              </w:rPr>
              <w:instrText xml:space="preserve"> PAGEREF _Toc110502592 \h </w:instrText>
            </w:r>
            <w:r w:rsidR="00D77E3F">
              <w:rPr>
                <w:noProof/>
                <w:webHidden/>
              </w:rPr>
            </w:r>
            <w:r w:rsidR="00D77E3F">
              <w:rPr>
                <w:noProof/>
                <w:webHidden/>
              </w:rPr>
              <w:fldChar w:fldCharType="separate"/>
            </w:r>
            <w:r w:rsidR="00D77E3F">
              <w:rPr>
                <w:noProof/>
                <w:webHidden/>
              </w:rPr>
              <w:t>71</w:t>
            </w:r>
            <w:r w:rsidR="00D77E3F">
              <w:rPr>
                <w:noProof/>
                <w:webHidden/>
              </w:rPr>
              <w:fldChar w:fldCharType="end"/>
            </w:r>
          </w:hyperlink>
        </w:p>
        <w:p w14:paraId="037C6285" w14:textId="6F26C896" w:rsidR="00D77E3F" w:rsidRDefault="00783427">
          <w:pPr>
            <w:pStyle w:val="TOC3"/>
            <w:tabs>
              <w:tab w:val="right" w:leader="dot" w:pos="8630"/>
            </w:tabs>
            <w:rPr>
              <w:rFonts w:asciiTheme="minorHAnsi" w:eastAsiaTheme="minorEastAsia" w:hAnsiTheme="minorHAnsi"/>
              <w:noProof/>
              <w:sz w:val="22"/>
              <w:lang w:val="en-US"/>
            </w:rPr>
          </w:pPr>
          <w:hyperlink w:anchor="_Toc110502593" w:history="1">
            <w:r w:rsidR="00D77E3F" w:rsidRPr="000E4272">
              <w:rPr>
                <w:rStyle w:val="Hyperlink"/>
                <w:noProof/>
              </w:rPr>
              <w:t>3.5 VOLTAGE PROFILE STABILITY: VOLTAGE DEVIATION INDEX (IVD)</w:t>
            </w:r>
            <w:r w:rsidR="00D77E3F">
              <w:rPr>
                <w:noProof/>
                <w:webHidden/>
              </w:rPr>
              <w:tab/>
            </w:r>
            <w:r w:rsidR="00D77E3F">
              <w:rPr>
                <w:noProof/>
                <w:webHidden/>
              </w:rPr>
              <w:fldChar w:fldCharType="begin"/>
            </w:r>
            <w:r w:rsidR="00D77E3F">
              <w:rPr>
                <w:noProof/>
                <w:webHidden/>
              </w:rPr>
              <w:instrText xml:space="preserve"> PAGEREF _Toc110502593 \h </w:instrText>
            </w:r>
            <w:r w:rsidR="00D77E3F">
              <w:rPr>
                <w:noProof/>
                <w:webHidden/>
              </w:rPr>
            </w:r>
            <w:r w:rsidR="00D77E3F">
              <w:rPr>
                <w:noProof/>
                <w:webHidden/>
              </w:rPr>
              <w:fldChar w:fldCharType="separate"/>
            </w:r>
            <w:r w:rsidR="00D77E3F">
              <w:rPr>
                <w:noProof/>
                <w:webHidden/>
              </w:rPr>
              <w:t>73</w:t>
            </w:r>
            <w:r w:rsidR="00D77E3F">
              <w:rPr>
                <w:noProof/>
                <w:webHidden/>
              </w:rPr>
              <w:fldChar w:fldCharType="end"/>
            </w:r>
          </w:hyperlink>
        </w:p>
        <w:p w14:paraId="55DC362C" w14:textId="4D5A8332"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594" w:history="1">
            <w:r w:rsidR="00D77E3F" w:rsidRPr="000E4272">
              <w:rPr>
                <w:rStyle w:val="Hyperlink"/>
                <w:noProof/>
              </w:rPr>
              <w:t>3.6</w:t>
            </w:r>
            <w:r w:rsidR="00D77E3F">
              <w:rPr>
                <w:rFonts w:asciiTheme="minorHAnsi" w:eastAsiaTheme="minorEastAsia" w:hAnsiTheme="minorHAnsi"/>
                <w:noProof/>
                <w:sz w:val="22"/>
                <w:lang w:val="en-US"/>
              </w:rPr>
              <w:tab/>
            </w:r>
            <w:r w:rsidR="00D77E3F" w:rsidRPr="000E4272">
              <w:rPr>
                <w:rStyle w:val="Hyperlink"/>
                <w:noProof/>
              </w:rPr>
              <w:t>QUASI-DYNAMIC SIMULATION OF THE MICROGRID</w:t>
            </w:r>
            <w:r w:rsidR="00D77E3F">
              <w:rPr>
                <w:noProof/>
                <w:webHidden/>
              </w:rPr>
              <w:tab/>
            </w:r>
            <w:r w:rsidR="00D77E3F">
              <w:rPr>
                <w:noProof/>
                <w:webHidden/>
              </w:rPr>
              <w:fldChar w:fldCharType="begin"/>
            </w:r>
            <w:r w:rsidR="00D77E3F">
              <w:rPr>
                <w:noProof/>
                <w:webHidden/>
              </w:rPr>
              <w:instrText xml:space="preserve"> PAGEREF _Toc110502594 \h </w:instrText>
            </w:r>
            <w:r w:rsidR="00D77E3F">
              <w:rPr>
                <w:noProof/>
                <w:webHidden/>
              </w:rPr>
            </w:r>
            <w:r w:rsidR="00D77E3F">
              <w:rPr>
                <w:noProof/>
                <w:webHidden/>
              </w:rPr>
              <w:fldChar w:fldCharType="separate"/>
            </w:r>
            <w:r w:rsidR="00D77E3F">
              <w:rPr>
                <w:noProof/>
                <w:webHidden/>
              </w:rPr>
              <w:t>75</w:t>
            </w:r>
            <w:r w:rsidR="00D77E3F">
              <w:rPr>
                <w:noProof/>
                <w:webHidden/>
              </w:rPr>
              <w:fldChar w:fldCharType="end"/>
            </w:r>
          </w:hyperlink>
        </w:p>
        <w:p w14:paraId="7C17161D" w14:textId="0792E13D" w:rsidR="00D77E3F" w:rsidRDefault="00783427">
          <w:pPr>
            <w:pStyle w:val="TOC3"/>
            <w:tabs>
              <w:tab w:val="right" w:leader="dot" w:pos="8630"/>
            </w:tabs>
            <w:rPr>
              <w:rFonts w:asciiTheme="minorHAnsi" w:eastAsiaTheme="minorEastAsia" w:hAnsiTheme="minorHAnsi"/>
              <w:noProof/>
              <w:sz w:val="22"/>
              <w:lang w:val="en-US"/>
            </w:rPr>
          </w:pPr>
          <w:hyperlink w:anchor="_Toc110502595" w:history="1">
            <w:r w:rsidR="00D77E3F" w:rsidRPr="000E4272">
              <w:rPr>
                <w:rStyle w:val="Hyperlink"/>
                <w:noProof/>
              </w:rPr>
              <w:t>3.6.1 Single-Power-Point Microgrid Scenario</w:t>
            </w:r>
            <w:r w:rsidR="00D77E3F">
              <w:rPr>
                <w:noProof/>
                <w:webHidden/>
              </w:rPr>
              <w:tab/>
            </w:r>
            <w:r w:rsidR="00D77E3F">
              <w:rPr>
                <w:noProof/>
                <w:webHidden/>
              </w:rPr>
              <w:fldChar w:fldCharType="begin"/>
            </w:r>
            <w:r w:rsidR="00D77E3F">
              <w:rPr>
                <w:noProof/>
                <w:webHidden/>
              </w:rPr>
              <w:instrText xml:space="preserve"> PAGEREF _Toc110502595 \h </w:instrText>
            </w:r>
            <w:r w:rsidR="00D77E3F">
              <w:rPr>
                <w:noProof/>
                <w:webHidden/>
              </w:rPr>
            </w:r>
            <w:r w:rsidR="00D77E3F">
              <w:rPr>
                <w:noProof/>
                <w:webHidden/>
              </w:rPr>
              <w:fldChar w:fldCharType="separate"/>
            </w:r>
            <w:r w:rsidR="00D77E3F">
              <w:rPr>
                <w:noProof/>
                <w:webHidden/>
              </w:rPr>
              <w:t>76</w:t>
            </w:r>
            <w:r w:rsidR="00D77E3F">
              <w:rPr>
                <w:noProof/>
                <w:webHidden/>
              </w:rPr>
              <w:fldChar w:fldCharType="end"/>
            </w:r>
          </w:hyperlink>
        </w:p>
        <w:p w14:paraId="1CB85877" w14:textId="1A89C71E"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596" w:history="1">
            <w:r w:rsidR="00D77E3F" w:rsidRPr="000E4272">
              <w:rPr>
                <w:rStyle w:val="Hyperlink"/>
                <w:noProof/>
              </w:rPr>
              <w:t>3.6.2</w:t>
            </w:r>
            <w:r w:rsidR="00D77E3F">
              <w:rPr>
                <w:rFonts w:asciiTheme="minorHAnsi" w:eastAsiaTheme="minorEastAsia" w:hAnsiTheme="minorHAnsi"/>
                <w:noProof/>
                <w:sz w:val="22"/>
                <w:lang w:val="en-US"/>
              </w:rPr>
              <w:tab/>
            </w:r>
            <w:r w:rsidR="00D77E3F" w:rsidRPr="000E4272">
              <w:rPr>
                <w:rStyle w:val="Hyperlink"/>
                <w:noProof/>
              </w:rPr>
              <w:t>Multiple-Power-Point Microgrid Scenario</w:t>
            </w:r>
            <w:r w:rsidR="00D77E3F">
              <w:rPr>
                <w:noProof/>
                <w:webHidden/>
              </w:rPr>
              <w:tab/>
            </w:r>
            <w:r w:rsidR="00D77E3F">
              <w:rPr>
                <w:noProof/>
                <w:webHidden/>
              </w:rPr>
              <w:fldChar w:fldCharType="begin"/>
            </w:r>
            <w:r w:rsidR="00D77E3F">
              <w:rPr>
                <w:noProof/>
                <w:webHidden/>
              </w:rPr>
              <w:instrText xml:space="preserve"> PAGEREF _Toc110502596 \h </w:instrText>
            </w:r>
            <w:r w:rsidR="00D77E3F">
              <w:rPr>
                <w:noProof/>
                <w:webHidden/>
              </w:rPr>
            </w:r>
            <w:r w:rsidR="00D77E3F">
              <w:rPr>
                <w:noProof/>
                <w:webHidden/>
              </w:rPr>
              <w:fldChar w:fldCharType="separate"/>
            </w:r>
            <w:r w:rsidR="00D77E3F">
              <w:rPr>
                <w:noProof/>
                <w:webHidden/>
              </w:rPr>
              <w:t>77</w:t>
            </w:r>
            <w:r w:rsidR="00D77E3F">
              <w:rPr>
                <w:noProof/>
                <w:webHidden/>
              </w:rPr>
              <w:fldChar w:fldCharType="end"/>
            </w:r>
          </w:hyperlink>
        </w:p>
        <w:p w14:paraId="67267F81" w14:textId="5D3E3AC2" w:rsidR="00D77E3F" w:rsidRDefault="00783427">
          <w:pPr>
            <w:pStyle w:val="TOC3"/>
            <w:tabs>
              <w:tab w:val="right" w:leader="dot" w:pos="8630"/>
            </w:tabs>
            <w:rPr>
              <w:rFonts w:asciiTheme="minorHAnsi" w:eastAsiaTheme="minorEastAsia" w:hAnsiTheme="minorHAnsi"/>
              <w:noProof/>
              <w:sz w:val="22"/>
              <w:lang w:val="en-US"/>
            </w:rPr>
          </w:pPr>
          <w:hyperlink w:anchor="_Toc110502597" w:history="1">
            <w:r w:rsidR="00D77E3F" w:rsidRPr="000E4272">
              <w:rPr>
                <w:rStyle w:val="Hyperlink"/>
                <w:noProof/>
              </w:rPr>
              <w:t>3.7 SOURCES OF DATA COLLECTION</w:t>
            </w:r>
            <w:r w:rsidR="00D77E3F">
              <w:rPr>
                <w:noProof/>
                <w:webHidden/>
              </w:rPr>
              <w:tab/>
            </w:r>
            <w:r w:rsidR="00D77E3F">
              <w:rPr>
                <w:noProof/>
                <w:webHidden/>
              </w:rPr>
              <w:fldChar w:fldCharType="begin"/>
            </w:r>
            <w:r w:rsidR="00D77E3F">
              <w:rPr>
                <w:noProof/>
                <w:webHidden/>
              </w:rPr>
              <w:instrText xml:space="preserve"> PAGEREF _Toc110502597 \h </w:instrText>
            </w:r>
            <w:r w:rsidR="00D77E3F">
              <w:rPr>
                <w:noProof/>
                <w:webHidden/>
              </w:rPr>
            </w:r>
            <w:r w:rsidR="00D77E3F">
              <w:rPr>
                <w:noProof/>
                <w:webHidden/>
              </w:rPr>
              <w:fldChar w:fldCharType="separate"/>
            </w:r>
            <w:r w:rsidR="00D77E3F">
              <w:rPr>
                <w:noProof/>
                <w:webHidden/>
              </w:rPr>
              <w:t>78</w:t>
            </w:r>
            <w:r w:rsidR="00D77E3F">
              <w:rPr>
                <w:noProof/>
                <w:webHidden/>
              </w:rPr>
              <w:fldChar w:fldCharType="end"/>
            </w:r>
          </w:hyperlink>
        </w:p>
        <w:p w14:paraId="4AF6737F" w14:textId="1C306A66" w:rsidR="00D77E3F" w:rsidRDefault="00783427">
          <w:pPr>
            <w:pStyle w:val="TOC3"/>
            <w:tabs>
              <w:tab w:val="right" w:leader="dot" w:pos="8630"/>
            </w:tabs>
            <w:rPr>
              <w:rFonts w:asciiTheme="minorHAnsi" w:eastAsiaTheme="minorEastAsia" w:hAnsiTheme="minorHAnsi"/>
              <w:noProof/>
              <w:sz w:val="22"/>
              <w:lang w:val="en-US"/>
            </w:rPr>
          </w:pPr>
          <w:hyperlink w:anchor="_Toc110502598" w:history="1">
            <w:r w:rsidR="00D77E3F" w:rsidRPr="000E4272">
              <w:rPr>
                <w:rStyle w:val="Hyperlink"/>
                <w:noProof/>
              </w:rPr>
              <w:t>3.7.1 Load Data</w:t>
            </w:r>
            <w:r w:rsidR="00D77E3F">
              <w:rPr>
                <w:noProof/>
                <w:webHidden/>
              </w:rPr>
              <w:tab/>
            </w:r>
            <w:r w:rsidR="00D77E3F">
              <w:rPr>
                <w:noProof/>
                <w:webHidden/>
              </w:rPr>
              <w:fldChar w:fldCharType="begin"/>
            </w:r>
            <w:r w:rsidR="00D77E3F">
              <w:rPr>
                <w:noProof/>
                <w:webHidden/>
              </w:rPr>
              <w:instrText xml:space="preserve"> PAGEREF _Toc110502598 \h </w:instrText>
            </w:r>
            <w:r w:rsidR="00D77E3F">
              <w:rPr>
                <w:noProof/>
                <w:webHidden/>
              </w:rPr>
            </w:r>
            <w:r w:rsidR="00D77E3F">
              <w:rPr>
                <w:noProof/>
                <w:webHidden/>
              </w:rPr>
              <w:fldChar w:fldCharType="separate"/>
            </w:r>
            <w:r w:rsidR="00D77E3F">
              <w:rPr>
                <w:noProof/>
                <w:webHidden/>
              </w:rPr>
              <w:t>78</w:t>
            </w:r>
            <w:r w:rsidR="00D77E3F">
              <w:rPr>
                <w:noProof/>
                <w:webHidden/>
              </w:rPr>
              <w:fldChar w:fldCharType="end"/>
            </w:r>
          </w:hyperlink>
        </w:p>
        <w:p w14:paraId="6BB99DBC" w14:textId="57572818" w:rsidR="00D77E3F" w:rsidRDefault="00783427">
          <w:pPr>
            <w:pStyle w:val="TOC3"/>
            <w:tabs>
              <w:tab w:val="right" w:leader="dot" w:pos="8630"/>
            </w:tabs>
            <w:rPr>
              <w:rFonts w:asciiTheme="minorHAnsi" w:eastAsiaTheme="minorEastAsia" w:hAnsiTheme="minorHAnsi"/>
              <w:noProof/>
              <w:sz w:val="22"/>
              <w:lang w:val="en-US"/>
            </w:rPr>
          </w:pPr>
          <w:hyperlink w:anchor="_Toc110502599" w:history="1">
            <w:r w:rsidR="00D77E3F" w:rsidRPr="000E4272">
              <w:rPr>
                <w:rStyle w:val="Hyperlink"/>
                <w:noProof/>
              </w:rPr>
              <w:t>3.7.2 Renewable Energy Data</w:t>
            </w:r>
            <w:r w:rsidR="00D77E3F">
              <w:rPr>
                <w:noProof/>
                <w:webHidden/>
              </w:rPr>
              <w:tab/>
            </w:r>
            <w:r w:rsidR="00D77E3F">
              <w:rPr>
                <w:noProof/>
                <w:webHidden/>
              </w:rPr>
              <w:fldChar w:fldCharType="begin"/>
            </w:r>
            <w:r w:rsidR="00D77E3F">
              <w:rPr>
                <w:noProof/>
                <w:webHidden/>
              </w:rPr>
              <w:instrText xml:space="preserve"> PAGEREF _Toc110502599 \h </w:instrText>
            </w:r>
            <w:r w:rsidR="00D77E3F">
              <w:rPr>
                <w:noProof/>
                <w:webHidden/>
              </w:rPr>
            </w:r>
            <w:r w:rsidR="00D77E3F">
              <w:rPr>
                <w:noProof/>
                <w:webHidden/>
              </w:rPr>
              <w:fldChar w:fldCharType="separate"/>
            </w:r>
            <w:r w:rsidR="00D77E3F">
              <w:rPr>
                <w:noProof/>
                <w:webHidden/>
              </w:rPr>
              <w:t>79</w:t>
            </w:r>
            <w:r w:rsidR="00D77E3F">
              <w:rPr>
                <w:noProof/>
                <w:webHidden/>
              </w:rPr>
              <w:fldChar w:fldCharType="end"/>
            </w:r>
          </w:hyperlink>
        </w:p>
        <w:p w14:paraId="4AE523E4" w14:textId="2534F5C4" w:rsidR="00D77E3F" w:rsidRDefault="00783427">
          <w:pPr>
            <w:pStyle w:val="TOC3"/>
            <w:tabs>
              <w:tab w:val="right" w:leader="dot" w:pos="8630"/>
            </w:tabs>
            <w:rPr>
              <w:rFonts w:asciiTheme="minorHAnsi" w:eastAsiaTheme="minorEastAsia" w:hAnsiTheme="minorHAnsi"/>
              <w:noProof/>
              <w:sz w:val="22"/>
              <w:lang w:val="en-US"/>
            </w:rPr>
          </w:pPr>
          <w:hyperlink w:anchor="_Toc110502600" w:history="1">
            <w:r w:rsidR="00D77E3F" w:rsidRPr="000E4272">
              <w:rPr>
                <w:rStyle w:val="Hyperlink"/>
                <w:noProof/>
              </w:rPr>
              <w:t>3.7.3 Economic Data and Cost Information</w:t>
            </w:r>
            <w:r w:rsidR="00D77E3F">
              <w:rPr>
                <w:noProof/>
                <w:webHidden/>
              </w:rPr>
              <w:tab/>
            </w:r>
            <w:r w:rsidR="00D77E3F">
              <w:rPr>
                <w:noProof/>
                <w:webHidden/>
              </w:rPr>
              <w:fldChar w:fldCharType="begin"/>
            </w:r>
            <w:r w:rsidR="00D77E3F">
              <w:rPr>
                <w:noProof/>
                <w:webHidden/>
              </w:rPr>
              <w:instrText xml:space="preserve"> PAGEREF _Toc110502600 \h </w:instrText>
            </w:r>
            <w:r w:rsidR="00D77E3F">
              <w:rPr>
                <w:noProof/>
                <w:webHidden/>
              </w:rPr>
            </w:r>
            <w:r w:rsidR="00D77E3F">
              <w:rPr>
                <w:noProof/>
                <w:webHidden/>
              </w:rPr>
              <w:fldChar w:fldCharType="separate"/>
            </w:r>
            <w:r w:rsidR="00D77E3F">
              <w:rPr>
                <w:noProof/>
                <w:webHidden/>
              </w:rPr>
              <w:t>84</w:t>
            </w:r>
            <w:r w:rsidR="00D77E3F">
              <w:rPr>
                <w:noProof/>
                <w:webHidden/>
              </w:rPr>
              <w:fldChar w:fldCharType="end"/>
            </w:r>
          </w:hyperlink>
        </w:p>
        <w:p w14:paraId="539EBF90" w14:textId="4BF5A381" w:rsidR="00D77E3F" w:rsidRDefault="00783427">
          <w:pPr>
            <w:pStyle w:val="TOC3"/>
            <w:tabs>
              <w:tab w:val="right" w:leader="dot" w:pos="8630"/>
            </w:tabs>
            <w:rPr>
              <w:rFonts w:asciiTheme="minorHAnsi" w:eastAsiaTheme="minorEastAsia" w:hAnsiTheme="minorHAnsi"/>
              <w:noProof/>
              <w:sz w:val="22"/>
              <w:lang w:val="en-US"/>
            </w:rPr>
          </w:pPr>
          <w:hyperlink w:anchor="_Toc110502601" w:history="1">
            <w:r w:rsidR="00D77E3F" w:rsidRPr="000E4272">
              <w:rPr>
                <w:rStyle w:val="Hyperlink"/>
                <w:noProof/>
              </w:rPr>
              <w:t>3.8 RESEARCH INSTRUMENTS/TOOLS</w:t>
            </w:r>
            <w:r w:rsidR="00D77E3F">
              <w:rPr>
                <w:noProof/>
                <w:webHidden/>
              </w:rPr>
              <w:tab/>
            </w:r>
            <w:r w:rsidR="00D77E3F">
              <w:rPr>
                <w:noProof/>
                <w:webHidden/>
              </w:rPr>
              <w:fldChar w:fldCharType="begin"/>
            </w:r>
            <w:r w:rsidR="00D77E3F">
              <w:rPr>
                <w:noProof/>
                <w:webHidden/>
              </w:rPr>
              <w:instrText xml:space="preserve"> PAGEREF _Toc110502601 \h </w:instrText>
            </w:r>
            <w:r w:rsidR="00D77E3F">
              <w:rPr>
                <w:noProof/>
                <w:webHidden/>
              </w:rPr>
            </w:r>
            <w:r w:rsidR="00D77E3F">
              <w:rPr>
                <w:noProof/>
                <w:webHidden/>
              </w:rPr>
              <w:fldChar w:fldCharType="separate"/>
            </w:r>
            <w:r w:rsidR="00D77E3F">
              <w:rPr>
                <w:noProof/>
                <w:webHidden/>
              </w:rPr>
              <w:t>85</w:t>
            </w:r>
            <w:r w:rsidR="00D77E3F">
              <w:rPr>
                <w:noProof/>
                <w:webHidden/>
              </w:rPr>
              <w:fldChar w:fldCharType="end"/>
            </w:r>
          </w:hyperlink>
        </w:p>
        <w:p w14:paraId="0C27DA12" w14:textId="0F1C5DF1"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602" w:history="1">
            <w:r w:rsidR="00D77E3F" w:rsidRPr="000E4272">
              <w:rPr>
                <w:rStyle w:val="Hyperlink"/>
                <w:noProof/>
              </w:rPr>
              <w:t xml:space="preserve">3.9 </w:t>
            </w:r>
            <w:r w:rsidR="00D77E3F">
              <w:rPr>
                <w:rFonts w:asciiTheme="minorHAnsi" w:eastAsiaTheme="minorEastAsia" w:hAnsiTheme="minorHAnsi"/>
                <w:noProof/>
                <w:sz w:val="22"/>
                <w:lang w:val="en-US"/>
              </w:rPr>
              <w:tab/>
            </w:r>
            <w:r w:rsidR="00D77E3F" w:rsidRPr="000E4272">
              <w:rPr>
                <w:rStyle w:val="Hyperlink"/>
                <w:noProof/>
              </w:rPr>
              <w:t>DATA ANALYSIS TECHNIQUES</w:t>
            </w:r>
            <w:r w:rsidR="00D77E3F">
              <w:rPr>
                <w:noProof/>
                <w:webHidden/>
              </w:rPr>
              <w:tab/>
            </w:r>
            <w:r w:rsidR="00D77E3F">
              <w:rPr>
                <w:noProof/>
                <w:webHidden/>
              </w:rPr>
              <w:fldChar w:fldCharType="begin"/>
            </w:r>
            <w:r w:rsidR="00D77E3F">
              <w:rPr>
                <w:noProof/>
                <w:webHidden/>
              </w:rPr>
              <w:instrText xml:space="preserve"> PAGEREF _Toc110502602 \h </w:instrText>
            </w:r>
            <w:r w:rsidR="00D77E3F">
              <w:rPr>
                <w:noProof/>
                <w:webHidden/>
              </w:rPr>
            </w:r>
            <w:r w:rsidR="00D77E3F">
              <w:rPr>
                <w:noProof/>
                <w:webHidden/>
              </w:rPr>
              <w:fldChar w:fldCharType="separate"/>
            </w:r>
            <w:r w:rsidR="00D77E3F">
              <w:rPr>
                <w:noProof/>
                <w:webHidden/>
              </w:rPr>
              <w:t>86</w:t>
            </w:r>
            <w:r w:rsidR="00D77E3F">
              <w:rPr>
                <w:noProof/>
                <w:webHidden/>
              </w:rPr>
              <w:fldChar w:fldCharType="end"/>
            </w:r>
          </w:hyperlink>
        </w:p>
        <w:p w14:paraId="6FE5A773" w14:textId="7B3EDB73"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03" w:history="1">
            <w:r w:rsidR="00D77E3F" w:rsidRPr="000E4272">
              <w:rPr>
                <w:rStyle w:val="Hyperlink"/>
                <w:noProof/>
              </w:rPr>
              <w:t>3.10</w:t>
            </w:r>
            <w:r w:rsidR="00D77E3F">
              <w:rPr>
                <w:rFonts w:asciiTheme="minorHAnsi" w:eastAsiaTheme="minorEastAsia" w:hAnsiTheme="minorHAnsi"/>
                <w:noProof/>
                <w:sz w:val="22"/>
                <w:lang w:val="en-US"/>
              </w:rPr>
              <w:tab/>
            </w:r>
            <w:r w:rsidR="00D77E3F" w:rsidRPr="000E4272">
              <w:rPr>
                <w:rStyle w:val="Hyperlink"/>
                <w:noProof/>
              </w:rPr>
              <w:t>BRIEF PRESENTATION AND EXPLANATION OF LOAD AND STREAMFLOW DATA.</w:t>
            </w:r>
            <w:r w:rsidR="00D77E3F">
              <w:rPr>
                <w:noProof/>
                <w:webHidden/>
              </w:rPr>
              <w:tab/>
            </w:r>
            <w:r w:rsidR="00D77E3F">
              <w:rPr>
                <w:noProof/>
                <w:webHidden/>
              </w:rPr>
              <w:fldChar w:fldCharType="begin"/>
            </w:r>
            <w:r w:rsidR="00D77E3F">
              <w:rPr>
                <w:noProof/>
                <w:webHidden/>
              </w:rPr>
              <w:instrText xml:space="preserve"> PAGEREF _Toc110502603 \h </w:instrText>
            </w:r>
            <w:r w:rsidR="00D77E3F">
              <w:rPr>
                <w:noProof/>
                <w:webHidden/>
              </w:rPr>
            </w:r>
            <w:r w:rsidR="00D77E3F">
              <w:rPr>
                <w:noProof/>
                <w:webHidden/>
              </w:rPr>
              <w:fldChar w:fldCharType="separate"/>
            </w:r>
            <w:r w:rsidR="00D77E3F">
              <w:rPr>
                <w:noProof/>
                <w:webHidden/>
              </w:rPr>
              <w:t>87</w:t>
            </w:r>
            <w:r w:rsidR="00D77E3F">
              <w:rPr>
                <w:noProof/>
                <w:webHidden/>
              </w:rPr>
              <w:fldChar w:fldCharType="end"/>
            </w:r>
          </w:hyperlink>
        </w:p>
        <w:p w14:paraId="5855C87C" w14:textId="47CDD92C" w:rsidR="00D77E3F" w:rsidRDefault="00783427">
          <w:pPr>
            <w:pStyle w:val="TOC1"/>
            <w:tabs>
              <w:tab w:val="right" w:leader="dot" w:pos="8630"/>
            </w:tabs>
            <w:rPr>
              <w:rFonts w:asciiTheme="minorHAnsi" w:eastAsiaTheme="minorEastAsia" w:hAnsiTheme="minorHAnsi"/>
              <w:noProof/>
              <w:sz w:val="22"/>
              <w:lang w:val="en-US"/>
            </w:rPr>
          </w:pPr>
          <w:hyperlink w:anchor="_Toc110502604" w:history="1">
            <w:r w:rsidR="00D77E3F" w:rsidRPr="000E4272">
              <w:rPr>
                <w:rStyle w:val="Hyperlink"/>
                <w:noProof/>
                <w:lang w:val="en-US"/>
              </w:rPr>
              <w:t>CHAPTER FOUR</w:t>
            </w:r>
            <w:r w:rsidR="00D77E3F">
              <w:rPr>
                <w:noProof/>
                <w:webHidden/>
              </w:rPr>
              <w:tab/>
            </w:r>
            <w:r w:rsidR="00D77E3F">
              <w:rPr>
                <w:noProof/>
                <w:webHidden/>
              </w:rPr>
              <w:fldChar w:fldCharType="begin"/>
            </w:r>
            <w:r w:rsidR="00D77E3F">
              <w:rPr>
                <w:noProof/>
                <w:webHidden/>
              </w:rPr>
              <w:instrText xml:space="preserve"> PAGEREF _Toc110502604 \h </w:instrText>
            </w:r>
            <w:r w:rsidR="00D77E3F">
              <w:rPr>
                <w:noProof/>
                <w:webHidden/>
              </w:rPr>
            </w:r>
            <w:r w:rsidR="00D77E3F">
              <w:rPr>
                <w:noProof/>
                <w:webHidden/>
              </w:rPr>
              <w:fldChar w:fldCharType="separate"/>
            </w:r>
            <w:r w:rsidR="00D77E3F">
              <w:rPr>
                <w:noProof/>
                <w:webHidden/>
              </w:rPr>
              <w:t>95</w:t>
            </w:r>
            <w:r w:rsidR="00D77E3F">
              <w:rPr>
                <w:noProof/>
                <w:webHidden/>
              </w:rPr>
              <w:fldChar w:fldCharType="end"/>
            </w:r>
          </w:hyperlink>
        </w:p>
        <w:p w14:paraId="6DF9117D" w14:textId="68381668" w:rsidR="00D77E3F" w:rsidRDefault="00783427">
          <w:pPr>
            <w:pStyle w:val="TOC2"/>
            <w:tabs>
              <w:tab w:val="right" w:leader="dot" w:pos="8630"/>
            </w:tabs>
            <w:rPr>
              <w:rFonts w:asciiTheme="minorHAnsi" w:eastAsiaTheme="minorEastAsia" w:hAnsiTheme="minorHAnsi"/>
              <w:noProof/>
              <w:sz w:val="22"/>
              <w:lang w:val="en-US"/>
            </w:rPr>
          </w:pPr>
          <w:hyperlink w:anchor="_Toc110502605" w:history="1">
            <w:r w:rsidR="00D77E3F" w:rsidRPr="000E4272">
              <w:rPr>
                <w:rStyle w:val="Hyperlink"/>
                <w:noProof/>
                <w:lang w:val="en-US"/>
              </w:rPr>
              <w:t>RESULTS AND DISCUSSION OF FINDINGS</w:t>
            </w:r>
            <w:r w:rsidR="00D77E3F">
              <w:rPr>
                <w:noProof/>
                <w:webHidden/>
              </w:rPr>
              <w:tab/>
            </w:r>
            <w:r w:rsidR="00D77E3F">
              <w:rPr>
                <w:noProof/>
                <w:webHidden/>
              </w:rPr>
              <w:fldChar w:fldCharType="begin"/>
            </w:r>
            <w:r w:rsidR="00D77E3F">
              <w:rPr>
                <w:noProof/>
                <w:webHidden/>
              </w:rPr>
              <w:instrText xml:space="preserve"> PAGEREF _Toc110502605 \h </w:instrText>
            </w:r>
            <w:r w:rsidR="00D77E3F">
              <w:rPr>
                <w:noProof/>
                <w:webHidden/>
              </w:rPr>
            </w:r>
            <w:r w:rsidR="00D77E3F">
              <w:rPr>
                <w:noProof/>
                <w:webHidden/>
              </w:rPr>
              <w:fldChar w:fldCharType="separate"/>
            </w:r>
            <w:r w:rsidR="00D77E3F">
              <w:rPr>
                <w:noProof/>
                <w:webHidden/>
              </w:rPr>
              <w:t>95</w:t>
            </w:r>
            <w:r w:rsidR="00D77E3F">
              <w:rPr>
                <w:noProof/>
                <w:webHidden/>
              </w:rPr>
              <w:fldChar w:fldCharType="end"/>
            </w:r>
          </w:hyperlink>
        </w:p>
        <w:p w14:paraId="0720DD74" w14:textId="677AF8D7" w:rsidR="00D77E3F" w:rsidRDefault="00783427">
          <w:pPr>
            <w:pStyle w:val="TOC3"/>
            <w:tabs>
              <w:tab w:val="right" w:leader="dot" w:pos="8630"/>
            </w:tabs>
            <w:rPr>
              <w:rFonts w:asciiTheme="minorHAnsi" w:eastAsiaTheme="minorEastAsia" w:hAnsiTheme="minorHAnsi"/>
              <w:noProof/>
              <w:sz w:val="22"/>
              <w:lang w:val="en-US"/>
            </w:rPr>
          </w:pPr>
          <w:hyperlink w:anchor="_Toc110502606" w:history="1">
            <w:r w:rsidR="00D77E3F" w:rsidRPr="000E4272">
              <w:rPr>
                <w:rStyle w:val="Hyperlink"/>
                <w:noProof/>
              </w:rPr>
              <w:t>4.1 SOCIAL ACCEPTABILITY ANALYSIS</w:t>
            </w:r>
            <w:r w:rsidR="00D77E3F">
              <w:rPr>
                <w:noProof/>
                <w:webHidden/>
              </w:rPr>
              <w:tab/>
            </w:r>
            <w:r w:rsidR="00D77E3F">
              <w:rPr>
                <w:noProof/>
                <w:webHidden/>
              </w:rPr>
              <w:fldChar w:fldCharType="begin"/>
            </w:r>
            <w:r w:rsidR="00D77E3F">
              <w:rPr>
                <w:noProof/>
                <w:webHidden/>
              </w:rPr>
              <w:instrText xml:space="preserve"> PAGEREF _Toc110502606 \h </w:instrText>
            </w:r>
            <w:r w:rsidR="00D77E3F">
              <w:rPr>
                <w:noProof/>
                <w:webHidden/>
              </w:rPr>
            </w:r>
            <w:r w:rsidR="00D77E3F">
              <w:rPr>
                <w:noProof/>
                <w:webHidden/>
              </w:rPr>
              <w:fldChar w:fldCharType="separate"/>
            </w:r>
            <w:r w:rsidR="00D77E3F">
              <w:rPr>
                <w:noProof/>
                <w:webHidden/>
              </w:rPr>
              <w:t>95</w:t>
            </w:r>
            <w:r w:rsidR="00D77E3F">
              <w:rPr>
                <w:noProof/>
                <w:webHidden/>
              </w:rPr>
              <w:fldChar w:fldCharType="end"/>
            </w:r>
          </w:hyperlink>
        </w:p>
        <w:p w14:paraId="12DC5421" w14:textId="00ACC453"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607" w:history="1">
            <w:r w:rsidR="00D77E3F" w:rsidRPr="000E4272">
              <w:rPr>
                <w:rStyle w:val="Hyperlink"/>
                <w:noProof/>
              </w:rPr>
              <w:t>4.2</w:t>
            </w:r>
            <w:r w:rsidR="00D77E3F">
              <w:rPr>
                <w:rFonts w:asciiTheme="minorHAnsi" w:eastAsiaTheme="minorEastAsia" w:hAnsiTheme="minorHAnsi"/>
                <w:noProof/>
                <w:sz w:val="22"/>
                <w:lang w:val="en-US"/>
              </w:rPr>
              <w:tab/>
            </w:r>
            <w:r w:rsidR="00D77E3F" w:rsidRPr="000E4272">
              <w:rPr>
                <w:rStyle w:val="Hyperlink"/>
                <w:noProof/>
              </w:rPr>
              <w:t>TECHNO-ECONOMIC ANALYSIS</w:t>
            </w:r>
            <w:r w:rsidR="00D77E3F">
              <w:rPr>
                <w:noProof/>
                <w:webHidden/>
              </w:rPr>
              <w:tab/>
            </w:r>
            <w:r w:rsidR="00D77E3F">
              <w:rPr>
                <w:noProof/>
                <w:webHidden/>
              </w:rPr>
              <w:fldChar w:fldCharType="begin"/>
            </w:r>
            <w:r w:rsidR="00D77E3F">
              <w:rPr>
                <w:noProof/>
                <w:webHidden/>
              </w:rPr>
              <w:instrText xml:space="preserve"> PAGEREF _Toc110502607 \h </w:instrText>
            </w:r>
            <w:r w:rsidR="00D77E3F">
              <w:rPr>
                <w:noProof/>
                <w:webHidden/>
              </w:rPr>
            </w:r>
            <w:r w:rsidR="00D77E3F">
              <w:rPr>
                <w:noProof/>
                <w:webHidden/>
              </w:rPr>
              <w:fldChar w:fldCharType="separate"/>
            </w:r>
            <w:r w:rsidR="00D77E3F">
              <w:rPr>
                <w:noProof/>
                <w:webHidden/>
              </w:rPr>
              <w:t>96</w:t>
            </w:r>
            <w:r w:rsidR="00D77E3F">
              <w:rPr>
                <w:noProof/>
                <w:webHidden/>
              </w:rPr>
              <w:fldChar w:fldCharType="end"/>
            </w:r>
          </w:hyperlink>
        </w:p>
        <w:p w14:paraId="2994372D" w14:textId="01A7C195"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08" w:history="1">
            <w:r w:rsidR="00D77E3F" w:rsidRPr="000E4272">
              <w:rPr>
                <w:rStyle w:val="Hyperlink"/>
                <w:noProof/>
              </w:rPr>
              <w:t>4.2.1</w:t>
            </w:r>
            <w:r w:rsidR="00D77E3F">
              <w:rPr>
                <w:rFonts w:asciiTheme="minorHAnsi" w:eastAsiaTheme="minorEastAsia" w:hAnsiTheme="minorHAnsi"/>
                <w:noProof/>
                <w:sz w:val="22"/>
                <w:lang w:val="en-US"/>
              </w:rPr>
              <w:tab/>
            </w:r>
            <w:r w:rsidR="00D77E3F" w:rsidRPr="000E4272">
              <w:rPr>
                <w:rStyle w:val="Hyperlink"/>
                <w:noProof/>
              </w:rPr>
              <w:t>Load Computations for HOMER</w:t>
            </w:r>
            <w:r w:rsidR="00D77E3F">
              <w:rPr>
                <w:noProof/>
                <w:webHidden/>
              </w:rPr>
              <w:tab/>
            </w:r>
            <w:r w:rsidR="00D77E3F">
              <w:rPr>
                <w:noProof/>
                <w:webHidden/>
              </w:rPr>
              <w:fldChar w:fldCharType="begin"/>
            </w:r>
            <w:r w:rsidR="00D77E3F">
              <w:rPr>
                <w:noProof/>
                <w:webHidden/>
              </w:rPr>
              <w:instrText xml:space="preserve"> PAGEREF _Toc110502608 \h </w:instrText>
            </w:r>
            <w:r w:rsidR="00D77E3F">
              <w:rPr>
                <w:noProof/>
                <w:webHidden/>
              </w:rPr>
            </w:r>
            <w:r w:rsidR="00D77E3F">
              <w:rPr>
                <w:noProof/>
                <w:webHidden/>
              </w:rPr>
              <w:fldChar w:fldCharType="separate"/>
            </w:r>
            <w:r w:rsidR="00D77E3F">
              <w:rPr>
                <w:noProof/>
                <w:webHidden/>
              </w:rPr>
              <w:t>96</w:t>
            </w:r>
            <w:r w:rsidR="00D77E3F">
              <w:rPr>
                <w:noProof/>
                <w:webHidden/>
              </w:rPr>
              <w:fldChar w:fldCharType="end"/>
            </w:r>
          </w:hyperlink>
        </w:p>
        <w:p w14:paraId="3615943D" w14:textId="0B4A2B1B"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09" w:history="1">
            <w:r w:rsidR="00D77E3F" w:rsidRPr="000E4272">
              <w:rPr>
                <w:rStyle w:val="Hyperlink"/>
                <w:noProof/>
              </w:rPr>
              <w:t>4.2.2</w:t>
            </w:r>
            <w:r w:rsidR="00D77E3F">
              <w:rPr>
                <w:rFonts w:asciiTheme="minorHAnsi" w:eastAsiaTheme="minorEastAsia" w:hAnsiTheme="minorHAnsi"/>
                <w:noProof/>
                <w:sz w:val="22"/>
                <w:lang w:val="en-US"/>
              </w:rPr>
              <w:tab/>
            </w:r>
            <w:r w:rsidR="00D77E3F" w:rsidRPr="000E4272">
              <w:rPr>
                <w:rStyle w:val="Hyperlink"/>
                <w:noProof/>
              </w:rPr>
              <w:t>Optimal Solutions for the Renewable Microgrid.</w:t>
            </w:r>
            <w:r w:rsidR="00D77E3F">
              <w:rPr>
                <w:noProof/>
                <w:webHidden/>
              </w:rPr>
              <w:tab/>
            </w:r>
            <w:r w:rsidR="00D77E3F">
              <w:rPr>
                <w:noProof/>
                <w:webHidden/>
              </w:rPr>
              <w:fldChar w:fldCharType="begin"/>
            </w:r>
            <w:r w:rsidR="00D77E3F">
              <w:rPr>
                <w:noProof/>
                <w:webHidden/>
              </w:rPr>
              <w:instrText xml:space="preserve"> PAGEREF _Toc110502609 \h </w:instrText>
            </w:r>
            <w:r w:rsidR="00D77E3F">
              <w:rPr>
                <w:noProof/>
                <w:webHidden/>
              </w:rPr>
            </w:r>
            <w:r w:rsidR="00D77E3F">
              <w:rPr>
                <w:noProof/>
                <w:webHidden/>
              </w:rPr>
              <w:fldChar w:fldCharType="separate"/>
            </w:r>
            <w:r w:rsidR="00D77E3F">
              <w:rPr>
                <w:noProof/>
                <w:webHidden/>
              </w:rPr>
              <w:t>103</w:t>
            </w:r>
            <w:r w:rsidR="00D77E3F">
              <w:rPr>
                <w:noProof/>
                <w:webHidden/>
              </w:rPr>
              <w:fldChar w:fldCharType="end"/>
            </w:r>
          </w:hyperlink>
        </w:p>
        <w:p w14:paraId="74E4A84C" w14:textId="11C5929D"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0" w:history="1">
            <w:r w:rsidR="00D77E3F" w:rsidRPr="000E4272">
              <w:rPr>
                <w:rStyle w:val="Hyperlink"/>
                <w:noProof/>
              </w:rPr>
              <w:t>4.2.3</w:t>
            </w:r>
            <w:r w:rsidR="00D77E3F">
              <w:rPr>
                <w:rFonts w:asciiTheme="minorHAnsi" w:eastAsiaTheme="minorEastAsia" w:hAnsiTheme="minorHAnsi"/>
                <w:noProof/>
                <w:sz w:val="22"/>
                <w:lang w:val="en-US"/>
              </w:rPr>
              <w:tab/>
            </w:r>
            <w:r w:rsidR="00D77E3F" w:rsidRPr="000E4272">
              <w:rPr>
                <w:rStyle w:val="Hyperlink"/>
                <w:noProof/>
              </w:rPr>
              <w:t>Net Present Cost and Levelized Cost of Energy</w:t>
            </w:r>
            <w:r w:rsidR="00D77E3F">
              <w:rPr>
                <w:noProof/>
                <w:webHidden/>
              </w:rPr>
              <w:tab/>
            </w:r>
            <w:r w:rsidR="00D77E3F">
              <w:rPr>
                <w:noProof/>
                <w:webHidden/>
              </w:rPr>
              <w:fldChar w:fldCharType="begin"/>
            </w:r>
            <w:r w:rsidR="00D77E3F">
              <w:rPr>
                <w:noProof/>
                <w:webHidden/>
              </w:rPr>
              <w:instrText xml:space="preserve"> PAGEREF _Toc110502610 \h </w:instrText>
            </w:r>
            <w:r w:rsidR="00D77E3F">
              <w:rPr>
                <w:noProof/>
                <w:webHidden/>
              </w:rPr>
            </w:r>
            <w:r w:rsidR="00D77E3F">
              <w:rPr>
                <w:noProof/>
                <w:webHidden/>
              </w:rPr>
              <w:fldChar w:fldCharType="separate"/>
            </w:r>
            <w:r w:rsidR="00D77E3F">
              <w:rPr>
                <w:noProof/>
                <w:webHidden/>
              </w:rPr>
              <w:t>104</w:t>
            </w:r>
            <w:r w:rsidR="00D77E3F">
              <w:rPr>
                <w:noProof/>
                <w:webHidden/>
              </w:rPr>
              <w:fldChar w:fldCharType="end"/>
            </w:r>
          </w:hyperlink>
        </w:p>
        <w:p w14:paraId="03195809" w14:textId="2C49A1A2"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1" w:history="1">
            <w:r w:rsidR="00D77E3F" w:rsidRPr="000E4272">
              <w:rPr>
                <w:rStyle w:val="Hyperlink"/>
                <w:noProof/>
              </w:rPr>
              <w:t>4.2.4</w:t>
            </w:r>
            <w:r w:rsidR="00D77E3F">
              <w:rPr>
                <w:rFonts w:asciiTheme="minorHAnsi" w:eastAsiaTheme="minorEastAsia" w:hAnsiTheme="minorHAnsi"/>
                <w:noProof/>
                <w:sz w:val="22"/>
                <w:lang w:val="en-US"/>
              </w:rPr>
              <w:tab/>
            </w:r>
            <w:r w:rsidR="00D77E3F" w:rsidRPr="000E4272">
              <w:rPr>
                <w:rStyle w:val="Hyperlink"/>
                <w:noProof/>
              </w:rPr>
              <w:t>Battery Energy Storage System (BESS)</w:t>
            </w:r>
            <w:r w:rsidR="00D77E3F">
              <w:rPr>
                <w:noProof/>
                <w:webHidden/>
              </w:rPr>
              <w:tab/>
            </w:r>
            <w:r w:rsidR="00D77E3F">
              <w:rPr>
                <w:noProof/>
                <w:webHidden/>
              </w:rPr>
              <w:fldChar w:fldCharType="begin"/>
            </w:r>
            <w:r w:rsidR="00D77E3F">
              <w:rPr>
                <w:noProof/>
                <w:webHidden/>
              </w:rPr>
              <w:instrText xml:space="preserve"> PAGEREF _Toc110502611 \h </w:instrText>
            </w:r>
            <w:r w:rsidR="00D77E3F">
              <w:rPr>
                <w:noProof/>
                <w:webHidden/>
              </w:rPr>
            </w:r>
            <w:r w:rsidR="00D77E3F">
              <w:rPr>
                <w:noProof/>
                <w:webHidden/>
              </w:rPr>
              <w:fldChar w:fldCharType="separate"/>
            </w:r>
            <w:r w:rsidR="00D77E3F">
              <w:rPr>
                <w:noProof/>
                <w:webHidden/>
              </w:rPr>
              <w:t>106</w:t>
            </w:r>
            <w:r w:rsidR="00D77E3F">
              <w:rPr>
                <w:noProof/>
                <w:webHidden/>
              </w:rPr>
              <w:fldChar w:fldCharType="end"/>
            </w:r>
          </w:hyperlink>
        </w:p>
        <w:p w14:paraId="7E52FE73" w14:textId="20DB7B8B"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2" w:history="1">
            <w:r w:rsidR="00D77E3F" w:rsidRPr="000E4272">
              <w:rPr>
                <w:rStyle w:val="Hyperlink"/>
                <w:noProof/>
              </w:rPr>
              <w:t>4.2.5</w:t>
            </w:r>
            <w:r w:rsidR="00D77E3F">
              <w:rPr>
                <w:rFonts w:asciiTheme="minorHAnsi" w:eastAsiaTheme="minorEastAsia" w:hAnsiTheme="minorHAnsi"/>
                <w:noProof/>
                <w:sz w:val="22"/>
                <w:lang w:val="en-US"/>
              </w:rPr>
              <w:tab/>
            </w:r>
            <w:r w:rsidR="00D77E3F" w:rsidRPr="000E4272">
              <w:rPr>
                <w:rStyle w:val="Hyperlink"/>
                <w:noProof/>
              </w:rPr>
              <w:t>System Converter (Bidirectional)</w:t>
            </w:r>
            <w:r w:rsidR="00D77E3F">
              <w:rPr>
                <w:noProof/>
                <w:webHidden/>
              </w:rPr>
              <w:tab/>
            </w:r>
            <w:r w:rsidR="00D77E3F">
              <w:rPr>
                <w:noProof/>
                <w:webHidden/>
              </w:rPr>
              <w:fldChar w:fldCharType="begin"/>
            </w:r>
            <w:r w:rsidR="00D77E3F">
              <w:rPr>
                <w:noProof/>
                <w:webHidden/>
              </w:rPr>
              <w:instrText xml:space="preserve"> PAGEREF _Toc110502612 \h </w:instrText>
            </w:r>
            <w:r w:rsidR="00D77E3F">
              <w:rPr>
                <w:noProof/>
                <w:webHidden/>
              </w:rPr>
            </w:r>
            <w:r w:rsidR="00D77E3F">
              <w:rPr>
                <w:noProof/>
                <w:webHidden/>
              </w:rPr>
              <w:fldChar w:fldCharType="separate"/>
            </w:r>
            <w:r w:rsidR="00D77E3F">
              <w:rPr>
                <w:noProof/>
                <w:webHidden/>
              </w:rPr>
              <w:t>108</w:t>
            </w:r>
            <w:r w:rsidR="00D77E3F">
              <w:rPr>
                <w:noProof/>
                <w:webHidden/>
              </w:rPr>
              <w:fldChar w:fldCharType="end"/>
            </w:r>
          </w:hyperlink>
        </w:p>
        <w:p w14:paraId="50F86FEC" w14:textId="59D5998B"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3" w:history="1">
            <w:r w:rsidR="00D77E3F" w:rsidRPr="000E4272">
              <w:rPr>
                <w:rStyle w:val="Hyperlink"/>
                <w:noProof/>
              </w:rPr>
              <w:t>4.2.6</w:t>
            </w:r>
            <w:r w:rsidR="00D77E3F">
              <w:rPr>
                <w:rFonts w:asciiTheme="minorHAnsi" w:eastAsiaTheme="minorEastAsia" w:hAnsiTheme="minorHAnsi"/>
                <w:noProof/>
                <w:sz w:val="22"/>
                <w:lang w:val="en-US"/>
              </w:rPr>
              <w:tab/>
            </w:r>
            <w:r w:rsidR="00D77E3F" w:rsidRPr="000E4272">
              <w:rPr>
                <w:rStyle w:val="Hyperlink"/>
                <w:noProof/>
              </w:rPr>
              <w:t>Micro-Hydro Turbine</w:t>
            </w:r>
            <w:r w:rsidR="00D77E3F">
              <w:rPr>
                <w:noProof/>
                <w:webHidden/>
              </w:rPr>
              <w:tab/>
            </w:r>
            <w:r w:rsidR="00D77E3F">
              <w:rPr>
                <w:noProof/>
                <w:webHidden/>
              </w:rPr>
              <w:fldChar w:fldCharType="begin"/>
            </w:r>
            <w:r w:rsidR="00D77E3F">
              <w:rPr>
                <w:noProof/>
                <w:webHidden/>
              </w:rPr>
              <w:instrText xml:space="preserve"> PAGEREF _Toc110502613 \h </w:instrText>
            </w:r>
            <w:r w:rsidR="00D77E3F">
              <w:rPr>
                <w:noProof/>
                <w:webHidden/>
              </w:rPr>
            </w:r>
            <w:r w:rsidR="00D77E3F">
              <w:rPr>
                <w:noProof/>
                <w:webHidden/>
              </w:rPr>
              <w:fldChar w:fldCharType="separate"/>
            </w:r>
            <w:r w:rsidR="00D77E3F">
              <w:rPr>
                <w:noProof/>
                <w:webHidden/>
              </w:rPr>
              <w:t>109</w:t>
            </w:r>
            <w:r w:rsidR="00D77E3F">
              <w:rPr>
                <w:noProof/>
                <w:webHidden/>
              </w:rPr>
              <w:fldChar w:fldCharType="end"/>
            </w:r>
          </w:hyperlink>
        </w:p>
        <w:p w14:paraId="65EAA219" w14:textId="41111342"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4" w:history="1">
            <w:r w:rsidR="00D77E3F" w:rsidRPr="000E4272">
              <w:rPr>
                <w:rStyle w:val="Hyperlink"/>
                <w:noProof/>
              </w:rPr>
              <w:t>4.2.7</w:t>
            </w:r>
            <w:r w:rsidR="00D77E3F">
              <w:rPr>
                <w:rFonts w:asciiTheme="minorHAnsi" w:eastAsiaTheme="minorEastAsia" w:hAnsiTheme="minorHAnsi"/>
                <w:noProof/>
                <w:sz w:val="22"/>
                <w:lang w:val="en-US"/>
              </w:rPr>
              <w:tab/>
            </w:r>
            <w:r w:rsidR="00D77E3F" w:rsidRPr="000E4272">
              <w:rPr>
                <w:rStyle w:val="Hyperlink"/>
                <w:noProof/>
              </w:rPr>
              <w:t>Effect of Removing the Battery Energy Storage</w:t>
            </w:r>
            <w:r w:rsidR="00D77E3F">
              <w:rPr>
                <w:noProof/>
                <w:webHidden/>
              </w:rPr>
              <w:tab/>
            </w:r>
            <w:r w:rsidR="00D77E3F">
              <w:rPr>
                <w:noProof/>
                <w:webHidden/>
              </w:rPr>
              <w:fldChar w:fldCharType="begin"/>
            </w:r>
            <w:r w:rsidR="00D77E3F">
              <w:rPr>
                <w:noProof/>
                <w:webHidden/>
              </w:rPr>
              <w:instrText xml:space="preserve"> PAGEREF _Toc110502614 \h </w:instrText>
            </w:r>
            <w:r w:rsidR="00D77E3F">
              <w:rPr>
                <w:noProof/>
                <w:webHidden/>
              </w:rPr>
            </w:r>
            <w:r w:rsidR="00D77E3F">
              <w:rPr>
                <w:noProof/>
                <w:webHidden/>
              </w:rPr>
              <w:fldChar w:fldCharType="separate"/>
            </w:r>
            <w:r w:rsidR="00D77E3F">
              <w:rPr>
                <w:noProof/>
                <w:webHidden/>
              </w:rPr>
              <w:t>111</w:t>
            </w:r>
            <w:r w:rsidR="00D77E3F">
              <w:rPr>
                <w:noProof/>
                <w:webHidden/>
              </w:rPr>
              <w:fldChar w:fldCharType="end"/>
            </w:r>
          </w:hyperlink>
        </w:p>
        <w:p w14:paraId="75599277" w14:textId="44E614FB"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5" w:history="1">
            <w:r w:rsidR="00D77E3F" w:rsidRPr="000E4272">
              <w:rPr>
                <w:rStyle w:val="Hyperlink"/>
                <w:noProof/>
              </w:rPr>
              <w:t>4.2.8</w:t>
            </w:r>
            <w:r w:rsidR="00D77E3F">
              <w:rPr>
                <w:rFonts w:asciiTheme="minorHAnsi" w:eastAsiaTheme="minorEastAsia" w:hAnsiTheme="minorHAnsi"/>
                <w:noProof/>
                <w:sz w:val="22"/>
                <w:lang w:val="en-US"/>
              </w:rPr>
              <w:tab/>
            </w:r>
            <w:r w:rsidR="00D77E3F" w:rsidRPr="000E4272">
              <w:rPr>
                <w:rStyle w:val="Hyperlink"/>
                <w:noProof/>
              </w:rPr>
              <w:t>Optimal Solutions for Diesel Scenario.</w:t>
            </w:r>
            <w:r w:rsidR="00D77E3F">
              <w:rPr>
                <w:noProof/>
                <w:webHidden/>
              </w:rPr>
              <w:tab/>
            </w:r>
            <w:r w:rsidR="00D77E3F">
              <w:rPr>
                <w:noProof/>
                <w:webHidden/>
              </w:rPr>
              <w:fldChar w:fldCharType="begin"/>
            </w:r>
            <w:r w:rsidR="00D77E3F">
              <w:rPr>
                <w:noProof/>
                <w:webHidden/>
              </w:rPr>
              <w:instrText xml:space="preserve"> PAGEREF _Toc110502615 \h </w:instrText>
            </w:r>
            <w:r w:rsidR="00D77E3F">
              <w:rPr>
                <w:noProof/>
                <w:webHidden/>
              </w:rPr>
            </w:r>
            <w:r w:rsidR="00D77E3F">
              <w:rPr>
                <w:noProof/>
                <w:webHidden/>
              </w:rPr>
              <w:fldChar w:fldCharType="separate"/>
            </w:r>
            <w:r w:rsidR="00D77E3F">
              <w:rPr>
                <w:noProof/>
                <w:webHidden/>
              </w:rPr>
              <w:t>113</w:t>
            </w:r>
            <w:r w:rsidR="00D77E3F">
              <w:rPr>
                <w:noProof/>
                <w:webHidden/>
              </w:rPr>
              <w:fldChar w:fldCharType="end"/>
            </w:r>
          </w:hyperlink>
        </w:p>
        <w:p w14:paraId="0854C2F7" w14:textId="52767451"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6" w:history="1">
            <w:r w:rsidR="00D77E3F" w:rsidRPr="000E4272">
              <w:rPr>
                <w:rStyle w:val="Hyperlink"/>
                <w:noProof/>
              </w:rPr>
              <w:t>4.2.9</w:t>
            </w:r>
            <w:r w:rsidR="00D77E3F">
              <w:rPr>
                <w:rFonts w:asciiTheme="minorHAnsi" w:eastAsiaTheme="minorEastAsia" w:hAnsiTheme="minorHAnsi"/>
                <w:noProof/>
                <w:sz w:val="22"/>
                <w:lang w:val="en-US"/>
              </w:rPr>
              <w:tab/>
            </w:r>
            <w:r w:rsidR="00D77E3F" w:rsidRPr="000E4272">
              <w:rPr>
                <w:rStyle w:val="Hyperlink"/>
                <w:noProof/>
              </w:rPr>
              <w:t>Total Net Present Cost (NPC) for Diesel Microgrid</w:t>
            </w:r>
            <w:r w:rsidR="00D77E3F">
              <w:rPr>
                <w:noProof/>
                <w:webHidden/>
              </w:rPr>
              <w:tab/>
            </w:r>
            <w:r w:rsidR="00D77E3F">
              <w:rPr>
                <w:noProof/>
                <w:webHidden/>
              </w:rPr>
              <w:fldChar w:fldCharType="begin"/>
            </w:r>
            <w:r w:rsidR="00D77E3F">
              <w:rPr>
                <w:noProof/>
                <w:webHidden/>
              </w:rPr>
              <w:instrText xml:space="preserve"> PAGEREF _Toc110502616 \h </w:instrText>
            </w:r>
            <w:r w:rsidR="00D77E3F">
              <w:rPr>
                <w:noProof/>
                <w:webHidden/>
              </w:rPr>
            </w:r>
            <w:r w:rsidR="00D77E3F">
              <w:rPr>
                <w:noProof/>
                <w:webHidden/>
              </w:rPr>
              <w:fldChar w:fldCharType="separate"/>
            </w:r>
            <w:r w:rsidR="00D77E3F">
              <w:rPr>
                <w:noProof/>
                <w:webHidden/>
              </w:rPr>
              <w:t>114</w:t>
            </w:r>
            <w:r w:rsidR="00D77E3F">
              <w:rPr>
                <w:noProof/>
                <w:webHidden/>
              </w:rPr>
              <w:fldChar w:fldCharType="end"/>
            </w:r>
          </w:hyperlink>
        </w:p>
        <w:p w14:paraId="36C82837" w14:textId="632334EC"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7" w:history="1">
            <w:r w:rsidR="00D77E3F" w:rsidRPr="000E4272">
              <w:rPr>
                <w:rStyle w:val="Hyperlink"/>
                <w:noProof/>
              </w:rPr>
              <w:t>4.2.10</w:t>
            </w:r>
            <w:r w:rsidR="00D77E3F">
              <w:rPr>
                <w:rFonts w:asciiTheme="minorHAnsi" w:eastAsiaTheme="minorEastAsia" w:hAnsiTheme="minorHAnsi"/>
                <w:noProof/>
                <w:sz w:val="22"/>
                <w:lang w:val="en-US"/>
              </w:rPr>
              <w:tab/>
            </w:r>
            <w:r w:rsidR="00D77E3F" w:rsidRPr="000E4272">
              <w:rPr>
                <w:rStyle w:val="Hyperlink"/>
                <w:noProof/>
              </w:rPr>
              <w:t>Levelized Cost of Energy (COE) for the Diesel Microgrid</w:t>
            </w:r>
            <w:r w:rsidR="00D77E3F">
              <w:rPr>
                <w:noProof/>
                <w:webHidden/>
              </w:rPr>
              <w:tab/>
            </w:r>
            <w:r w:rsidR="00D77E3F">
              <w:rPr>
                <w:noProof/>
                <w:webHidden/>
              </w:rPr>
              <w:fldChar w:fldCharType="begin"/>
            </w:r>
            <w:r w:rsidR="00D77E3F">
              <w:rPr>
                <w:noProof/>
                <w:webHidden/>
              </w:rPr>
              <w:instrText xml:space="preserve"> PAGEREF _Toc110502617 \h </w:instrText>
            </w:r>
            <w:r w:rsidR="00D77E3F">
              <w:rPr>
                <w:noProof/>
                <w:webHidden/>
              </w:rPr>
            </w:r>
            <w:r w:rsidR="00D77E3F">
              <w:rPr>
                <w:noProof/>
                <w:webHidden/>
              </w:rPr>
              <w:fldChar w:fldCharType="separate"/>
            </w:r>
            <w:r w:rsidR="00D77E3F">
              <w:rPr>
                <w:noProof/>
                <w:webHidden/>
              </w:rPr>
              <w:t>114</w:t>
            </w:r>
            <w:r w:rsidR="00D77E3F">
              <w:rPr>
                <w:noProof/>
                <w:webHidden/>
              </w:rPr>
              <w:fldChar w:fldCharType="end"/>
            </w:r>
          </w:hyperlink>
        </w:p>
        <w:p w14:paraId="37BB9F72" w14:textId="1B272112"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8" w:history="1">
            <w:r w:rsidR="00D77E3F" w:rsidRPr="000E4272">
              <w:rPr>
                <w:rStyle w:val="Hyperlink"/>
                <w:noProof/>
              </w:rPr>
              <w:t>4.2.11</w:t>
            </w:r>
            <w:r w:rsidR="00D77E3F">
              <w:rPr>
                <w:rFonts w:asciiTheme="minorHAnsi" w:eastAsiaTheme="minorEastAsia" w:hAnsiTheme="minorHAnsi"/>
                <w:noProof/>
                <w:sz w:val="22"/>
                <w:lang w:val="en-US"/>
              </w:rPr>
              <w:tab/>
            </w:r>
            <w:r w:rsidR="00D77E3F" w:rsidRPr="000E4272">
              <w:rPr>
                <w:rStyle w:val="Hyperlink"/>
                <w:noProof/>
              </w:rPr>
              <w:t>Annual Operating Cost</w:t>
            </w:r>
            <w:r w:rsidR="00D77E3F">
              <w:rPr>
                <w:noProof/>
                <w:webHidden/>
              </w:rPr>
              <w:tab/>
            </w:r>
            <w:r w:rsidR="00D77E3F">
              <w:rPr>
                <w:noProof/>
                <w:webHidden/>
              </w:rPr>
              <w:fldChar w:fldCharType="begin"/>
            </w:r>
            <w:r w:rsidR="00D77E3F">
              <w:rPr>
                <w:noProof/>
                <w:webHidden/>
              </w:rPr>
              <w:instrText xml:space="preserve"> PAGEREF _Toc110502618 \h </w:instrText>
            </w:r>
            <w:r w:rsidR="00D77E3F">
              <w:rPr>
                <w:noProof/>
                <w:webHidden/>
              </w:rPr>
            </w:r>
            <w:r w:rsidR="00D77E3F">
              <w:rPr>
                <w:noProof/>
                <w:webHidden/>
              </w:rPr>
              <w:fldChar w:fldCharType="separate"/>
            </w:r>
            <w:r w:rsidR="00D77E3F">
              <w:rPr>
                <w:noProof/>
                <w:webHidden/>
              </w:rPr>
              <w:t>115</w:t>
            </w:r>
            <w:r w:rsidR="00D77E3F">
              <w:rPr>
                <w:noProof/>
                <w:webHidden/>
              </w:rPr>
              <w:fldChar w:fldCharType="end"/>
            </w:r>
          </w:hyperlink>
        </w:p>
        <w:p w14:paraId="33E0AD9C" w14:textId="6932D0C7"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19" w:history="1">
            <w:r w:rsidR="00D77E3F" w:rsidRPr="000E4272">
              <w:rPr>
                <w:rStyle w:val="Hyperlink"/>
                <w:noProof/>
              </w:rPr>
              <w:t>4.2.12</w:t>
            </w:r>
            <w:r w:rsidR="00D77E3F">
              <w:rPr>
                <w:rFonts w:asciiTheme="minorHAnsi" w:eastAsiaTheme="minorEastAsia" w:hAnsiTheme="minorHAnsi"/>
                <w:noProof/>
                <w:sz w:val="22"/>
                <w:lang w:val="en-US"/>
              </w:rPr>
              <w:tab/>
            </w:r>
            <w:r w:rsidR="00D77E3F" w:rsidRPr="000E4272">
              <w:rPr>
                <w:rStyle w:val="Hyperlink"/>
                <w:noProof/>
              </w:rPr>
              <w:t xml:space="preserve"> Electrical Summary of the Diesel Microgrid</w:t>
            </w:r>
            <w:r w:rsidR="00D77E3F">
              <w:rPr>
                <w:noProof/>
                <w:webHidden/>
              </w:rPr>
              <w:tab/>
            </w:r>
            <w:r w:rsidR="00D77E3F">
              <w:rPr>
                <w:noProof/>
                <w:webHidden/>
              </w:rPr>
              <w:fldChar w:fldCharType="begin"/>
            </w:r>
            <w:r w:rsidR="00D77E3F">
              <w:rPr>
                <w:noProof/>
                <w:webHidden/>
              </w:rPr>
              <w:instrText xml:space="preserve"> PAGEREF _Toc110502619 \h </w:instrText>
            </w:r>
            <w:r w:rsidR="00D77E3F">
              <w:rPr>
                <w:noProof/>
                <w:webHidden/>
              </w:rPr>
            </w:r>
            <w:r w:rsidR="00D77E3F">
              <w:rPr>
                <w:noProof/>
                <w:webHidden/>
              </w:rPr>
              <w:fldChar w:fldCharType="separate"/>
            </w:r>
            <w:r w:rsidR="00D77E3F">
              <w:rPr>
                <w:noProof/>
                <w:webHidden/>
              </w:rPr>
              <w:t>115</w:t>
            </w:r>
            <w:r w:rsidR="00D77E3F">
              <w:rPr>
                <w:noProof/>
                <w:webHidden/>
              </w:rPr>
              <w:fldChar w:fldCharType="end"/>
            </w:r>
          </w:hyperlink>
        </w:p>
        <w:p w14:paraId="4D71014E" w14:textId="40E6F08E"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20" w:history="1">
            <w:r w:rsidR="00D77E3F" w:rsidRPr="000E4272">
              <w:rPr>
                <w:rStyle w:val="Hyperlink"/>
                <w:noProof/>
              </w:rPr>
              <w:t>4.2.13</w:t>
            </w:r>
            <w:r w:rsidR="00D77E3F">
              <w:rPr>
                <w:rFonts w:asciiTheme="minorHAnsi" w:eastAsiaTheme="minorEastAsia" w:hAnsiTheme="minorHAnsi"/>
                <w:noProof/>
                <w:sz w:val="22"/>
                <w:lang w:val="en-US"/>
              </w:rPr>
              <w:tab/>
            </w:r>
            <w:r w:rsidR="00D77E3F" w:rsidRPr="000E4272">
              <w:rPr>
                <w:rStyle w:val="Hyperlink"/>
                <w:noProof/>
              </w:rPr>
              <w:t>Emissions of the Diesel Microgrid</w:t>
            </w:r>
            <w:r w:rsidR="00D77E3F">
              <w:rPr>
                <w:noProof/>
                <w:webHidden/>
              </w:rPr>
              <w:tab/>
            </w:r>
            <w:r w:rsidR="00D77E3F">
              <w:rPr>
                <w:noProof/>
                <w:webHidden/>
              </w:rPr>
              <w:fldChar w:fldCharType="begin"/>
            </w:r>
            <w:r w:rsidR="00D77E3F">
              <w:rPr>
                <w:noProof/>
                <w:webHidden/>
              </w:rPr>
              <w:instrText xml:space="preserve"> PAGEREF _Toc110502620 \h </w:instrText>
            </w:r>
            <w:r w:rsidR="00D77E3F">
              <w:rPr>
                <w:noProof/>
                <w:webHidden/>
              </w:rPr>
            </w:r>
            <w:r w:rsidR="00D77E3F">
              <w:rPr>
                <w:noProof/>
                <w:webHidden/>
              </w:rPr>
              <w:fldChar w:fldCharType="separate"/>
            </w:r>
            <w:r w:rsidR="00D77E3F">
              <w:rPr>
                <w:noProof/>
                <w:webHidden/>
              </w:rPr>
              <w:t>117</w:t>
            </w:r>
            <w:r w:rsidR="00D77E3F">
              <w:rPr>
                <w:noProof/>
                <w:webHidden/>
              </w:rPr>
              <w:fldChar w:fldCharType="end"/>
            </w:r>
          </w:hyperlink>
        </w:p>
        <w:p w14:paraId="034BD9B1" w14:textId="2E377693"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621" w:history="1">
            <w:r w:rsidR="00D77E3F" w:rsidRPr="000E4272">
              <w:rPr>
                <w:rStyle w:val="Hyperlink"/>
                <w:noProof/>
              </w:rPr>
              <w:t>4.3</w:t>
            </w:r>
            <w:r w:rsidR="00D77E3F">
              <w:rPr>
                <w:rFonts w:asciiTheme="minorHAnsi" w:eastAsiaTheme="minorEastAsia" w:hAnsiTheme="minorHAnsi"/>
                <w:noProof/>
                <w:sz w:val="22"/>
                <w:lang w:val="en-US"/>
              </w:rPr>
              <w:tab/>
            </w:r>
            <w:r w:rsidR="00D77E3F" w:rsidRPr="000E4272">
              <w:rPr>
                <w:rStyle w:val="Hyperlink"/>
                <w:noProof/>
              </w:rPr>
              <w:t>PROBABILITY DISTRIBUTIONS FITTED</w:t>
            </w:r>
            <w:r w:rsidR="00D77E3F">
              <w:rPr>
                <w:noProof/>
                <w:webHidden/>
              </w:rPr>
              <w:tab/>
            </w:r>
            <w:r w:rsidR="00D77E3F">
              <w:rPr>
                <w:noProof/>
                <w:webHidden/>
              </w:rPr>
              <w:fldChar w:fldCharType="begin"/>
            </w:r>
            <w:r w:rsidR="00D77E3F">
              <w:rPr>
                <w:noProof/>
                <w:webHidden/>
              </w:rPr>
              <w:instrText xml:space="preserve"> PAGEREF _Toc110502621 \h </w:instrText>
            </w:r>
            <w:r w:rsidR="00D77E3F">
              <w:rPr>
                <w:noProof/>
                <w:webHidden/>
              </w:rPr>
            </w:r>
            <w:r w:rsidR="00D77E3F">
              <w:rPr>
                <w:noProof/>
                <w:webHidden/>
              </w:rPr>
              <w:fldChar w:fldCharType="separate"/>
            </w:r>
            <w:r w:rsidR="00D77E3F">
              <w:rPr>
                <w:noProof/>
                <w:webHidden/>
              </w:rPr>
              <w:t>118</w:t>
            </w:r>
            <w:r w:rsidR="00D77E3F">
              <w:rPr>
                <w:noProof/>
                <w:webHidden/>
              </w:rPr>
              <w:fldChar w:fldCharType="end"/>
            </w:r>
          </w:hyperlink>
        </w:p>
        <w:p w14:paraId="0FEB124D" w14:textId="73962481"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622" w:history="1">
            <w:r w:rsidR="00D77E3F" w:rsidRPr="000E4272">
              <w:rPr>
                <w:rStyle w:val="Hyperlink"/>
                <w:noProof/>
              </w:rPr>
              <w:t>4.4</w:t>
            </w:r>
            <w:r w:rsidR="00D77E3F">
              <w:rPr>
                <w:rFonts w:asciiTheme="minorHAnsi" w:eastAsiaTheme="minorEastAsia" w:hAnsiTheme="minorHAnsi"/>
                <w:noProof/>
                <w:sz w:val="22"/>
                <w:lang w:val="en-US"/>
              </w:rPr>
              <w:tab/>
            </w:r>
            <w:r w:rsidR="00D77E3F" w:rsidRPr="000E4272">
              <w:rPr>
                <w:rStyle w:val="Hyperlink"/>
                <w:noProof/>
              </w:rPr>
              <w:t>QUASI-DYNAMIC SIMULATION RESULTS OF THE MICROGRID</w:t>
            </w:r>
            <w:r w:rsidR="00D77E3F">
              <w:rPr>
                <w:noProof/>
                <w:webHidden/>
              </w:rPr>
              <w:tab/>
            </w:r>
            <w:r w:rsidR="00D77E3F">
              <w:rPr>
                <w:noProof/>
                <w:webHidden/>
              </w:rPr>
              <w:fldChar w:fldCharType="begin"/>
            </w:r>
            <w:r w:rsidR="00D77E3F">
              <w:rPr>
                <w:noProof/>
                <w:webHidden/>
              </w:rPr>
              <w:instrText xml:space="preserve"> PAGEREF _Toc110502622 \h </w:instrText>
            </w:r>
            <w:r w:rsidR="00D77E3F">
              <w:rPr>
                <w:noProof/>
                <w:webHidden/>
              </w:rPr>
            </w:r>
            <w:r w:rsidR="00D77E3F">
              <w:rPr>
                <w:noProof/>
                <w:webHidden/>
              </w:rPr>
              <w:fldChar w:fldCharType="separate"/>
            </w:r>
            <w:r w:rsidR="00D77E3F">
              <w:rPr>
                <w:noProof/>
                <w:webHidden/>
              </w:rPr>
              <w:t>120</w:t>
            </w:r>
            <w:r w:rsidR="00D77E3F">
              <w:rPr>
                <w:noProof/>
                <w:webHidden/>
              </w:rPr>
              <w:fldChar w:fldCharType="end"/>
            </w:r>
          </w:hyperlink>
        </w:p>
        <w:p w14:paraId="4829D3E3" w14:textId="0E12EA0A"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23" w:history="1">
            <w:r w:rsidR="00D77E3F" w:rsidRPr="000E4272">
              <w:rPr>
                <w:rStyle w:val="Hyperlink"/>
                <w:noProof/>
              </w:rPr>
              <w:t>4.4.1</w:t>
            </w:r>
            <w:r w:rsidR="00D77E3F">
              <w:rPr>
                <w:rFonts w:asciiTheme="minorHAnsi" w:eastAsiaTheme="minorEastAsia" w:hAnsiTheme="minorHAnsi"/>
                <w:noProof/>
                <w:sz w:val="22"/>
                <w:lang w:val="en-US"/>
              </w:rPr>
              <w:tab/>
            </w:r>
            <w:r w:rsidR="00D77E3F" w:rsidRPr="000E4272">
              <w:rPr>
                <w:rStyle w:val="Hyperlink"/>
                <w:noProof/>
              </w:rPr>
              <w:t>Results of the IVD Analysis for First Scenario (Single Power  Point)</w:t>
            </w:r>
            <w:r w:rsidR="00D77E3F">
              <w:rPr>
                <w:noProof/>
                <w:webHidden/>
              </w:rPr>
              <w:tab/>
            </w:r>
            <w:r w:rsidR="00D77E3F">
              <w:rPr>
                <w:noProof/>
                <w:webHidden/>
              </w:rPr>
              <w:fldChar w:fldCharType="begin"/>
            </w:r>
            <w:r w:rsidR="00D77E3F">
              <w:rPr>
                <w:noProof/>
                <w:webHidden/>
              </w:rPr>
              <w:instrText xml:space="preserve"> PAGEREF _Toc110502623 \h </w:instrText>
            </w:r>
            <w:r w:rsidR="00D77E3F">
              <w:rPr>
                <w:noProof/>
                <w:webHidden/>
              </w:rPr>
            </w:r>
            <w:r w:rsidR="00D77E3F">
              <w:rPr>
                <w:noProof/>
                <w:webHidden/>
              </w:rPr>
              <w:fldChar w:fldCharType="separate"/>
            </w:r>
            <w:r w:rsidR="00D77E3F">
              <w:rPr>
                <w:noProof/>
                <w:webHidden/>
              </w:rPr>
              <w:t>120</w:t>
            </w:r>
            <w:r w:rsidR="00D77E3F">
              <w:rPr>
                <w:noProof/>
                <w:webHidden/>
              </w:rPr>
              <w:fldChar w:fldCharType="end"/>
            </w:r>
          </w:hyperlink>
        </w:p>
        <w:p w14:paraId="07B299FD" w14:textId="172E4D06"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24" w:history="1">
            <w:r w:rsidR="00D77E3F" w:rsidRPr="000E4272">
              <w:rPr>
                <w:rStyle w:val="Hyperlink"/>
                <w:noProof/>
              </w:rPr>
              <w:t>4.4.2</w:t>
            </w:r>
            <w:r w:rsidR="00D77E3F">
              <w:rPr>
                <w:rFonts w:asciiTheme="minorHAnsi" w:eastAsiaTheme="minorEastAsia" w:hAnsiTheme="minorHAnsi"/>
                <w:noProof/>
                <w:sz w:val="22"/>
                <w:lang w:val="en-US"/>
              </w:rPr>
              <w:tab/>
            </w:r>
            <w:r w:rsidR="00D77E3F" w:rsidRPr="000E4272">
              <w:rPr>
                <w:rStyle w:val="Hyperlink"/>
                <w:noProof/>
              </w:rPr>
              <w:t>Line loading in the Microgrid for The First Scenario</w:t>
            </w:r>
            <w:r w:rsidR="00D77E3F">
              <w:rPr>
                <w:noProof/>
                <w:webHidden/>
              </w:rPr>
              <w:tab/>
            </w:r>
            <w:r w:rsidR="00D77E3F">
              <w:rPr>
                <w:noProof/>
                <w:webHidden/>
              </w:rPr>
              <w:fldChar w:fldCharType="begin"/>
            </w:r>
            <w:r w:rsidR="00D77E3F">
              <w:rPr>
                <w:noProof/>
                <w:webHidden/>
              </w:rPr>
              <w:instrText xml:space="preserve"> PAGEREF _Toc110502624 \h </w:instrText>
            </w:r>
            <w:r w:rsidR="00D77E3F">
              <w:rPr>
                <w:noProof/>
                <w:webHidden/>
              </w:rPr>
            </w:r>
            <w:r w:rsidR="00D77E3F">
              <w:rPr>
                <w:noProof/>
                <w:webHidden/>
              </w:rPr>
              <w:fldChar w:fldCharType="separate"/>
            </w:r>
            <w:r w:rsidR="00D77E3F">
              <w:rPr>
                <w:noProof/>
                <w:webHidden/>
              </w:rPr>
              <w:t>132</w:t>
            </w:r>
            <w:r w:rsidR="00D77E3F">
              <w:rPr>
                <w:noProof/>
                <w:webHidden/>
              </w:rPr>
              <w:fldChar w:fldCharType="end"/>
            </w:r>
          </w:hyperlink>
        </w:p>
        <w:p w14:paraId="69CA2F50" w14:textId="1B465D0E"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25" w:history="1">
            <w:r w:rsidR="00D77E3F" w:rsidRPr="000E4272">
              <w:rPr>
                <w:rStyle w:val="Hyperlink"/>
                <w:noProof/>
              </w:rPr>
              <w:t>4.4.3</w:t>
            </w:r>
            <w:r w:rsidR="00D77E3F">
              <w:rPr>
                <w:rFonts w:asciiTheme="minorHAnsi" w:eastAsiaTheme="minorEastAsia" w:hAnsiTheme="minorHAnsi"/>
                <w:noProof/>
                <w:sz w:val="22"/>
                <w:lang w:val="en-US"/>
              </w:rPr>
              <w:tab/>
            </w:r>
            <w:r w:rsidR="00D77E3F" w:rsidRPr="000E4272">
              <w:rPr>
                <w:rStyle w:val="Hyperlink"/>
                <w:noProof/>
              </w:rPr>
              <w:t>Voltages obtained in the Microgrid for the First Scenario.</w:t>
            </w:r>
            <w:r w:rsidR="00D77E3F">
              <w:rPr>
                <w:noProof/>
                <w:webHidden/>
              </w:rPr>
              <w:tab/>
            </w:r>
            <w:r w:rsidR="00D77E3F">
              <w:rPr>
                <w:noProof/>
                <w:webHidden/>
              </w:rPr>
              <w:fldChar w:fldCharType="begin"/>
            </w:r>
            <w:r w:rsidR="00D77E3F">
              <w:rPr>
                <w:noProof/>
                <w:webHidden/>
              </w:rPr>
              <w:instrText xml:space="preserve"> PAGEREF _Toc110502625 \h </w:instrText>
            </w:r>
            <w:r w:rsidR="00D77E3F">
              <w:rPr>
                <w:noProof/>
                <w:webHidden/>
              </w:rPr>
            </w:r>
            <w:r w:rsidR="00D77E3F">
              <w:rPr>
                <w:noProof/>
                <w:webHidden/>
              </w:rPr>
              <w:fldChar w:fldCharType="separate"/>
            </w:r>
            <w:r w:rsidR="00D77E3F">
              <w:rPr>
                <w:noProof/>
                <w:webHidden/>
              </w:rPr>
              <w:t>133</w:t>
            </w:r>
            <w:r w:rsidR="00D77E3F">
              <w:rPr>
                <w:noProof/>
                <w:webHidden/>
              </w:rPr>
              <w:fldChar w:fldCharType="end"/>
            </w:r>
          </w:hyperlink>
        </w:p>
        <w:p w14:paraId="0C85F6F1" w14:textId="56406676"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26" w:history="1">
            <w:r w:rsidR="00D77E3F" w:rsidRPr="000E4272">
              <w:rPr>
                <w:rStyle w:val="Hyperlink"/>
                <w:noProof/>
              </w:rPr>
              <w:t>4.4.4</w:t>
            </w:r>
            <w:r w:rsidR="00D77E3F">
              <w:rPr>
                <w:rFonts w:asciiTheme="minorHAnsi" w:eastAsiaTheme="minorEastAsia" w:hAnsiTheme="minorHAnsi"/>
                <w:noProof/>
                <w:sz w:val="22"/>
                <w:lang w:val="en-US"/>
              </w:rPr>
              <w:tab/>
            </w:r>
            <w:r w:rsidR="00D77E3F" w:rsidRPr="000E4272">
              <w:rPr>
                <w:rStyle w:val="Hyperlink"/>
                <w:noProof/>
              </w:rPr>
              <w:t>Transformer Loading on the Microgrid</w:t>
            </w:r>
            <w:r w:rsidR="00D77E3F">
              <w:rPr>
                <w:noProof/>
                <w:webHidden/>
              </w:rPr>
              <w:tab/>
            </w:r>
            <w:r w:rsidR="00D77E3F">
              <w:rPr>
                <w:noProof/>
                <w:webHidden/>
              </w:rPr>
              <w:fldChar w:fldCharType="begin"/>
            </w:r>
            <w:r w:rsidR="00D77E3F">
              <w:rPr>
                <w:noProof/>
                <w:webHidden/>
              </w:rPr>
              <w:instrText xml:space="preserve"> PAGEREF _Toc110502626 \h </w:instrText>
            </w:r>
            <w:r w:rsidR="00D77E3F">
              <w:rPr>
                <w:noProof/>
                <w:webHidden/>
              </w:rPr>
            </w:r>
            <w:r w:rsidR="00D77E3F">
              <w:rPr>
                <w:noProof/>
                <w:webHidden/>
              </w:rPr>
              <w:fldChar w:fldCharType="separate"/>
            </w:r>
            <w:r w:rsidR="00D77E3F">
              <w:rPr>
                <w:noProof/>
                <w:webHidden/>
              </w:rPr>
              <w:t>134</w:t>
            </w:r>
            <w:r w:rsidR="00D77E3F">
              <w:rPr>
                <w:noProof/>
                <w:webHidden/>
              </w:rPr>
              <w:fldChar w:fldCharType="end"/>
            </w:r>
          </w:hyperlink>
        </w:p>
        <w:p w14:paraId="0A5F3E17" w14:textId="37EB58AF"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27" w:history="1">
            <w:r w:rsidR="00D77E3F" w:rsidRPr="000E4272">
              <w:rPr>
                <w:rStyle w:val="Hyperlink"/>
                <w:noProof/>
              </w:rPr>
              <w:t>4.4.5</w:t>
            </w:r>
            <w:r w:rsidR="00D77E3F">
              <w:rPr>
                <w:rFonts w:asciiTheme="minorHAnsi" w:eastAsiaTheme="minorEastAsia" w:hAnsiTheme="minorHAnsi"/>
                <w:noProof/>
                <w:sz w:val="22"/>
                <w:lang w:val="en-US"/>
              </w:rPr>
              <w:tab/>
            </w:r>
            <w:r w:rsidR="00D77E3F" w:rsidRPr="000E4272">
              <w:rPr>
                <w:rStyle w:val="Hyperlink"/>
                <w:noProof/>
              </w:rPr>
              <w:t>Results of the IVD Analysis for the Second Scenario (Dual Power Point).</w:t>
            </w:r>
            <w:r w:rsidR="00D77E3F">
              <w:rPr>
                <w:noProof/>
                <w:webHidden/>
              </w:rPr>
              <w:tab/>
            </w:r>
            <w:r w:rsidR="00D77E3F">
              <w:rPr>
                <w:noProof/>
                <w:webHidden/>
              </w:rPr>
              <w:fldChar w:fldCharType="begin"/>
            </w:r>
            <w:r w:rsidR="00D77E3F">
              <w:rPr>
                <w:noProof/>
                <w:webHidden/>
              </w:rPr>
              <w:instrText xml:space="preserve"> PAGEREF _Toc110502627 \h </w:instrText>
            </w:r>
            <w:r w:rsidR="00D77E3F">
              <w:rPr>
                <w:noProof/>
                <w:webHidden/>
              </w:rPr>
            </w:r>
            <w:r w:rsidR="00D77E3F">
              <w:rPr>
                <w:noProof/>
                <w:webHidden/>
              </w:rPr>
              <w:fldChar w:fldCharType="separate"/>
            </w:r>
            <w:r w:rsidR="00D77E3F">
              <w:rPr>
                <w:noProof/>
                <w:webHidden/>
              </w:rPr>
              <w:t>135</w:t>
            </w:r>
            <w:r w:rsidR="00D77E3F">
              <w:rPr>
                <w:noProof/>
                <w:webHidden/>
              </w:rPr>
              <w:fldChar w:fldCharType="end"/>
            </w:r>
          </w:hyperlink>
        </w:p>
        <w:p w14:paraId="02DDB739" w14:textId="4E26F17B" w:rsidR="00D77E3F" w:rsidRDefault="00783427">
          <w:pPr>
            <w:pStyle w:val="TOC3"/>
            <w:tabs>
              <w:tab w:val="right" w:leader="dot" w:pos="8630"/>
            </w:tabs>
            <w:rPr>
              <w:rFonts w:asciiTheme="minorHAnsi" w:eastAsiaTheme="minorEastAsia" w:hAnsiTheme="minorHAnsi"/>
              <w:noProof/>
              <w:sz w:val="22"/>
              <w:lang w:val="en-US"/>
            </w:rPr>
          </w:pPr>
          <w:hyperlink w:anchor="_Toc110502628" w:history="1">
            <w:r w:rsidR="00D77E3F" w:rsidRPr="000E4272">
              <w:rPr>
                <w:rStyle w:val="Hyperlink"/>
                <w:noProof/>
              </w:rPr>
              <w:t>Graphical Comparison of First and Second Scenarios</w:t>
            </w:r>
            <w:r w:rsidR="00D77E3F">
              <w:rPr>
                <w:noProof/>
                <w:webHidden/>
              </w:rPr>
              <w:tab/>
            </w:r>
            <w:r w:rsidR="00D77E3F">
              <w:rPr>
                <w:noProof/>
                <w:webHidden/>
              </w:rPr>
              <w:fldChar w:fldCharType="begin"/>
            </w:r>
            <w:r w:rsidR="00D77E3F">
              <w:rPr>
                <w:noProof/>
                <w:webHidden/>
              </w:rPr>
              <w:instrText xml:space="preserve"> PAGEREF _Toc110502628 \h </w:instrText>
            </w:r>
            <w:r w:rsidR="00D77E3F">
              <w:rPr>
                <w:noProof/>
                <w:webHidden/>
              </w:rPr>
            </w:r>
            <w:r w:rsidR="00D77E3F">
              <w:rPr>
                <w:noProof/>
                <w:webHidden/>
              </w:rPr>
              <w:fldChar w:fldCharType="separate"/>
            </w:r>
            <w:r w:rsidR="00D77E3F">
              <w:rPr>
                <w:noProof/>
                <w:webHidden/>
              </w:rPr>
              <w:t>148</w:t>
            </w:r>
            <w:r w:rsidR="00D77E3F">
              <w:rPr>
                <w:noProof/>
                <w:webHidden/>
              </w:rPr>
              <w:fldChar w:fldCharType="end"/>
            </w:r>
          </w:hyperlink>
        </w:p>
        <w:p w14:paraId="0ECAC866" w14:textId="4E0D4152"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29" w:history="1">
            <w:r w:rsidR="00D77E3F" w:rsidRPr="000E4272">
              <w:rPr>
                <w:rStyle w:val="Hyperlink"/>
                <w:noProof/>
              </w:rPr>
              <w:t>4.4.6</w:t>
            </w:r>
            <w:r w:rsidR="00D77E3F">
              <w:rPr>
                <w:rFonts w:asciiTheme="minorHAnsi" w:eastAsiaTheme="minorEastAsia" w:hAnsiTheme="minorHAnsi"/>
                <w:noProof/>
                <w:sz w:val="22"/>
                <w:lang w:val="en-US"/>
              </w:rPr>
              <w:tab/>
            </w:r>
            <w:r w:rsidR="00D77E3F" w:rsidRPr="000E4272">
              <w:rPr>
                <w:rStyle w:val="Hyperlink"/>
                <w:noProof/>
              </w:rPr>
              <w:t>Voltages obtained in the Microgrid for the Second Scenario.</w:t>
            </w:r>
            <w:r w:rsidR="00D77E3F">
              <w:rPr>
                <w:noProof/>
                <w:webHidden/>
              </w:rPr>
              <w:tab/>
            </w:r>
            <w:r w:rsidR="00D77E3F">
              <w:rPr>
                <w:noProof/>
                <w:webHidden/>
              </w:rPr>
              <w:fldChar w:fldCharType="begin"/>
            </w:r>
            <w:r w:rsidR="00D77E3F">
              <w:rPr>
                <w:noProof/>
                <w:webHidden/>
              </w:rPr>
              <w:instrText xml:space="preserve"> PAGEREF _Toc110502629 \h </w:instrText>
            </w:r>
            <w:r w:rsidR="00D77E3F">
              <w:rPr>
                <w:noProof/>
                <w:webHidden/>
              </w:rPr>
            </w:r>
            <w:r w:rsidR="00D77E3F">
              <w:rPr>
                <w:noProof/>
                <w:webHidden/>
              </w:rPr>
              <w:fldChar w:fldCharType="separate"/>
            </w:r>
            <w:r w:rsidR="00D77E3F">
              <w:rPr>
                <w:noProof/>
                <w:webHidden/>
              </w:rPr>
              <w:t>149</w:t>
            </w:r>
            <w:r w:rsidR="00D77E3F">
              <w:rPr>
                <w:noProof/>
                <w:webHidden/>
              </w:rPr>
              <w:fldChar w:fldCharType="end"/>
            </w:r>
          </w:hyperlink>
        </w:p>
        <w:p w14:paraId="14769780" w14:textId="31A12BFB" w:rsidR="00D77E3F" w:rsidRDefault="00783427">
          <w:pPr>
            <w:pStyle w:val="TOC3"/>
            <w:tabs>
              <w:tab w:val="left" w:pos="1320"/>
              <w:tab w:val="right" w:leader="dot" w:pos="8630"/>
            </w:tabs>
            <w:rPr>
              <w:rFonts w:asciiTheme="minorHAnsi" w:eastAsiaTheme="minorEastAsia" w:hAnsiTheme="minorHAnsi"/>
              <w:noProof/>
              <w:sz w:val="22"/>
              <w:lang w:val="en-US"/>
            </w:rPr>
          </w:pPr>
          <w:hyperlink w:anchor="_Toc110502630" w:history="1">
            <w:r w:rsidR="00D77E3F" w:rsidRPr="000E4272">
              <w:rPr>
                <w:rStyle w:val="Hyperlink"/>
                <w:noProof/>
              </w:rPr>
              <w:t>4.4.7</w:t>
            </w:r>
            <w:r w:rsidR="00D77E3F">
              <w:rPr>
                <w:rFonts w:asciiTheme="minorHAnsi" w:eastAsiaTheme="minorEastAsia" w:hAnsiTheme="minorHAnsi"/>
                <w:noProof/>
                <w:sz w:val="22"/>
                <w:lang w:val="en-US"/>
              </w:rPr>
              <w:tab/>
            </w:r>
            <w:r w:rsidR="00D77E3F" w:rsidRPr="000E4272">
              <w:rPr>
                <w:rStyle w:val="Hyperlink"/>
                <w:noProof/>
              </w:rPr>
              <w:t>Transformer Loading on the Microgrid</w:t>
            </w:r>
            <w:r w:rsidR="00D77E3F">
              <w:rPr>
                <w:noProof/>
                <w:webHidden/>
              </w:rPr>
              <w:tab/>
            </w:r>
            <w:r w:rsidR="00D77E3F">
              <w:rPr>
                <w:noProof/>
                <w:webHidden/>
              </w:rPr>
              <w:fldChar w:fldCharType="begin"/>
            </w:r>
            <w:r w:rsidR="00D77E3F">
              <w:rPr>
                <w:noProof/>
                <w:webHidden/>
              </w:rPr>
              <w:instrText xml:space="preserve"> PAGEREF _Toc110502630 \h </w:instrText>
            </w:r>
            <w:r w:rsidR="00D77E3F">
              <w:rPr>
                <w:noProof/>
                <w:webHidden/>
              </w:rPr>
            </w:r>
            <w:r w:rsidR="00D77E3F">
              <w:rPr>
                <w:noProof/>
                <w:webHidden/>
              </w:rPr>
              <w:fldChar w:fldCharType="separate"/>
            </w:r>
            <w:r w:rsidR="00D77E3F">
              <w:rPr>
                <w:noProof/>
                <w:webHidden/>
              </w:rPr>
              <w:t>150</w:t>
            </w:r>
            <w:r w:rsidR="00D77E3F">
              <w:rPr>
                <w:noProof/>
                <w:webHidden/>
              </w:rPr>
              <w:fldChar w:fldCharType="end"/>
            </w:r>
          </w:hyperlink>
        </w:p>
        <w:p w14:paraId="249EB496" w14:textId="58B9C61E" w:rsidR="00D77E3F" w:rsidRDefault="00783427">
          <w:pPr>
            <w:pStyle w:val="TOC1"/>
            <w:tabs>
              <w:tab w:val="right" w:leader="dot" w:pos="8630"/>
            </w:tabs>
            <w:rPr>
              <w:rFonts w:asciiTheme="minorHAnsi" w:eastAsiaTheme="minorEastAsia" w:hAnsiTheme="minorHAnsi"/>
              <w:noProof/>
              <w:sz w:val="22"/>
              <w:lang w:val="en-US"/>
            </w:rPr>
          </w:pPr>
          <w:hyperlink w:anchor="_Toc110502631" w:history="1">
            <w:r w:rsidR="00D77E3F" w:rsidRPr="000E4272">
              <w:rPr>
                <w:rStyle w:val="Hyperlink"/>
                <w:noProof/>
                <w:lang w:val="en-US"/>
              </w:rPr>
              <w:t>CHAPTER FIVE</w:t>
            </w:r>
            <w:r w:rsidR="00D77E3F">
              <w:rPr>
                <w:noProof/>
                <w:webHidden/>
              </w:rPr>
              <w:tab/>
            </w:r>
            <w:r w:rsidR="00D77E3F">
              <w:rPr>
                <w:noProof/>
                <w:webHidden/>
              </w:rPr>
              <w:fldChar w:fldCharType="begin"/>
            </w:r>
            <w:r w:rsidR="00D77E3F">
              <w:rPr>
                <w:noProof/>
                <w:webHidden/>
              </w:rPr>
              <w:instrText xml:space="preserve"> PAGEREF _Toc110502631 \h </w:instrText>
            </w:r>
            <w:r w:rsidR="00D77E3F">
              <w:rPr>
                <w:noProof/>
                <w:webHidden/>
              </w:rPr>
            </w:r>
            <w:r w:rsidR="00D77E3F">
              <w:rPr>
                <w:noProof/>
                <w:webHidden/>
              </w:rPr>
              <w:fldChar w:fldCharType="separate"/>
            </w:r>
            <w:r w:rsidR="00D77E3F">
              <w:rPr>
                <w:noProof/>
                <w:webHidden/>
              </w:rPr>
              <w:t>152</w:t>
            </w:r>
            <w:r w:rsidR="00D77E3F">
              <w:rPr>
                <w:noProof/>
                <w:webHidden/>
              </w:rPr>
              <w:fldChar w:fldCharType="end"/>
            </w:r>
          </w:hyperlink>
        </w:p>
        <w:p w14:paraId="7782A2F9" w14:textId="58DF6B03" w:rsidR="00D77E3F" w:rsidRDefault="00783427">
          <w:pPr>
            <w:pStyle w:val="TOC2"/>
            <w:tabs>
              <w:tab w:val="right" w:leader="dot" w:pos="8630"/>
            </w:tabs>
            <w:rPr>
              <w:rFonts w:asciiTheme="minorHAnsi" w:eastAsiaTheme="minorEastAsia" w:hAnsiTheme="minorHAnsi"/>
              <w:noProof/>
              <w:sz w:val="22"/>
              <w:lang w:val="en-US"/>
            </w:rPr>
          </w:pPr>
          <w:hyperlink w:anchor="_Toc110502632" w:history="1">
            <w:r w:rsidR="00D77E3F" w:rsidRPr="000E4272">
              <w:rPr>
                <w:rStyle w:val="Hyperlink"/>
                <w:noProof/>
                <w:lang w:val="en-US"/>
              </w:rPr>
              <w:t>SUMMARY, CONCLUSION, AND RECOMMENDATION</w:t>
            </w:r>
            <w:r w:rsidR="00D77E3F">
              <w:rPr>
                <w:noProof/>
                <w:webHidden/>
              </w:rPr>
              <w:tab/>
            </w:r>
            <w:r w:rsidR="00D77E3F">
              <w:rPr>
                <w:noProof/>
                <w:webHidden/>
              </w:rPr>
              <w:fldChar w:fldCharType="begin"/>
            </w:r>
            <w:r w:rsidR="00D77E3F">
              <w:rPr>
                <w:noProof/>
                <w:webHidden/>
              </w:rPr>
              <w:instrText xml:space="preserve"> PAGEREF _Toc110502632 \h </w:instrText>
            </w:r>
            <w:r w:rsidR="00D77E3F">
              <w:rPr>
                <w:noProof/>
                <w:webHidden/>
              </w:rPr>
            </w:r>
            <w:r w:rsidR="00D77E3F">
              <w:rPr>
                <w:noProof/>
                <w:webHidden/>
              </w:rPr>
              <w:fldChar w:fldCharType="separate"/>
            </w:r>
            <w:r w:rsidR="00D77E3F">
              <w:rPr>
                <w:noProof/>
                <w:webHidden/>
              </w:rPr>
              <w:t>152</w:t>
            </w:r>
            <w:r w:rsidR="00D77E3F">
              <w:rPr>
                <w:noProof/>
                <w:webHidden/>
              </w:rPr>
              <w:fldChar w:fldCharType="end"/>
            </w:r>
          </w:hyperlink>
        </w:p>
        <w:p w14:paraId="69B32B68" w14:textId="4A051A0D"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633" w:history="1">
            <w:r w:rsidR="00D77E3F" w:rsidRPr="000E4272">
              <w:rPr>
                <w:rStyle w:val="Hyperlink"/>
                <w:noProof/>
              </w:rPr>
              <w:t>5.1</w:t>
            </w:r>
            <w:r w:rsidR="00D77E3F">
              <w:rPr>
                <w:rFonts w:asciiTheme="minorHAnsi" w:eastAsiaTheme="minorEastAsia" w:hAnsiTheme="minorHAnsi"/>
                <w:noProof/>
                <w:sz w:val="22"/>
                <w:lang w:val="en-US"/>
              </w:rPr>
              <w:tab/>
            </w:r>
            <w:r w:rsidR="00D77E3F" w:rsidRPr="000E4272">
              <w:rPr>
                <w:rStyle w:val="Hyperlink"/>
                <w:noProof/>
              </w:rPr>
              <w:t>SUMMARY</w:t>
            </w:r>
            <w:r w:rsidR="00D77E3F">
              <w:rPr>
                <w:noProof/>
                <w:webHidden/>
              </w:rPr>
              <w:tab/>
            </w:r>
            <w:r w:rsidR="00D77E3F">
              <w:rPr>
                <w:noProof/>
                <w:webHidden/>
              </w:rPr>
              <w:fldChar w:fldCharType="begin"/>
            </w:r>
            <w:r w:rsidR="00D77E3F">
              <w:rPr>
                <w:noProof/>
                <w:webHidden/>
              </w:rPr>
              <w:instrText xml:space="preserve"> PAGEREF _Toc110502633 \h </w:instrText>
            </w:r>
            <w:r w:rsidR="00D77E3F">
              <w:rPr>
                <w:noProof/>
                <w:webHidden/>
              </w:rPr>
            </w:r>
            <w:r w:rsidR="00D77E3F">
              <w:rPr>
                <w:noProof/>
                <w:webHidden/>
              </w:rPr>
              <w:fldChar w:fldCharType="separate"/>
            </w:r>
            <w:r w:rsidR="00D77E3F">
              <w:rPr>
                <w:noProof/>
                <w:webHidden/>
              </w:rPr>
              <w:t>152</w:t>
            </w:r>
            <w:r w:rsidR="00D77E3F">
              <w:rPr>
                <w:noProof/>
                <w:webHidden/>
              </w:rPr>
              <w:fldChar w:fldCharType="end"/>
            </w:r>
          </w:hyperlink>
        </w:p>
        <w:p w14:paraId="199525DA" w14:textId="03E86A33"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634" w:history="1">
            <w:r w:rsidR="00D77E3F" w:rsidRPr="000E4272">
              <w:rPr>
                <w:rStyle w:val="Hyperlink"/>
                <w:noProof/>
              </w:rPr>
              <w:t>5.2</w:t>
            </w:r>
            <w:r w:rsidR="00D77E3F">
              <w:rPr>
                <w:rFonts w:asciiTheme="minorHAnsi" w:eastAsiaTheme="minorEastAsia" w:hAnsiTheme="minorHAnsi"/>
                <w:noProof/>
                <w:sz w:val="22"/>
                <w:lang w:val="en-US"/>
              </w:rPr>
              <w:tab/>
            </w:r>
            <w:r w:rsidR="00D77E3F" w:rsidRPr="000E4272">
              <w:rPr>
                <w:rStyle w:val="Hyperlink"/>
                <w:noProof/>
              </w:rPr>
              <w:t>CONCLUSION</w:t>
            </w:r>
            <w:r w:rsidR="00D77E3F">
              <w:rPr>
                <w:noProof/>
                <w:webHidden/>
              </w:rPr>
              <w:tab/>
            </w:r>
            <w:r w:rsidR="00D77E3F">
              <w:rPr>
                <w:noProof/>
                <w:webHidden/>
              </w:rPr>
              <w:fldChar w:fldCharType="begin"/>
            </w:r>
            <w:r w:rsidR="00D77E3F">
              <w:rPr>
                <w:noProof/>
                <w:webHidden/>
              </w:rPr>
              <w:instrText xml:space="preserve"> PAGEREF _Toc110502634 \h </w:instrText>
            </w:r>
            <w:r w:rsidR="00D77E3F">
              <w:rPr>
                <w:noProof/>
                <w:webHidden/>
              </w:rPr>
            </w:r>
            <w:r w:rsidR="00D77E3F">
              <w:rPr>
                <w:noProof/>
                <w:webHidden/>
              </w:rPr>
              <w:fldChar w:fldCharType="separate"/>
            </w:r>
            <w:r w:rsidR="00D77E3F">
              <w:rPr>
                <w:noProof/>
                <w:webHidden/>
              </w:rPr>
              <w:t>154</w:t>
            </w:r>
            <w:r w:rsidR="00D77E3F">
              <w:rPr>
                <w:noProof/>
                <w:webHidden/>
              </w:rPr>
              <w:fldChar w:fldCharType="end"/>
            </w:r>
          </w:hyperlink>
        </w:p>
        <w:p w14:paraId="09D9D359" w14:textId="1FE252DE"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635" w:history="1">
            <w:r w:rsidR="00D77E3F" w:rsidRPr="000E4272">
              <w:rPr>
                <w:rStyle w:val="Hyperlink"/>
                <w:noProof/>
              </w:rPr>
              <w:t>5.3</w:t>
            </w:r>
            <w:r w:rsidR="00D77E3F">
              <w:rPr>
                <w:rFonts w:asciiTheme="minorHAnsi" w:eastAsiaTheme="minorEastAsia" w:hAnsiTheme="minorHAnsi"/>
                <w:noProof/>
                <w:sz w:val="22"/>
                <w:lang w:val="en-US"/>
              </w:rPr>
              <w:tab/>
            </w:r>
            <w:r w:rsidR="00D77E3F" w:rsidRPr="000E4272">
              <w:rPr>
                <w:rStyle w:val="Hyperlink"/>
                <w:noProof/>
              </w:rPr>
              <w:t>RECOMMENDATIONS</w:t>
            </w:r>
            <w:r w:rsidR="00D77E3F">
              <w:rPr>
                <w:noProof/>
                <w:webHidden/>
              </w:rPr>
              <w:tab/>
            </w:r>
            <w:r w:rsidR="00D77E3F">
              <w:rPr>
                <w:noProof/>
                <w:webHidden/>
              </w:rPr>
              <w:fldChar w:fldCharType="begin"/>
            </w:r>
            <w:r w:rsidR="00D77E3F">
              <w:rPr>
                <w:noProof/>
                <w:webHidden/>
              </w:rPr>
              <w:instrText xml:space="preserve"> PAGEREF _Toc110502635 \h </w:instrText>
            </w:r>
            <w:r w:rsidR="00D77E3F">
              <w:rPr>
                <w:noProof/>
                <w:webHidden/>
              </w:rPr>
            </w:r>
            <w:r w:rsidR="00D77E3F">
              <w:rPr>
                <w:noProof/>
                <w:webHidden/>
              </w:rPr>
              <w:fldChar w:fldCharType="separate"/>
            </w:r>
            <w:r w:rsidR="00D77E3F">
              <w:rPr>
                <w:noProof/>
                <w:webHidden/>
              </w:rPr>
              <w:t>154</w:t>
            </w:r>
            <w:r w:rsidR="00D77E3F">
              <w:rPr>
                <w:noProof/>
                <w:webHidden/>
              </w:rPr>
              <w:fldChar w:fldCharType="end"/>
            </w:r>
          </w:hyperlink>
        </w:p>
        <w:p w14:paraId="048DA4D3" w14:textId="108AF597" w:rsidR="00D77E3F" w:rsidRDefault="00783427">
          <w:pPr>
            <w:pStyle w:val="TOC3"/>
            <w:tabs>
              <w:tab w:val="left" w:pos="1100"/>
              <w:tab w:val="right" w:leader="dot" w:pos="8630"/>
            </w:tabs>
            <w:rPr>
              <w:rFonts w:asciiTheme="minorHAnsi" w:eastAsiaTheme="minorEastAsia" w:hAnsiTheme="minorHAnsi"/>
              <w:noProof/>
              <w:sz w:val="22"/>
              <w:lang w:val="en-US"/>
            </w:rPr>
          </w:pPr>
          <w:hyperlink w:anchor="_Toc110502636" w:history="1">
            <w:r w:rsidR="00D77E3F" w:rsidRPr="000E4272">
              <w:rPr>
                <w:rStyle w:val="Hyperlink"/>
                <w:noProof/>
              </w:rPr>
              <w:t>5.4</w:t>
            </w:r>
            <w:r w:rsidR="00D77E3F">
              <w:rPr>
                <w:rFonts w:asciiTheme="minorHAnsi" w:eastAsiaTheme="minorEastAsia" w:hAnsiTheme="minorHAnsi"/>
                <w:noProof/>
                <w:sz w:val="22"/>
                <w:lang w:val="en-US"/>
              </w:rPr>
              <w:tab/>
            </w:r>
            <w:r w:rsidR="00D77E3F" w:rsidRPr="000E4272">
              <w:rPr>
                <w:rStyle w:val="Hyperlink"/>
                <w:noProof/>
              </w:rPr>
              <w:t>CONTRIBUTION TO KNOWLEDGE</w:t>
            </w:r>
            <w:r w:rsidR="00D77E3F">
              <w:rPr>
                <w:noProof/>
                <w:webHidden/>
              </w:rPr>
              <w:tab/>
            </w:r>
            <w:r w:rsidR="00D77E3F">
              <w:rPr>
                <w:noProof/>
                <w:webHidden/>
              </w:rPr>
              <w:fldChar w:fldCharType="begin"/>
            </w:r>
            <w:r w:rsidR="00D77E3F">
              <w:rPr>
                <w:noProof/>
                <w:webHidden/>
              </w:rPr>
              <w:instrText xml:space="preserve"> PAGEREF _Toc110502636 \h </w:instrText>
            </w:r>
            <w:r w:rsidR="00D77E3F">
              <w:rPr>
                <w:noProof/>
                <w:webHidden/>
              </w:rPr>
            </w:r>
            <w:r w:rsidR="00D77E3F">
              <w:rPr>
                <w:noProof/>
                <w:webHidden/>
              </w:rPr>
              <w:fldChar w:fldCharType="separate"/>
            </w:r>
            <w:r w:rsidR="00D77E3F">
              <w:rPr>
                <w:noProof/>
                <w:webHidden/>
              </w:rPr>
              <w:t>155</w:t>
            </w:r>
            <w:r w:rsidR="00D77E3F">
              <w:rPr>
                <w:noProof/>
                <w:webHidden/>
              </w:rPr>
              <w:fldChar w:fldCharType="end"/>
            </w:r>
          </w:hyperlink>
        </w:p>
        <w:p w14:paraId="48F8DB90" w14:textId="3C02A27E" w:rsidR="00D77E3F" w:rsidRDefault="00783427">
          <w:pPr>
            <w:pStyle w:val="TOC1"/>
            <w:tabs>
              <w:tab w:val="right" w:leader="dot" w:pos="8630"/>
            </w:tabs>
            <w:rPr>
              <w:rFonts w:asciiTheme="minorHAnsi" w:eastAsiaTheme="minorEastAsia" w:hAnsiTheme="minorHAnsi"/>
              <w:noProof/>
              <w:sz w:val="22"/>
              <w:lang w:val="en-US"/>
            </w:rPr>
          </w:pPr>
          <w:hyperlink w:anchor="_Toc110502637" w:history="1">
            <w:r w:rsidR="00D77E3F" w:rsidRPr="000E4272">
              <w:rPr>
                <w:rStyle w:val="Hyperlink"/>
                <w:noProof/>
                <w:lang w:val="en-US"/>
              </w:rPr>
              <w:t>REFERENCES</w:t>
            </w:r>
            <w:r w:rsidR="00D77E3F">
              <w:rPr>
                <w:noProof/>
                <w:webHidden/>
              </w:rPr>
              <w:tab/>
            </w:r>
            <w:r w:rsidR="00D77E3F">
              <w:rPr>
                <w:noProof/>
                <w:webHidden/>
              </w:rPr>
              <w:fldChar w:fldCharType="begin"/>
            </w:r>
            <w:r w:rsidR="00D77E3F">
              <w:rPr>
                <w:noProof/>
                <w:webHidden/>
              </w:rPr>
              <w:instrText xml:space="preserve"> PAGEREF _Toc110502637 \h </w:instrText>
            </w:r>
            <w:r w:rsidR="00D77E3F">
              <w:rPr>
                <w:noProof/>
                <w:webHidden/>
              </w:rPr>
            </w:r>
            <w:r w:rsidR="00D77E3F">
              <w:rPr>
                <w:noProof/>
                <w:webHidden/>
              </w:rPr>
              <w:fldChar w:fldCharType="separate"/>
            </w:r>
            <w:r w:rsidR="00D77E3F">
              <w:rPr>
                <w:noProof/>
                <w:webHidden/>
              </w:rPr>
              <w:t>156</w:t>
            </w:r>
            <w:r w:rsidR="00D77E3F">
              <w:rPr>
                <w:noProof/>
                <w:webHidden/>
              </w:rPr>
              <w:fldChar w:fldCharType="end"/>
            </w:r>
          </w:hyperlink>
        </w:p>
        <w:p w14:paraId="0E0C03E6" w14:textId="4050E2B0" w:rsidR="00D77E3F" w:rsidRDefault="00783427">
          <w:pPr>
            <w:pStyle w:val="TOC1"/>
            <w:tabs>
              <w:tab w:val="right" w:leader="dot" w:pos="8630"/>
            </w:tabs>
            <w:rPr>
              <w:rFonts w:asciiTheme="minorHAnsi" w:eastAsiaTheme="minorEastAsia" w:hAnsiTheme="minorHAnsi"/>
              <w:noProof/>
              <w:sz w:val="22"/>
              <w:lang w:val="en-US"/>
            </w:rPr>
          </w:pPr>
          <w:hyperlink w:anchor="_Toc110502638" w:history="1">
            <w:r w:rsidR="00D77E3F" w:rsidRPr="000E4272">
              <w:rPr>
                <w:rStyle w:val="Hyperlink"/>
                <w:noProof/>
                <w:lang w:val="en-US"/>
              </w:rPr>
              <w:t>APPENDICES</w:t>
            </w:r>
            <w:r w:rsidR="00D77E3F">
              <w:rPr>
                <w:noProof/>
                <w:webHidden/>
              </w:rPr>
              <w:tab/>
            </w:r>
            <w:r w:rsidR="00D77E3F">
              <w:rPr>
                <w:noProof/>
                <w:webHidden/>
              </w:rPr>
              <w:fldChar w:fldCharType="begin"/>
            </w:r>
            <w:r w:rsidR="00D77E3F">
              <w:rPr>
                <w:noProof/>
                <w:webHidden/>
              </w:rPr>
              <w:instrText xml:space="preserve"> PAGEREF _Toc110502638 \h </w:instrText>
            </w:r>
            <w:r w:rsidR="00D77E3F">
              <w:rPr>
                <w:noProof/>
                <w:webHidden/>
              </w:rPr>
            </w:r>
            <w:r w:rsidR="00D77E3F">
              <w:rPr>
                <w:noProof/>
                <w:webHidden/>
              </w:rPr>
              <w:fldChar w:fldCharType="separate"/>
            </w:r>
            <w:r w:rsidR="00D77E3F">
              <w:rPr>
                <w:noProof/>
                <w:webHidden/>
              </w:rPr>
              <w:t>178</w:t>
            </w:r>
            <w:r w:rsidR="00D77E3F">
              <w:rPr>
                <w:noProof/>
                <w:webHidden/>
              </w:rPr>
              <w:fldChar w:fldCharType="end"/>
            </w:r>
          </w:hyperlink>
        </w:p>
        <w:p w14:paraId="7DFE4732" w14:textId="6995708F" w:rsidR="00D77E3F" w:rsidRDefault="00783427">
          <w:pPr>
            <w:pStyle w:val="TOC2"/>
            <w:tabs>
              <w:tab w:val="right" w:leader="dot" w:pos="8630"/>
            </w:tabs>
            <w:rPr>
              <w:rFonts w:asciiTheme="minorHAnsi" w:eastAsiaTheme="minorEastAsia" w:hAnsiTheme="minorHAnsi"/>
              <w:noProof/>
              <w:sz w:val="22"/>
              <w:lang w:val="en-US"/>
            </w:rPr>
          </w:pPr>
          <w:hyperlink w:anchor="_Toc110502639" w:history="1">
            <w:r w:rsidR="00D77E3F" w:rsidRPr="000E4272">
              <w:rPr>
                <w:rStyle w:val="Hyperlink"/>
                <w:noProof/>
                <w:lang w:val="en-US"/>
              </w:rPr>
              <w:t>APPENDIX I: RESEARCH TIMELINE</w:t>
            </w:r>
            <w:r w:rsidR="00D77E3F">
              <w:rPr>
                <w:noProof/>
                <w:webHidden/>
              </w:rPr>
              <w:tab/>
            </w:r>
            <w:r w:rsidR="00D77E3F">
              <w:rPr>
                <w:noProof/>
                <w:webHidden/>
              </w:rPr>
              <w:fldChar w:fldCharType="begin"/>
            </w:r>
            <w:r w:rsidR="00D77E3F">
              <w:rPr>
                <w:noProof/>
                <w:webHidden/>
              </w:rPr>
              <w:instrText xml:space="preserve"> PAGEREF _Toc110502639 \h </w:instrText>
            </w:r>
            <w:r w:rsidR="00D77E3F">
              <w:rPr>
                <w:noProof/>
                <w:webHidden/>
              </w:rPr>
            </w:r>
            <w:r w:rsidR="00D77E3F">
              <w:rPr>
                <w:noProof/>
                <w:webHidden/>
              </w:rPr>
              <w:fldChar w:fldCharType="separate"/>
            </w:r>
            <w:r w:rsidR="00D77E3F">
              <w:rPr>
                <w:noProof/>
                <w:webHidden/>
              </w:rPr>
              <w:t>178</w:t>
            </w:r>
            <w:r w:rsidR="00D77E3F">
              <w:rPr>
                <w:noProof/>
                <w:webHidden/>
              </w:rPr>
              <w:fldChar w:fldCharType="end"/>
            </w:r>
          </w:hyperlink>
        </w:p>
        <w:p w14:paraId="1EFE55A8" w14:textId="3F25DD1E" w:rsidR="00D77E3F" w:rsidRDefault="00783427">
          <w:pPr>
            <w:pStyle w:val="TOC2"/>
            <w:tabs>
              <w:tab w:val="right" w:leader="dot" w:pos="8630"/>
            </w:tabs>
            <w:rPr>
              <w:rFonts w:asciiTheme="minorHAnsi" w:eastAsiaTheme="minorEastAsia" w:hAnsiTheme="minorHAnsi"/>
              <w:noProof/>
              <w:sz w:val="22"/>
              <w:lang w:val="en-US"/>
            </w:rPr>
          </w:pPr>
          <w:hyperlink w:anchor="_Toc110502640" w:history="1">
            <w:r w:rsidR="00D77E3F" w:rsidRPr="000E4272">
              <w:rPr>
                <w:rStyle w:val="Hyperlink"/>
                <w:noProof/>
                <w:lang w:val="en-US"/>
              </w:rPr>
              <w:t>APPENDIX II: ESTIMATED BUDGET</w:t>
            </w:r>
            <w:r w:rsidR="00D77E3F">
              <w:rPr>
                <w:noProof/>
                <w:webHidden/>
              </w:rPr>
              <w:tab/>
            </w:r>
            <w:r w:rsidR="00D77E3F">
              <w:rPr>
                <w:noProof/>
                <w:webHidden/>
              </w:rPr>
              <w:fldChar w:fldCharType="begin"/>
            </w:r>
            <w:r w:rsidR="00D77E3F">
              <w:rPr>
                <w:noProof/>
                <w:webHidden/>
              </w:rPr>
              <w:instrText xml:space="preserve"> PAGEREF _Toc110502640 \h </w:instrText>
            </w:r>
            <w:r w:rsidR="00D77E3F">
              <w:rPr>
                <w:noProof/>
                <w:webHidden/>
              </w:rPr>
            </w:r>
            <w:r w:rsidR="00D77E3F">
              <w:rPr>
                <w:noProof/>
                <w:webHidden/>
              </w:rPr>
              <w:fldChar w:fldCharType="separate"/>
            </w:r>
            <w:r w:rsidR="00D77E3F">
              <w:rPr>
                <w:noProof/>
                <w:webHidden/>
              </w:rPr>
              <w:t>178</w:t>
            </w:r>
            <w:r w:rsidR="00D77E3F">
              <w:rPr>
                <w:noProof/>
                <w:webHidden/>
              </w:rPr>
              <w:fldChar w:fldCharType="end"/>
            </w:r>
          </w:hyperlink>
        </w:p>
        <w:p w14:paraId="1E28D7B0" w14:textId="26C5F31E" w:rsidR="00D77E3F" w:rsidRDefault="00783427">
          <w:pPr>
            <w:pStyle w:val="TOC2"/>
            <w:tabs>
              <w:tab w:val="right" w:leader="dot" w:pos="8630"/>
            </w:tabs>
            <w:rPr>
              <w:rFonts w:asciiTheme="minorHAnsi" w:eastAsiaTheme="minorEastAsia" w:hAnsiTheme="minorHAnsi"/>
              <w:noProof/>
              <w:sz w:val="22"/>
              <w:lang w:val="en-US"/>
            </w:rPr>
          </w:pPr>
          <w:hyperlink w:anchor="_Toc110502641" w:history="1">
            <w:r w:rsidR="00D77E3F" w:rsidRPr="000E4272">
              <w:rPr>
                <w:rStyle w:val="Hyperlink"/>
                <w:noProof/>
                <w:lang w:val="en-US"/>
              </w:rPr>
              <w:t>APPENDIX III – MATLAB CODE FOR PROBABILISTIC MODELLING</w:t>
            </w:r>
            <w:r w:rsidR="00D77E3F">
              <w:rPr>
                <w:noProof/>
                <w:webHidden/>
              </w:rPr>
              <w:tab/>
            </w:r>
            <w:r w:rsidR="00D77E3F">
              <w:rPr>
                <w:noProof/>
                <w:webHidden/>
              </w:rPr>
              <w:fldChar w:fldCharType="begin"/>
            </w:r>
            <w:r w:rsidR="00D77E3F">
              <w:rPr>
                <w:noProof/>
                <w:webHidden/>
              </w:rPr>
              <w:instrText xml:space="preserve"> PAGEREF _Toc110502641 \h </w:instrText>
            </w:r>
            <w:r w:rsidR="00D77E3F">
              <w:rPr>
                <w:noProof/>
                <w:webHidden/>
              </w:rPr>
            </w:r>
            <w:r w:rsidR="00D77E3F">
              <w:rPr>
                <w:noProof/>
                <w:webHidden/>
              </w:rPr>
              <w:fldChar w:fldCharType="separate"/>
            </w:r>
            <w:r w:rsidR="00D77E3F">
              <w:rPr>
                <w:noProof/>
                <w:webHidden/>
              </w:rPr>
              <w:t>179</w:t>
            </w:r>
            <w:r w:rsidR="00D77E3F">
              <w:rPr>
                <w:noProof/>
                <w:webHidden/>
              </w:rPr>
              <w:fldChar w:fldCharType="end"/>
            </w:r>
          </w:hyperlink>
        </w:p>
        <w:p w14:paraId="1FE7439F" w14:textId="51123B2A" w:rsidR="00D77E3F" w:rsidRDefault="00783427">
          <w:pPr>
            <w:pStyle w:val="TOC2"/>
            <w:tabs>
              <w:tab w:val="right" w:leader="dot" w:pos="8630"/>
            </w:tabs>
            <w:rPr>
              <w:rFonts w:asciiTheme="minorHAnsi" w:eastAsiaTheme="minorEastAsia" w:hAnsiTheme="minorHAnsi"/>
              <w:noProof/>
              <w:sz w:val="22"/>
              <w:lang w:val="en-US"/>
            </w:rPr>
          </w:pPr>
          <w:hyperlink w:anchor="_Toc110502642" w:history="1">
            <w:r w:rsidR="00D77E3F" w:rsidRPr="000E4272">
              <w:rPr>
                <w:rStyle w:val="Hyperlink"/>
                <w:noProof/>
                <w:lang w:val="en-US"/>
              </w:rPr>
              <w:t>APPENDIX IV – DIGSILENT MODEL SPECIFICATION</w:t>
            </w:r>
            <w:r w:rsidR="00D77E3F">
              <w:rPr>
                <w:noProof/>
                <w:webHidden/>
              </w:rPr>
              <w:tab/>
            </w:r>
            <w:r w:rsidR="00D77E3F">
              <w:rPr>
                <w:noProof/>
                <w:webHidden/>
              </w:rPr>
              <w:fldChar w:fldCharType="begin"/>
            </w:r>
            <w:r w:rsidR="00D77E3F">
              <w:rPr>
                <w:noProof/>
                <w:webHidden/>
              </w:rPr>
              <w:instrText xml:space="preserve"> PAGEREF _Toc110502642 \h </w:instrText>
            </w:r>
            <w:r w:rsidR="00D77E3F">
              <w:rPr>
                <w:noProof/>
                <w:webHidden/>
              </w:rPr>
            </w:r>
            <w:r w:rsidR="00D77E3F">
              <w:rPr>
                <w:noProof/>
                <w:webHidden/>
              </w:rPr>
              <w:fldChar w:fldCharType="separate"/>
            </w:r>
            <w:r w:rsidR="00D77E3F">
              <w:rPr>
                <w:noProof/>
                <w:webHidden/>
              </w:rPr>
              <w:t>191</w:t>
            </w:r>
            <w:r w:rsidR="00D77E3F">
              <w:rPr>
                <w:noProof/>
                <w:webHidden/>
              </w:rPr>
              <w:fldChar w:fldCharType="end"/>
            </w:r>
          </w:hyperlink>
        </w:p>
        <w:p w14:paraId="0619E596" w14:textId="08C8E8E2" w:rsidR="00D77E3F" w:rsidRDefault="00783427">
          <w:pPr>
            <w:pStyle w:val="TOC2"/>
            <w:tabs>
              <w:tab w:val="right" w:leader="dot" w:pos="8630"/>
            </w:tabs>
            <w:rPr>
              <w:rFonts w:asciiTheme="minorHAnsi" w:eastAsiaTheme="minorEastAsia" w:hAnsiTheme="minorHAnsi"/>
              <w:noProof/>
              <w:sz w:val="22"/>
              <w:lang w:val="en-US"/>
            </w:rPr>
          </w:pPr>
          <w:hyperlink w:anchor="_Toc110502643" w:history="1">
            <w:r w:rsidR="00D77E3F" w:rsidRPr="000E4272">
              <w:rPr>
                <w:rStyle w:val="Hyperlink"/>
                <w:noProof/>
                <w:lang w:val="en-US"/>
              </w:rPr>
              <w:t>APPENDIX V – PLOTS OF PROBABILITY DISTRIBUTIONS</w:t>
            </w:r>
            <w:r w:rsidR="00D77E3F">
              <w:rPr>
                <w:noProof/>
                <w:webHidden/>
              </w:rPr>
              <w:tab/>
            </w:r>
            <w:r w:rsidR="00D77E3F">
              <w:rPr>
                <w:noProof/>
                <w:webHidden/>
              </w:rPr>
              <w:fldChar w:fldCharType="begin"/>
            </w:r>
            <w:r w:rsidR="00D77E3F">
              <w:rPr>
                <w:noProof/>
                <w:webHidden/>
              </w:rPr>
              <w:instrText xml:space="preserve"> PAGEREF _Toc110502643 \h </w:instrText>
            </w:r>
            <w:r w:rsidR="00D77E3F">
              <w:rPr>
                <w:noProof/>
                <w:webHidden/>
              </w:rPr>
            </w:r>
            <w:r w:rsidR="00D77E3F">
              <w:rPr>
                <w:noProof/>
                <w:webHidden/>
              </w:rPr>
              <w:fldChar w:fldCharType="separate"/>
            </w:r>
            <w:r w:rsidR="00D77E3F">
              <w:rPr>
                <w:noProof/>
                <w:webHidden/>
              </w:rPr>
              <w:t>191</w:t>
            </w:r>
            <w:r w:rsidR="00D77E3F">
              <w:rPr>
                <w:noProof/>
                <w:webHidden/>
              </w:rPr>
              <w:fldChar w:fldCharType="end"/>
            </w:r>
          </w:hyperlink>
        </w:p>
        <w:p w14:paraId="2A894F29" w14:textId="1A749CEF" w:rsidR="00D77E3F" w:rsidRDefault="00783427">
          <w:pPr>
            <w:pStyle w:val="TOC2"/>
            <w:tabs>
              <w:tab w:val="right" w:leader="dot" w:pos="8630"/>
            </w:tabs>
            <w:rPr>
              <w:rFonts w:asciiTheme="minorHAnsi" w:eastAsiaTheme="minorEastAsia" w:hAnsiTheme="minorHAnsi"/>
              <w:noProof/>
              <w:sz w:val="22"/>
              <w:lang w:val="en-US"/>
            </w:rPr>
          </w:pPr>
          <w:hyperlink w:anchor="_Toc110502644" w:history="1">
            <w:r w:rsidR="00D77E3F" w:rsidRPr="000E4272">
              <w:rPr>
                <w:rStyle w:val="Hyperlink"/>
                <w:noProof/>
                <w:lang w:val="en-US"/>
              </w:rPr>
              <w:t>APPENDIX VI – MATLAB CODE FOR FUZZY LOGIC SYSTEM</w:t>
            </w:r>
            <w:r w:rsidR="00D77E3F">
              <w:rPr>
                <w:noProof/>
                <w:webHidden/>
              </w:rPr>
              <w:tab/>
            </w:r>
            <w:r w:rsidR="00D77E3F">
              <w:rPr>
                <w:noProof/>
                <w:webHidden/>
              </w:rPr>
              <w:fldChar w:fldCharType="begin"/>
            </w:r>
            <w:r w:rsidR="00D77E3F">
              <w:rPr>
                <w:noProof/>
                <w:webHidden/>
              </w:rPr>
              <w:instrText xml:space="preserve"> PAGEREF _Toc110502644 \h </w:instrText>
            </w:r>
            <w:r w:rsidR="00D77E3F">
              <w:rPr>
                <w:noProof/>
                <w:webHidden/>
              </w:rPr>
            </w:r>
            <w:r w:rsidR="00D77E3F">
              <w:rPr>
                <w:noProof/>
                <w:webHidden/>
              </w:rPr>
              <w:fldChar w:fldCharType="separate"/>
            </w:r>
            <w:r w:rsidR="00D77E3F">
              <w:rPr>
                <w:noProof/>
                <w:webHidden/>
              </w:rPr>
              <w:t>197</w:t>
            </w:r>
            <w:r w:rsidR="00D77E3F">
              <w:rPr>
                <w:noProof/>
                <w:webHidden/>
              </w:rPr>
              <w:fldChar w:fldCharType="end"/>
            </w:r>
          </w:hyperlink>
        </w:p>
        <w:p w14:paraId="70AE9D0D" w14:textId="68F96D52" w:rsidR="00D77E3F" w:rsidRDefault="00783427">
          <w:pPr>
            <w:pStyle w:val="TOC2"/>
            <w:tabs>
              <w:tab w:val="right" w:leader="dot" w:pos="8630"/>
            </w:tabs>
            <w:rPr>
              <w:rFonts w:asciiTheme="minorHAnsi" w:eastAsiaTheme="minorEastAsia" w:hAnsiTheme="minorHAnsi"/>
              <w:noProof/>
              <w:sz w:val="22"/>
              <w:lang w:val="en-US"/>
            </w:rPr>
          </w:pPr>
          <w:hyperlink w:anchor="_Toc110502645" w:history="1">
            <w:r w:rsidR="00D77E3F" w:rsidRPr="000E4272">
              <w:rPr>
                <w:rStyle w:val="Hyperlink"/>
                <w:noProof/>
                <w:lang w:val="en-US"/>
              </w:rPr>
              <w:t>APPENDIX VII – MONTHLY PRECIPITATION DATA</w:t>
            </w:r>
            <w:r w:rsidR="00D77E3F">
              <w:rPr>
                <w:noProof/>
                <w:webHidden/>
              </w:rPr>
              <w:tab/>
            </w:r>
            <w:r w:rsidR="00D77E3F">
              <w:rPr>
                <w:noProof/>
                <w:webHidden/>
              </w:rPr>
              <w:fldChar w:fldCharType="begin"/>
            </w:r>
            <w:r w:rsidR="00D77E3F">
              <w:rPr>
                <w:noProof/>
                <w:webHidden/>
              </w:rPr>
              <w:instrText xml:space="preserve"> PAGEREF _Toc110502645 \h </w:instrText>
            </w:r>
            <w:r w:rsidR="00D77E3F">
              <w:rPr>
                <w:noProof/>
                <w:webHidden/>
              </w:rPr>
            </w:r>
            <w:r w:rsidR="00D77E3F">
              <w:rPr>
                <w:noProof/>
                <w:webHidden/>
              </w:rPr>
              <w:fldChar w:fldCharType="separate"/>
            </w:r>
            <w:r w:rsidR="00D77E3F">
              <w:rPr>
                <w:noProof/>
                <w:webHidden/>
              </w:rPr>
              <w:t>199</w:t>
            </w:r>
            <w:r w:rsidR="00D77E3F">
              <w:rPr>
                <w:noProof/>
                <w:webHidden/>
              </w:rPr>
              <w:fldChar w:fldCharType="end"/>
            </w:r>
          </w:hyperlink>
        </w:p>
        <w:p w14:paraId="75CBEEA9" w14:textId="470CA039" w:rsidR="00D77E3F" w:rsidRDefault="00783427">
          <w:pPr>
            <w:pStyle w:val="TOC2"/>
            <w:tabs>
              <w:tab w:val="right" w:leader="dot" w:pos="8630"/>
            </w:tabs>
            <w:rPr>
              <w:rFonts w:asciiTheme="minorHAnsi" w:eastAsiaTheme="minorEastAsia" w:hAnsiTheme="minorHAnsi"/>
              <w:noProof/>
              <w:sz w:val="22"/>
              <w:lang w:val="en-US"/>
            </w:rPr>
          </w:pPr>
          <w:hyperlink w:anchor="_Toc110502646" w:history="1">
            <w:r w:rsidR="00D77E3F" w:rsidRPr="000E4272">
              <w:rPr>
                <w:rStyle w:val="Hyperlink"/>
                <w:noProof/>
              </w:rPr>
              <w:t>APPENDIX VIII – IMAGES OF WORK IN ACTION</w:t>
            </w:r>
            <w:r w:rsidR="00D77E3F">
              <w:rPr>
                <w:noProof/>
                <w:webHidden/>
              </w:rPr>
              <w:tab/>
            </w:r>
            <w:r w:rsidR="00D77E3F">
              <w:rPr>
                <w:noProof/>
                <w:webHidden/>
              </w:rPr>
              <w:fldChar w:fldCharType="begin"/>
            </w:r>
            <w:r w:rsidR="00D77E3F">
              <w:rPr>
                <w:noProof/>
                <w:webHidden/>
              </w:rPr>
              <w:instrText xml:space="preserve"> PAGEREF _Toc110502646 \h </w:instrText>
            </w:r>
            <w:r w:rsidR="00D77E3F">
              <w:rPr>
                <w:noProof/>
                <w:webHidden/>
              </w:rPr>
            </w:r>
            <w:r w:rsidR="00D77E3F">
              <w:rPr>
                <w:noProof/>
                <w:webHidden/>
              </w:rPr>
              <w:fldChar w:fldCharType="separate"/>
            </w:r>
            <w:r w:rsidR="00D77E3F">
              <w:rPr>
                <w:noProof/>
                <w:webHidden/>
              </w:rPr>
              <w:t>201</w:t>
            </w:r>
            <w:r w:rsidR="00D77E3F">
              <w:rPr>
                <w:noProof/>
                <w:webHidden/>
              </w:rPr>
              <w:fldChar w:fldCharType="end"/>
            </w:r>
          </w:hyperlink>
        </w:p>
        <w:p w14:paraId="7ED5EB8B" w14:textId="55E440C1" w:rsidR="007708C9" w:rsidRDefault="007708C9" w:rsidP="00022BF8">
          <w:pPr>
            <w:spacing w:line="276" w:lineRule="auto"/>
          </w:pPr>
          <w:r>
            <w:rPr>
              <w:b/>
              <w:bCs/>
              <w:noProof/>
            </w:rPr>
            <w:fldChar w:fldCharType="end"/>
          </w:r>
        </w:p>
      </w:sdtContent>
    </w:sdt>
    <w:p w14:paraId="6FBA37F7" w14:textId="77777777" w:rsidR="007708C9" w:rsidRDefault="007708C9" w:rsidP="00F03645">
      <w:pPr>
        <w:spacing w:line="480" w:lineRule="auto"/>
        <w:jc w:val="left"/>
        <w:rPr>
          <w:rFonts w:eastAsiaTheme="majorEastAsia" w:cstheme="majorBidi"/>
          <w:b/>
          <w:sz w:val="32"/>
          <w:szCs w:val="32"/>
          <w:lang w:val="en-US"/>
        </w:rPr>
      </w:pPr>
      <w:r>
        <w:rPr>
          <w:lang w:val="en-US"/>
        </w:rPr>
        <w:br w:type="page"/>
      </w:r>
    </w:p>
    <w:p w14:paraId="56020454" w14:textId="77777777" w:rsidR="004F53EB" w:rsidRDefault="004F53EB" w:rsidP="00F03645">
      <w:pPr>
        <w:pStyle w:val="Heading1"/>
        <w:spacing w:line="480" w:lineRule="auto"/>
        <w:rPr>
          <w:lang w:val="en-US"/>
        </w:rPr>
      </w:pPr>
      <w:bookmarkStart w:id="10" w:name="_Toc110502548"/>
      <w:r>
        <w:rPr>
          <w:lang w:val="en-US"/>
        </w:rPr>
        <w:lastRenderedPageBreak/>
        <w:t>LIST OF TABLES</w:t>
      </w:r>
      <w:bookmarkEnd w:id="10"/>
    </w:p>
    <w:tbl>
      <w:tblPr>
        <w:tblW w:w="0" w:type="auto"/>
        <w:tblBorders>
          <w:top w:val="single" w:sz="4" w:space="0" w:color="auto"/>
          <w:bottom w:val="single" w:sz="4" w:space="0" w:color="auto"/>
        </w:tblBorders>
        <w:tblLook w:val="04A0" w:firstRow="1" w:lastRow="0" w:firstColumn="1" w:lastColumn="0" w:noHBand="0" w:noVBand="1"/>
      </w:tblPr>
      <w:tblGrid>
        <w:gridCol w:w="1345"/>
        <w:gridCol w:w="6395"/>
        <w:gridCol w:w="890"/>
      </w:tblGrid>
      <w:tr w:rsidR="002B607A" w14:paraId="43707B97" w14:textId="77777777" w:rsidTr="00DE5612">
        <w:tc>
          <w:tcPr>
            <w:tcW w:w="1345" w:type="dxa"/>
          </w:tcPr>
          <w:p w14:paraId="266CDF43" w14:textId="77777777" w:rsidR="002B607A" w:rsidRDefault="002B607A" w:rsidP="00022BF8">
            <w:pPr>
              <w:rPr>
                <w:lang w:val="en-US"/>
              </w:rPr>
            </w:pPr>
            <w:r>
              <w:rPr>
                <w:lang w:val="en-US"/>
              </w:rPr>
              <w:t>Table 2.1</w:t>
            </w:r>
          </w:p>
        </w:tc>
        <w:tc>
          <w:tcPr>
            <w:tcW w:w="6395" w:type="dxa"/>
          </w:tcPr>
          <w:p w14:paraId="39BDD186" w14:textId="78C6EF68" w:rsidR="002B607A" w:rsidRDefault="002B607A" w:rsidP="005D0663">
            <w:pPr>
              <w:rPr>
                <w:lang w:val="en-US"/>
              </w:rPr>
            </w:pPr>
            <w:r>
              <w:rPr>
                <w:lang w:val="en-US"/>
              </w:rPr>
              <w:t xml:space="preserve">Selection of Reviewed </w:t>
            </w:r>
            <w:r w:rsidR="005D0663">
              <w:rPr>
                <w:lang w:val="en-US"/>
              </w:rPr>
              <w:t>Methodological Approaches</w:t>
            </w:r>
          </w:p>
        </w:tc>
        <w:tc>
          <w:tcPr>
            <w:tcW w:w="890" w:type="dxa"/>
          </w:tcPr>
          <w:p w14:paraId="421BE6C2" w14:textId="1E84D4BA" w:rsidR="002B607A" w:rsidRDefault="00D77E3F" w:rsidP="00022BF8">
            <w:pPr>
              <w:rPr>
                <w:lang w:val="en-US"/>
              </w:rPr>
            </w:pPr>
            <w:r>
              <w:rPr>
                <w:lang w:val="en-US"/>
              </w:rPr>
              <w:t>33</w:t>
            </w:r>
          </w:p>
        </w:tc>
      </w:tr>
      <w:tr w:rsidR="00B74E38" w14:paraId="0BAC85CE" w14:textId="77777777" w:rsidTr="00DE5612">
        <w:tc>
          <w:tcPr>
            <w:tcW w:w="1345" w:type="dxa"/>
          </w:tcPr>
          <w:p w14:paraId="640F9ECC" w14:textId="5E4F9771" w:rsidR="00B74E38" w:rsidRDefault="00B74E38" w:rsidP="00022BF8">
            <w:pPr>
              <w:rPr>
                <w:lang w:val="en-US"/>
              </w:rPr>
            </w:pPr>
            <w:r>
              <w:rPr>
                <w:lang w:val="en-US"/>
              </w:rPr>
              <w:t>Table 3.1</w:t>
            </w:r>
          </w:p>
        </w:tc>
        <w:tc>
          <w:tcPr>
            <w:tcW w:w="6395" w:type="dxa"/>
          </w:tcPr>
          <w:p w14:paraId="464BE0EF" w14:textId="280C37EE" w:rsidR="00B74E38" w:rsidRDefault="00B74E38" w:rsidP="00022BF8">
            <w:pPr>
              <w:rPr>
                <w:lang w:val="en-US"/>
              </w:rPr>
            </w:pPr>
            <w:r>
              <w:t>Cost Information of Generating sets with final selections in bold</w:t>
            </w:r>
          </w:p>
        </w:tc>
        <w:tc>
          <w:tcPr>
            <w:tcW w:w="890" w:type="dxa"/>
          </w:tcPr>
          <w:p w14:paraId="68010F15" w14:textId="0267B733" w:rsidR="00B74E38" w:rsidRDefault="00D77E3F" w:rsidP="00022BF8">
            <w:pPr>
              <w:rPr>
                <w:lang w:val="en-US"/>
              </w:rPr>
            </w:pPr>
            <w:r>
              <w:rPr>
                <w:lang w:val="en-US"/>
              </w:rPr>
              <w:t>60</w:t>
            </w:r>
          </w:p>
        </w:tc>
      </w:tr>
      <w:tr w:rsidR="00B74E38" w14:paraId="72C6F889" w14:textId="77777777" w:rsidTr="00DE5612">
        <w:tc>
          <w:tcPr>
            <w:tcW w:w="1345" w:type="dxa"/>
          </w:tcPr>
          <w:p w14:paraId="0DAC57EC" w14:textId="6A994B46" w:rsidR="00B74E38" w:rsidRDefault="00B74E38" w:rsidP="00022BF8">
            <w:pPr>
              <w:rPr>
                <w:lang w:val="en-US"/>
              </w:rPr>
            </w:pPr>
            <w:r>
              <w:rPr>
                <w:lang w:val="en-US"/>
              </w:rPr>
              <w:t>Table 3.2</w:t>
            </w:r>
          </w:p>
        </w:tc>
        <w:tc>
          <w:tcPr>
            <w:tcW w:w="6395" w:type="dxa"/>
          </w:tcPr>
          <w:p w14:paraId="27B5AE16" w14:textId="278B4596" w:rsidR="00B74E38" w:rsidRDefault="00B74E38" w:rsidP="00022BF8">
            <w:r>
              <w:t>Official Exchange rate at research time in April 2022</w:t>
            </w:r>
          </w:p>
        </w:tc>
        <w:tc>
          <w:tcPr>
            <w:tcW w:w="890" w:type="dxa"/>
          </w:tcPr>
          <w:p w14:paraId="7FE4420D" w14:textId="32CA0C91" w:rsidR="00B74E38" w:rsidRDefault="00D77E3F" w:rsidP="00022BF8">
            <w:pPr>
              <w:rPr>
                <w:lang w:val="en-US"/>
              </w:rPr>
            </w:pPr>
            <w:r>
              <w:rPr>
                <w:lang w:val="en-US"/>
              </w:rPr>
              <w:t>61</w:t>
            </w:r>
          </w:p>
        </w:tc>
      </w:tr>
      <w:tr w:rsidR="00B74E38" w14:paraId="227087D4" w14:textId="77777777" w:rsidTr="00DE5612">
        <w:tc>
          <w:tcPr>
            <w:tcW w:w="1345" w:type="dxa"/>
          </w:tcPr>
          <w:p w14:paraId="56399DDF" w14:textId="3F902A3E" w:rsidR="00B74E38" w:rsidRDefault="00B74E38" w:rsidP="00022BF8">
            <w:pPr>
              <w:rPr>
                <w:lang w:val="en-US"/>
              </w:rPr>
            </w:pPr>
            <w:r>
              <w:rPr>
                <w:lang w:val="en-US"/>
              </w:rPr>
              <w:t>Table 3.3</w:t>
            </w:r>
          </w:p>
        </w:tc>
        <w:tc>
          <w:tcPr>
            <w:tcW w:w="6395" w:type="dxa"/>
          </w:tcPr>
          <w:p w14:paraId="7B6A68D2" w14:textId="5089C3EF" w:rsidR="00B74E38" w:rsidRDefault="00B74E38" w:rsidP="00022BF8">
            <w:r>
              <w:t>Average Monthly DNI for Arandun</w:t>
            </w:r>
          </w:p>
        </w:tc>
        <w:tc>
          <w:tcPr>
            <w:tcW w:w="890" w:type="dxa"/>
          </w:tcPr>
          <w:p w14:paraId="3C44474F" w14:textId="148EE9B3" w:rsidR="00B74E38" w:rsidRDefault="00D77E3F" w:rsidP="00022BF8">
            <w:pPr>
              <w:rPr>
                <w:lang w:val="en-US"/>
              </w:rPr>
            </w:pPr>
            <w:r>
              <w:rPr>
                <w:lang w:val="en-US"/>
              </w:rPr>
              <w:t>67</w:t>
            </w:r>
          </w:p>
        </w:tc>
      </w:tr>
      <w:tr w:rsidR="00B74E38" w14:paraId="0D96741F" w14:textId="77777777" w:rsidTr="00DE5612">
        <w:tc>
          <w:tcPr>
            <w:tcW w:w="1345" w:type="dxa"/>
          </w:tcPr>
          <w:p w14:paraId="038E29D3" w14:textId="392C1C0B" w:rsidR="00B74E38" w:rsidRDefault="00B74E38" w:rsidP="00022BF8">
            <w:pPr>
              <w:rPr>
                <w:lang w:val="en-US"/>
              </w:rPr>
            </w:pPr>
            <w:r>
              <w:rPr>
                <w:lang w:val="en-US"/>
              </w:rPr>
              <w:t>Table 3.4</w:t>
            </w:r>
          </w:p>
        </w:tc>
        <w:tc>
          <w:tcPr>
            <w:tcW w:w="6395" w:type="dxa"/>
          </w:tcPr>
          <w:p w14:paraId="7FE730D5" w14:textId="21FAB666" w:rsidR="00B74E38" w:rsidRDefault="00B74E38" w:rsidP="00022BF8">
            <w:r w:rsidRPr="00645AF5">
              <w:t>Sample of the hourly load</w:t>
            </w:r>
            <w:r>
              <w:t xml:space="preserve"> data</w:t>
            </w:r>
          </w:p>
        </w:tc>
        <w:tc>
          <w:tcPr>
            <w:tcW w:w="890" w:type="dxa"/>
          </w:tcPr>
          <w:p w14:paraId="63494986" w14:textId="1C193BDF" w:rsidR="00B74E38" w:rsidRDefault="00D77E3F" w:rsidP="00022BF8">
            <w:pPr>
              <w:rPr>
                <w:lang w:val="en-US"/>
              </w:rPr>
            </w:pPr>
            <w:r>
              <w:rPr>
                <w:lang w:val="en-US"/>
              </w:rPr>
              <w:t>89</w:t>
            </w:r>
          </w:p>
        </w:tc>
      </w:tr>
      <w:tr w:rsidR="00B74E38" w14:paraId="20C9DC3C" w14:textId="77777777" w:rsidTr="00DE5612">
        <w:tc>
          <w:tcPr>
            <w:tcW w:w="1345" w:type="dxa"/>
          </w:tcPr>
          <w:p w14:paraId="5FF185F4" w14:textId="3034C6CC" w:rsidR="00B74E38" w:rsidRDefault="00B74E38" w:rsidP="00022BF8">
            <w:pPr>
              <w:rPr>
                <w:lang w:val="en-US"/>
              </w:rPr>
            </w:pPr>
            <w:r>
              <w:rPr>
                <w:lang w:val="en-US"/>
              </w:rPr>
              <w:t>Table 3.5</w:t>
            </w:r>
          </w:p>
        </w:tc>
        <w:tc>
          <w:tcPr>
            <w:tcW w:w="6395" w:type="dxa"/>
          </w:tcPr>
          <w:p w14:paraId="4FACC06D" w14:textId="2F4EBE06" w:rsidR="00B74E38" w:rsidRDefault="00B74E38" w:rsidP="00022BF8">
            <w:r>
              <w:t>Sample of Hourly Measurements for a Selected Week</w:t>
            </w:r>
          </w:p>
        </w:tc>
        <w:tc>
          <w:tcPr>
            <w:tcW w:w="890" w:type="dxa"/>
          </w:tcPr>
          <w:p w14:paraId="315EE6D2" w14:textId="15C92C74" w:rsidR="00B74E38" w:rsidRDefault="00D77E3F" w:rsidP="00022BF8">
            <w:pPr>
              <w:rPr>
                <w:lang w:val="en-US"/>
              </w:rPr>
            </w:pPr>
            <w:r>
              <w:rPr>
                <w:lang w:val="en-US"/>
              </w:rPr>
              <w:t>90</w:t>
            </w:r>
          </w:p>
        </w:tc>
      </w:tr>
      <w:tr w:rsidR="00B74E38" w14:paraId="01DA46F2" w14:textId="77777777" w:rsidTr="00DE5612">
        <w:tc>
          <w:tcPr>
            <w:tcW w:w="1345" w:type="dxa"/>
          </w:tcPr>
          <w:p w14:paraId="018C3C01" w14:textId="5A7FD55A" w:rsidR="00B74E38" w:rsidRDefault="00B74E38" w:rsidP="00022BF8">
            <w:pPr>
              <w:rPr>
                <w:lang w:val="en-US"/>
              </w:rPr>
            </w:pPr>
            <w:r>
              <w:rPr>
                <w:lang w:val="en-US"/>
              </w:rPr>
              <w:t>Table 3.6</w:t>
            </w:r>
          </w:p>
        </w:tc>
        <w:tc>
          <w:tcPr>
            <w:tcW w:w="6395" w:type="dxa"/>
          </w:tcPr>
          <w:p w14:paraId="7BE6AE4D" w14:textId="000A9D7F" w:rsidR="00B74E38" w:rsidRDefault="00B74E38" w:rsidP="00022BF8">
            <w:r w:rsidRPr="00645AF5">
              <w:t xml:space="preserve">Monthly Average Hydropower Data </w:t>
            </w:r>
          </w:p>
        </w:tc>
        <w:tc>
          <w:tcPr>
            <w:tcW w:w="890" w:type="dxa"/>
          </w:tcPr>
          <w:p w14:paraId="5BB9CC2A" w14:textId="76C00949" w:rsidR="00B74E38" w:rsidRDefault="00D77E3F" w:rsidP="00022BF8">
            <w:pPr>
              <w:rPr>
                <w:lang w:val="en-US"/>
              </w:rPr>
            </w:pPr>
            <w:r>
              <w:rPr>
                <w:lang w:val="en-US"/>
              </w:rPr>
              <w:t>91</w:t>
            </w:r>
          </w:p>
        </w:tc>
      </w:tr>
      <w:tr w:rsidR="00B74E38" w14:paraId="03C89A31" w14:textId="77777777" w:rsidTr="00DE5612">
        <w:tc>
          <w:tcPr>
            <w:tcW w:w="1345" w:type="dxa"/>
          </w:tcPr>
          <w:p w14:paraId="2DE063AB" w14:textId="75095999" w:rsidR="00B74E38" w:rsidRDefault="00B74E38" w:rsidP="00022BF8">
            <w:pPr>
              <w:rPr>
                <w:lang w:val="en-US"/>
              </w:rPr>
            </w:pPr>
            <w:r>
              <w:rPr>
                <w:lang w:val="en-US"/>
              </w:rPr>
              <w:t>Table 3.7</w:t>
            </w:r>
          </w:p>
        </w:tc>
        <w:tc>
          <w:tcPr>
            <w:tcW w:w="6395" w:type="dxa"/>
          </w:tcPr>
          <w:p w14:paraId="145C61FB" w14:textId="2C2D1266" w:rsidR="00B74E38" w:rsidRDefault="00B74E38" w:rsidP="00022BF8">
            <w:r w:rsidRPr="00645AF5">
              <w:t>Extract of Daily Solar Influx Data for January 2021 for Arandun Coordinates</w:t>
            </w:r>
          </w:p>
        </w:tc>
        <w:tc>
          <w:tcPr>
            <w:tcW w:w="890" w:type="dxa"/>
          </w:tcPr>
          <w:p w14:paraId="37278FE8" w14:textId="68C10F41" w:rsidR="00B74E38" w:rsidRDefault="00D77E3F" w:rsidP="00022BF8">
            <w:pPr>
              <w:rPr>
                <w:lang w:val="en-US"/>
              </w:rPr>
            </w:pPr>
            <w:r>
              <w:rPr>
                <w:lang w:val="en-US"/>
              </w:rPr>
              <w:t>93</w:t>
            </w:r>
          </w:p>
        </w:tc>
      </w:tr>
      <w:tr w:rsidR="00B74E38" w14:paraId="0743F072" w14:textId="77777777" w:rsidTr="00DE5612">
        <w:tc>
          <w:tcPr>
            <w:tcW w:w="1345" w:type="dxa"/>
          </w:tcPr>
          <w:p w14:paraId="181CF44B" w14:textId="4AB694C2" w:rsidR="00B74E38" w:rsidRDefault="000C6122" w:rsidP="00022BF8">
            <w:pPr>
              <w:rPr>
                <w:lang w:val="en-US"/>
              </w:rPr>
            </w:pPr>
            <w:r>
              <w:rPr>
                <w:lang w:val="en-US"/>
              </w:rPr>
              <w:t>Table 4.1</w:t>
            </w:r>
          </w:p>
        </w:tc>
        <w:tc>
          <w:tcPr>
            <w:tcW w:w="6395" w:type="dxa"/>
          </w:tcPr>
          <w:p w14:paraId="29D493D3" w14:textId="05881A36" w:rsidR="00B74E38" w:rsidRDefault="00B74E38" w:rsidP="00022BF8">
            <w:r>
              <w:t>Architecture of the Chosen Optimal Renewable Microgrid</w:t>
            </w:r>
          </w:p>
        </w:tc>
        <w:tc>
          <w:tcPr>
            <w:tcW w:w="890" w:type="dxa"/>
          </w:tcPr>
          <w:p w14:paraId="5B37D06E" w14:textId="139603EE" w:rsidR="00B74E38" w:rsidRDefault="00D77E3F" w:rsidP="00022BF8">
            <w:pPr>
              <w:rPr>
                <w:lang w:val="en-US"/>
              </w:rPr>
            </w:pPr>
            <w:r>
              <w:rPr>
                <w:lang w:val="en-US"/>
              </w:rPr>
              <w:t>105</w:t>
            </w:r>
          </w:p>
        </w:tc>
      </w:tr>
      <w:tr w:rsidR="00B74E38" w14:paraId="658FDC75" w14:textId="77777777" w:rsidTr="00DE5612">
        <w:tc>
          <w:tcPr>
            <w:tcW w:w="1345" w:type="dxa"/>
          </w:tcPr>
          <w:p w14:paraId="546BE8C8" w14:textId="00B5D4CC" w:rsidR="00B74E38" w:rsidRDefault="000C6122" w:rsidP="00022BF8">
            <w:pPr>
              <w:rPr>
                <w:lang w:val="en-US"/>
              </w:rPr>
            </w:pPr>
            <w:r>
              <w:rPr>
                <w:lang w:val="en-US"/>
              </w:rPr>
              <w:t>Table 4.2</w:t>
            </w:r>
          </w:p>
        </w:tc>
        <w:tc>
          <w:tcPr>
            <w:tcW w:w="6395" w:type="dxa"/>
          </w:tcPr>
          <w:p w14:paraId="4ACE104E" w14:textId="4180CB5F" w:rsidR="00B74E38" w:rsidRDefault="00B74E38" w:rsidP="00022BF8">
            <w:r>
              <w:t>Net Present Costs Breakdown of the Renewable Microgrid</w:t>
            </w:r>
          </w:p>
        </w:tc>
        <w:tc>
          <w:tcPr>
            <w:tcW w:w="890" w:type="dxa"/>
          </w:tcPr>
          <w:p w14:paraId="5E545D65" w14:textId="48159AD6" w:rsidR="00B74E38" w:rsidRDefault="00D77E3F" w:rsidP="00022BF8">
            <w:pPr>
              <w:rPr>
                <w:lang w:val="en-US"/>
              </w:rPr>
            </w:pPr>
            <w:r>
              <w:rPr>
                <w:lang w:val="en-US"/>
              </w:rPr>
              <w:t>105</w:t>
            </w:r>
          </w:p>
        </w:tc>
      </w:tr>
      <w:tr w:rsidR="00B74E38" w14:paraId="0B23C211" w14:textId="77777777" w:rsidTr="00DE5612">
        <w:tc>
          <w:tcPr>
            <w:tcW w:w="1345" w:type="dxa"/>
          </w:tcPr>
          <w:p w14:paraId="4D962B27" w14:textId="4701B2A9" w:rsidR="00B74E38" w:rsidRDefault="000C6122" w:rsidP="00022BF8">
            <w:pPr>
              <w:rPr>
                <w:lang w:val="en-US"/>
              </w:rPr>
            </w:pPr>
            <w:r>
              <w:rPr>
                <w:lang w:val="en-US"/>
              </w:rPr>
              <w:t>Table 4.3</w:t>
            </w:r>
          </w:p>
        </w:tc>
        <w:tc>
          <w:tcPr>
            <w:tcW w:w="6395" w:type="dxa"/>
          </w:tcPr>
          <w:p w14:paraId="1502459F" w14:textId="741699A3" w:rsidR="00B74E38" w:rsidRDefault="00B74E38" w:rsidP="00022BF8">
            <w:r>
              <w:t>Design Properties of the Battery Energy Storage System</w:t>
            </w:r>
          </w:p>
        </w:tc>
        <w:tc>
          <w:tcPr>
            <w:tcW w:w="890" w:type="dxa"/>
          </w:tcPr>
          <w:p w14:paraId="13359F0F" w14:textId="0B4269F0" w:rsidR="00B74E38" w:rsidRDefault="00D77E3F" w:rsidP="00022BF8">
            <w:pPr>
              <w:rPr>
                <w:lang w:val="en-US"/>
              </w:rPr>
            </w:pPr>
            <w:r>
              <w:rPr>
                <w:lang w:val="en-US"/>
              </w:rPr>
              <w:t>106</w:t>
            </w:r>
          </w:p>
        </w:tc>
      </w:tr>
      <w:tr w:rsidR="00B74E38" w14:paraId="349959D6" w14:textId="77777777" w:rsidTr="00DE5612">
        <w:tc>
          <w:tcPr>
            <w:tcW w:w="1345" w:type="dxa"/>
          </w:tcPr>
          <w:p w14:paraId="75D8C1D1" w14:textId="432243DA" w:rsidR="00B74E38" w:rsidRDefault="000C6122" w:rsidP="00022BF8">
            <w:pPr>
              <w:rPr>
                <w:lang w:val="en-US"/>
              </w:rPr>
            </w:pPr>
            <w:r>
              <w:rPr>
                <w:lang w:val="en-US"/>
              </w:rPr>
              <w:t>Table 4.4</w:t>
            </w:r>
          </w:p>
        </w:tc>
        <w:tc>
          <w:tcPr>
            <w:tcW w:w="6395" w:type="dxa"/>
          </w:tcPr>
          <w:p w14:paraId="17905F3F" w14:textId="01405880" w:rsidR="00B74E38" w:rsidRDefault="00B74E38" w:rsidP="00022BF8">
            <w:r>
              <w:t>Electrical Summary of the Bidirectional Converter</w:t>
            </w:r>
          </w:p>
        </w:tc>
        <w:tc>
          <w:tcPr>
            <w:tcW w:w="890" w:type="dxa"/>
          </w:tcPr>
          <w:p w14:paraId="18A2B228" w14:textId="7C0DFB06" w:rsidR="00B74E38" w:rsidRDefault="00D77E3F" w:rsidP="00022BF8">
            <w:pPr>
              <w:rPr>
                <w:lang w:val="en-US"/>
              </w:rPr>
            </w:pPr>
            <w:r>
              <w:rPr>
                <w:lang w:val="en-US"/>
              </w:rPr>
              <w:t>109</w:t>
            </w:r>
          </w:p>
        </w:tc>
      </w:tr>
      <w:tr w:rsidR="00B74E38" w14:paraId="247B4A31" w14:textId="77777777" w:rsidTr="00DE5612">
        <w:tc>
          <w:tcPr>
            <w:tcW w:w="1345" w:type="dxa"/>
          </w:tcPr>
          <w:p w14:paraId="1C23AAAF" w14:textId="12CAE11C" w:rsidR="00B74E38" w:rsidRDefault="000C6122" w:rsidP="00022BF8">
            <w:pPr>
              <w:rPr>
                <w:lang w:val="en-US"/>
              </w:rPr>
            </w:pPr>
            <w:r>
              <w:rPr>
                <w:lang w:val="en-US"/>
              </w:rPr>
              <w:t>Table 4.5</w:t>
            </w:r>
          </w:p>
        </w:tc>
        <w:tc>
          <w:tcPr>
            <w:tcW w:w="6395" w:type="dxa"/>
          </w:tcPr>
          <w:p w14:paraId="1F57CB13" w14:textId="57EBE37F" w:rsidR="00B74E38" w:rsidRDefault="00B74E38" w:rsidP="00022BF8">
            <w:r>
              <w:t>Statistics and Capacity of the Hydropower Turbine</w:t>
            </w:r>
          </w:p>
        </w:tc>
        <w:tc>
          <w:tcPr>
            <w:tcW w:w="890" w:type="dxa"/>
          </w:tcPr>
          <w:p w14:paraId="06166708" w14:textId="0F41F52A" w:rsidR="00B74E38" w:rsidRDefault="00D77E3F" w:rsidP="00022BF8">
            <w:pPr>
              <w:rPr>
                <w:lang w:val="en-US"/>
              </w:rPr>
            </w:pPr>
            <w:r>
              <w:rPr>
                <w:lang w:val="en-US"/>
              </w:rPr>
              <w:t>110</w:t>
            </w:r>
          </w:p>
        </w:tc>
      </w:tr>
      <w:tr w:rsidR="000C6122" w14:paraId="17AF6A49" w14:textId="77777777" w:rsidTr="00DE5612">
        <w:tc>
          <w:tcPr>
            <w:tcW w:w="1345" w:type="dxa"/>
          </w:tcPr>
          <w:p w14:paraId="28D9FAB1" w14:textId="0740B4D9" w:rsidR="000C6122" w:rsidRDefault="000C6122" w:rsidP="00022BF8">
            <w:pPr>
              <w:rPr>
                <w:lang w:val="en-US"/>
              </w:rPr>
            </w:pPr>
            <w:r>
              <w:rPr>
                <w:lang w:val="en-US"/>
              </w:rPr>
              <w:t>Table 4.6</w:t>
            </w:r>
          </w:p>
        </w:tc>
        <w:tc>
          <w:tcPr>
            <w:tcW w:w="6395" w:type="dxa"/>
          </w:tcPr>
          <w:p w14:paraId="4D731751" w14:textId="7264ABC4" w:rsidR="000C6122" w:rsidRDefault="000C6122" w:rsidP="00022BF8">
            <w:r w:rsidRPr="000B618F">
              <w:t>Electrical Summary of the Diesel Microgrid Results for the First and Last Years</w:t>
            </w:r>
          </w:p>
        </w:tc>
        <w:tc>
          <w:tcPr>
            <w:tcW w:w="890" w:type="dxa"/>
          </w:tcPr>
          <w:p w14:paraId="53524F0C" w14:textId="7FA31892" w:rsidR="000C6122" w:rsidRDefault="00D77E3F" w:rsidP="00022BF8">
            <w:pPr>
              <w:rPr>
                <w:lang w:val="en-US"/>
              </w:rPr>
            </w:pPr>
            <w:r>
              <w:rPr>
                <w:lang w:val="en-US"/>
              </w:rPr>
              <w:t>116</w:t>
            </w:r>
          </w:p>
        </w:tc>
      </w:tr>
      <w:tr w:rsidR="000C6122" w14:paraId="1D9CCE97" w14:textId="77777777" w:rsidTr="00DE5612">
        <w:tc>
          <w:tcPr>
            <w:tcW w:w="1345" w:type="dxa"/>
          </w:tcPr>
          <w:p w14:paraId="4C7E908E" w14:textId="05E471FB" w:rsidR="000C6122" w:rsidRDefault="000C6122" w:rsidP="00022BF8">
            <w:pPr>
              <w:rPr>
                <w:lang w:val="en-US"/>
              </w:rPr>
            </w:pPr>
            <w:r>
              <w:rPr>
                <w:lang w:val="en-US"/>
              </w:rPr>
              <w:t>Table 4.7</w:t>
            </w:r>
          </w:p>
        </w:tc>
        <w:tc>
          <w:tcPr>
            <w:tcW w:w="6395" w:type="dxa"/>
          </w:tcPr>
          <w:p w14:paraId="2E7C8069" w14:textId="7ADE9938" w:rsidR="000C6122" w:rsidRDefault="000C6122" w:rsidP="00022BF8">
            <w:r w:rsidRPr="000B618F">
              <w:t>Emission Levels of Pollutants in the First Year of Diesel Microgrid</w:t>
            </w:r>
          </w:p>
        </w:tc>
        <w:tc>
          <w:tcPr>
            <w:tcW w:w="890" w:type="dxa"/>
          </w:tcPr>
          <w:p w14:paraId="79571A67" w14:textId="74FB07EF" w:rsidR="000C6122" w:rsidRDefault="00D77E3F" w:rsidP="00022BF8">
            <w:pPr>
              <w:rPr>
                <w:lang w:val="en-US"/>
              </w:rPr>
            </w:pPr>
            <w:r>
              <w:rPr>
                <w:lang w:val="en-US"/>
              </w:rPr>
              <w:t>118</w:t>
            </w:r>
          </w:p>
        </w:tc>
      </w:tr>
      <w:tr w:rsidR="000C6122" w14:paraId="47461B0F" w14:textId="77777777" w:rsidTr="00DE5612">
        <w:tc>
          <w:tcPr>
            <w:tcW w:w="1345" w:type="dxa"/>
          </w:tcPr>
          <w:p w14:paraId="23AE435C" w14:textId="673A8E31" w:rsidR="000C6122" w:rsidRDefault="000C6122" w:rsidP="00022BF8">
            <w:pPr>
              <w:rPr>
                <w:lang w:val="en-US"/>
              </w:rPr>
            </w:pPr>
            <w:r>
              <w:rPr>
                <w:lang w:val="en-US"/>
              </w:rPr>
              <w:t>Table 4.8</w:t>
            </w:r>
          </w:p>
        </w:tc>
        <w:tc>
          <w:tcPr>
            <w:tcW w:w="6395" w:type="dxa"/>
          </w:tcPr>
          <w:p w14:paraId="6F5AE55A" w14:textId="141E7155" w:rsidR="000C6122" w:rsidRDefault="000C6122" w:rsidP="00022BF8">
            <w:r w:rsidRPr="000B618F">
              <w:t>Probability Distributions for Characterizing Uncertainty in the Renewable Resources and Load in Arandun</w:t>
            </w:r>
          </w:p>
        </w:tc>
        <w:tc>
          <w:tcPr>
            <w:tcW w:w="890" w:type="dxa"/>
          </w:tcPr>
          <w:p w14:paraId="0D1DB219" w14:textId="0ECE0AF2" w:rsidR="000C6122" w:rsidRDefault="00D77E3F" w:rsidP="00022BF8">
            <w:pPr>
              <w:rPr>
                <w:lang w:val="en-US"/>
              </w:rPr>
            </w:pPr>
            <w:r>
              <w:rPr>
                <w:lang w:val="en-US"/>
              </w:rPr>
              <w:t>119</w:t>
            </w:r>
          </w:p>
        </w:tc>
      </w:tr>
      <w:tr w:rsidR="000C6122" w14:paraId="019AFE2A" w14:textId="77777777" w:rsidTr="00DE5612">
        <w:tc>
          <w:tcPr>
            <w:tcW w:w="1345" w:type="dxa"/>
          </w:tcPr>
          <w:p w14:paraId="38E15214" w14:textId="6611E549" w:rsidR="000C6122" w:rsidRDefault="000C6122" w:rsidP="00022BF8">
            <w:pPr>
              <w:rPr>
                <w:lang w:val="en-US"/>
              </w:rPr>
            </w:pPr>
            <w:r>
              <w:rPr>
                <w:lang w:val="en-US"/>
              </w:rPr>
              <w:t>Table 4.9</w:t>
            </w:r>
          </w:p>
        </w:tc>
        <w:tc>
          <w:tcPr>
            <w:tcW w:w="6395" w:type="dxa"/>
          </w:tcPr>
          <w:p w14:paraId="371693F8" w14:textId="297196F8" w:rsidR="000C6122" w:rsidRPr="000B618F" w:rsidRDefault="000C6122" w:rsidP="007A2C58">
            <w:r>
              <w:t xml:space="preserve">Average IVD as experienced at the loads for each month for </w:t>
            </w:r>
            <w:r w:rsidR="009861F9">
              <w:t xml:space="preserve">the </w:t>
            </w:r>
            <w:r>
              <w:t>first three buses – First Scenario</w:t>
            </w:r>
          </w:p>
        </w:tc>
        <w:tc>
          <w:tcPr>
            <w:tcW w:w="890" w:type="dxa"/>
          </w:tcPr>
          <w:p w14:paraId="78376E9A" w14:textId="79442DDC" w:rsidR="000C6122" w:rsidRDefault="00D77E3F" w:rsidP="00022BF8">
            <w:pPr>
              <w:rPr>
                <w:lang w:val="en-US"/>
              </w:rPr>
            </w:pPr>
            <w:r>
              <w:rPr>
                <w:lang w:val="en-US"/>
              </w:rPr>
              <w:t>131</w:t>
            </w:r>
          </w:p>
        </w:tc>
      </w:tr>
      <w:tr w:rsidR="000C6122" w14:paraId="40826C52" w14:textId="77777777" w:rsidTr="00DE5612">
        <w:tc>
          <w:tcPr>
            <w:tcW w:w="1345" w:type="dxa"/>
          </w:tcPr>
          <w:p w14:paraId="1ED49934" w14:textId="68957011" w:rsidR="000C6122" w:rsidRDefault="000C6122" w:rsidP="006B554E">
            <w:pPr>
              <w:rPr>
                <w:lang w:val="en-US"/>
              </w:rPr>
            </w:pPr>
            <w:r>
              <w:rPr>
                <w:lang w:val="en-US"/>
              </w:rPr>
              <w:t>Table 4.10</w:t>
            </w:r>
          </w:p>
        </w:tc>
        <w:tc>
          <w:tcPr>
            <w:tcW w:w="6395" w:type="dxa"/>
          </w:tcPr>
          <w:p w14:paraId="5D061709" w14:textId="136EA482" w:rsidR="000C6122" w:rsidRDefault="000C6122" w:rsidP="006B554E">
            <w:r>
              <w:t xml:space="preserve">Average IVD as experienced at the loads for each month for </w:t>
            </w:r>
            <w:r w:rsidR="009861F9">
              <w:t xml:space="preserve">the </w:t>
            </w:r>
            <w:r>
              <w:t>last three buses – First Scenario</w:t>
            </w:r>
          </w:p>
        </w:tc>
        <w:tc>
          <w:tcPr>
            <w:tcW w:w="890" w:type="dxa"/>
          </w:tcPr>
          <w:p w14:paraId="4DAEA87C" w14:textId="3FD0B023" w:rsidR="000C6122" w:rsidRDefault="00D77E3F" w:rsidP="006B554E">
            <w:pPr>
              <w:rPr>
                <w:lang w:val="en-US"/>
              </w:rPr>
            </w:pPr>
            <w:r>
              <w:rPr>
                <w:lang w:val="en-US"/>
              </w:rPr>
              <w:t>132</w:t>
            </w:r>
          </w:p>
        </w:tc>
      </w:tr>
      <w:tr w:rsidR="000C6122" w14:paraId="37F613FF" w14:textId="77777777" w:rsidTr="00DE5612">
        <w:tc>
          <w:tcPr>
            <w:tcW w:w="1345" w:type="dxa"/>
          </w:tcPr>
          <w:p w14:paraId="6682665F" w14:textId="75E30B4D" w:rsidR="000C6122" w:rsidRDefault="000C6122" w:rsidP="006B554E">
            <w:pPr>
              <w:rPr>
                <w:lang w:val="en-US"/>
              </w:rPr>
            </w:pPr>
            <w:r>
              <w:rPr>
                <w:lang w:val="en-US"/>
              </w:rPr>
              <w:t>Table 4.11</w:t>
            </w:r>
          </w:p>
        </w:tc>
        <w:tc>
          <w:tcPr>
            <w:tcW w:w="6395" w:type="dxa"/>
          </w:tcPr>
          <w:p w14:paraId="339E2986" w14:textId="0A7952AD" w:rsidR="000C6122" w:rsidRDefault="000C6122" w:rsidP="006B554E">
            <w:r w:rsidRPr="006B554E">
              <w:t xml:space="preserve">Average loading (in %) of distribution Lines in the microgrid for each month of the year for </w:t>
            </w:r>
            <w:r w:rsidR="009861F9">
              <w:t xml:space="preserve">the </w:t>
            </w:r>
            <w:r w:rsidRPr="006B554E">
              <w:t>First Scenario</w:t>
            </w:r>
          </w:p>
        </w:tc>
        <w:tc>
          <w:tcPr>
            <w:tcW w:w="890" w:type="dxa"/>
          </w:tcPr>
          <w:p w14:paraId="55ABB971" w14:textId="1F07FC44" w:rsidR="000C6122" w:rsidRDefault="00D77E3F" w:rsidP="006B554E">
            <w:pPr>
              <w:rPr>
                <w:lang w:val="en-US"/>
              </w:rPr>
            </w:pPr>
            <w:r>
              <w:rPr>
                <w:lang w:val="en-US"/>
              </w:rPr>
              <w:t>133</w:t>
            </w:r>
          </w:p>
        </w:tc>
      </w:tr>
      <w:tr w:rsidR="000C6122" w14:paraId="7B277FB0" w14:textId="77777777" w:rsidTr="00DE5612">
        <w:tc>
          <w:tcPr>
            <w:tcW w:w="1345" w:type="dxa"/>
          </w:tcPr>
          <w:p w14:paraId="7669DF59" w14:textId="0CF050E8" w:rsidR="000C6122" w:rsidRDefault="000C6122" w:rsidP="006B554E">
            <w:pPr>
              <w:rPr>
                <w:lang w:val="en-US"/>
              </w:rPr>
            </w:pPr>
            <w:r>
              <w:rPr>
                <w:lang w:val="en-US"/>
              </w:rPr>
              <w:t>Table 4.12</w:t>
            </w:r>
          </w:p>
        </w:tc>
        <w:tc>
          <w:tcPr>
            <w:tcW w:w="6395" w:type="dxa"/>
          </w:tcPr>
          <w:p w14:paraId="56AA3EA2" w14:textId="3066BFF6" w:rsidR="000C6122" w:rsidRDefault="000C6122" w:rsidP="006B554E">
            <w:r w:rsidRPr="006B554E">
              <w:t xml:space="preserve">Average voltage on buses in the microgrid for each month of the year for </w:t>
            </w:r>
            <w:r w:rsidR="009861F9">
              <w:t xml:space="preserve">the </w:t>
            </w:r>
            <w:r w:rsidRPr="006B554E">
              <w:t>first Scenario</w:t>
            </w:r>
          </w:p>
        </w:tc>
        <w:tc>
          <w:tcPr>
            <w:tcW w:w="890" w:type="dxa"/>
          </w:tcPr>
          <w:p w14:paraId="5C31BCDE" w14:textId="4206E6EB" w:rsidR="000C6122" w:rsidRDefault="00D77E3F" w:rsidP="006B554E">
            <w:pPr>
              <w:rPr>
                <w:lang w:val="en-US"/>
              </w:rPr>
            </w:pPr>
            <w:r>
              <w:rPr>
                <w:lang w:val="en-US"/>
              </w:rPr>
              <w:t>133</w:t>
            </w:r>
          </w:p>
        </w:tc>
      </w:tr>
      <w:tr w:rsidR="000C6122" w14:paraId="0F8F0911" w14:textId="77777777" w:rsidTr="00DE5612">
        <w:tc>
          <w:tcPr>
            <w:tcW w:w="1345" w:type="dxa"/>
          </w:tcPr>
          <w:p w14:paraId="355A8A7C" w14:textId="4CEFCA7B" w:rsidR="000C6122" w:rsidRDefault="00FE1C5B" w:rsidP="006B554E">
            <w:pPr>
              <w:rPr>
                <w:lang w:val="en-US"/>
              </w:rPr>
            </w:pPr>
            <w:r>
              <w:rPr>
                <w:lang w:val="en-US"/>
              </w:rPr>
              <w:t>Table 4.13</w:t>
            </w:r>
          </w:p>
        </w:tc>
        <w:tc>
          <w:tcPr>
            <w:tcW w:w="6395" w:type="dxa"/>
          </w:tcPr>
          <w:p w14:paraId="6D7F8126" w14:textId="0586F40C" w:rsidR="000C6122" w:rsidRDefault="000C6122" w:rsidP="006B554E">
            <w:r w:rsidRPr="006B554E">
              <w:t xml:space="preserve">Average loading (in %) of Transformers in the microgrid for each month of the year for </w:t>
            </w:r>
            <w:r w:rsidR="009861F9">
              <w:t xml:space="preserve">the </w:t>
            </w:r>
            <w:r w:rsidRPr="006B554E">
              <w:t>first Scenario</w:t>
            </w:r>
          </w:p>
        </w:tc>
        <w:tc>
          <w:tcPr>
            <w:tcW w:w="890" w:type="dxa"/>
          </w:tcPr>
          <w:p w14:paraId="4F8A814B" w14:textId="29C46A00" w:rsidR="000C6122" w:rsidRDefault="00D77E3F" w:rsidP="006B554E">
            <w:pPr>
              <w:rPr>
                <w:lang w:val="en-US"/>
              </w:rPr>
            </w:pPr>
            <w:r>
              <w:rPr>
                <w:lang w:val="en-US"/>
              </w:rPr>
              <w:t>134</w:t>
            </w:r>
          </w:p>
        </w:tc>
      </w:tr>
      <w:tr w:rsidR="000C6122" w14:paraId="35ECDDD9" w14:textId="77777777" w:rsidTr="00DE5612">
        <w:tc>
          <w:tcPr>
            <w:tcW w:w="1345" w:type="dxa"/>
          </w:tcPr>
          <w:p w14:paraId="7D5B9D73" w14:textId="3EDC3D78" w:rsidR="000C6122" w:rsidRDefault="00FE1C5B" w:rsidP="006B554E">
            <w:pPr>
              <w:rPr>
                <w:lang w:val="en-US"/>
              </w:rPr>
            </w:pPr>
            <w:r>
              <w:rPr>
                <w:lang w:val="en-US"/>
              </w:rPr>
              <w:t>Table 4.14</w:t>
            </w:r>
          </w:p>
        </w:tc>
        <w:tc>
          <w:tcPr>
            <w:tcW w:w="6395" w:type="dxa"/>
          </w:tcPr>
          <w:p w14:paraId="3EB44189" w14:textId="6935975E" w:rsidR="000C6122" w:rsidRDefault="000C6122" w:rsidP="006B554E">
            <w:r w:rsidRPr="006B554E">
              <w:t xml:space="preserve">Average IVD (in %) as experienced at the loads for each month for </w:t>
            </w:r>
            <w:r w:rsidR="009861F9">
              <w:t xml:space="preserve">the </w:t>
            </w:r>
            <w:r w:rsidRPr="006B554E">
              <w:t>first three buses in the Second Scenario</w:t>
            </w:r>
          </w:p>
        </w:tc>
        <w:tc>
          <w:tcPr>
            <w:tcW w:w="890" w:type="dxa"/>
          </w:tcPr>
          <w:p w14:paraId="2442E8E2" w14:textId="08A1F17A" w:rsidR="000C6122" w:rsidRDefault="00D77E3F" w:rsidP="006B554E">
            <w:pPr>
              <w:rPr>
                <w:lang w:val="en-US"/>
              </w:rPr>
            </w:pPr>
            <w:r>
              <w:rPr>
                <w:lang w:val="en-US"/>
              </w:rPr>
              <w:t>135</w:t>
            </w:r>
          </w:p>
        </w:tc>
      </w:tr>
      <w:tr w:rsidR="000C6122" w14:paraId="488C708F" w14:textId="77777777" w:rsidTr="00DE5612">
        <w:tc>
          <w:tcPr>
            <w:tcW w:w="1345" w:type="dxa"/>
          </w:tcPr>
          <w:p w14:paraId="5B07AD11" w14:textId="6133E6CC" w:rsidR="000C6122" w:rsidRDefault="00FE1C5B" w:rsidP="006B554E">
            <w:pPr>
              <w:rPr>
                <w:lang w:val="en-US"/>
              </w:rPr>
            </w:pPr>
            <w:r>
              <w:rPr>
                <w:lang w:val="en-US"/>
              </w:rPr>
              <w:t>Table 4.15</w:t>
            </w:r>
          </w:p>
        </w:tc>
        <w:tc>
          <w:tcPr>
            <w:tcW w:w="6395" w:type="dxa"/>
          </w:tcPr>
          <w:p w14:paraId="508739D8" w14:textId="65C64BB6" w:rsidR="000C6122" w:rsidRDefault="000C6122" w:rsidP="006B554E">
            <w:r w:rsidRPr="006B554E">
              <w:t xml:space="preserve">Average IVD (in %) as experienced at the loads for each month for </w:t>
            </w:r>
            <w:r w:rsidR="009861F9">
              <w:t xml:space="preserve">the </w:t>
            </w:r>
            <w:r w:rsidRPr="006B554E">
              <w:t>last three buses in the Second Scenario</w:t>
            </w:r>
          </w:p>
        </w:tc>
        <w:tc>
          <w:tcPr>
            <w:tcW w:w="890" w:type="dxa"/>
          </w:tcPr>
          <w:p w14:paraId="6EC2F70C" w14:textId="61DA871A" w:rsidR="000C6122" w:rsidRDefault="00D77E3F" w:rsidP="006B554E">
            <w:pPr>
              <w:rPr>
                <w:lang w:val="en-US"/>
              </w:rPr>
            </w:pPr>
            <w:r>
              <w:rPr>
                <w:lang w:val="en-US"/>
              </w:rPr>
              <w:t>136</w:t>
            </w:r>
          </w:p>
        </w:tc>
      </w:tr>
      <w:tr w:rsidR="000C6122" w14:paraId="2CB7A4FB" w14:textId="77777777" w:rsidTr="00DE5612">
        <w:tc>
          <w:tcPr>
            <w:tcW w:w="1345" w:type="dxa"/>
          </w:tcPr>
          <w:p w14:paraId="4EC6F8B0" w14:textId="3129890D" w:rsidR="000C6122" w:rsidRDefault="00FE1C5B" w:rsidP="006B554E">
            <w:pPr>
              <w:rPr>
                <w:lang w:val="en-US"/>
              </w:rPr>
            </w:pPr>
            <w:r>
              <w:rPr>
                <w:lang w:val="en-US"/>
              </w:rPr>
              <w:t>Table 4.16</w:t>
            </w:r>
          </w:p>
        </w:tc>
        <w:tc>
          <w:tcPr>
            <w:tcW w:w="6395" w:type="dxa"/>
          </w:tcPr>
          <w:p w14:paraId="423F5081" w14:textId="7184AA0C" w:rsidR="000C6122" w:rsidRDefault="000C6122" w:rsidP="006B554E">
            <w:r w:rsidRPr="006B554E">
              <w:t xml:space="preserve">Average voltage on buses in the microgrid for each month of the year for </w:t>
            </w:r>
            <w:r w:rsidR="009861F9">
              <w:t xml:space="preserve">the </w:t>
            </w:r>
            <w:r w:rsidRPr="006B554E">
              <w:t>first Scenario</w:t>
            </w:r>
          </w:p>
        </w:tc>
        <w:tc>
          <w:tcPr>
            <w:tcW w:w="890" w:type="dxa"/>
          </w:tcPr>
          <w:p w14:paraId="1200332B" w14:textId="3DF4E4DE" w:rsidR="000C6122" w:rsidRDefault="00D77E3F" w:rsidP="006B554E">
            <w:pPr>
              <w:rPr>
                <w:lang w:val="en-US"/>
              </w:rPr>
            </w:pPr>
            <w:r>
              <w:rPr>
                <w:lang w:val="en-US"/>
              </w:rPr>
              <w:t>149</w:t>
            </w:r>
          </w:p>
        </w:tc>
      </w:tr>
      <w:tr w:rsidR="000C6122" w14:paraId="7A75F20D" w14:textId="77777777" w:rsidTr="00DE5612">
        <w:tc>
          <w:tcPr>
            <w:tcW w:w="1345" w:type="dxa"/>
          </w:tcPr>
          <w:p w14:paraId="1C40F90B" w14:textId="7E2AFC78" w:rsidR="000C6122" w:rsidRDefault="00FE1C5B" w:rsidP="006B554E">
            <w:pPr>
              <w:rPr>
                <w:lang w:val="en-US"/>
              </w:rPr>
            </w:pPr>
            <w:r>
              <w:rPr>
                <w:lang w:val="en-US"/>
              </w:rPr>
              <w:t>Table 4.17</w:t>
            </w:r>
          </w:p>
        </w:tc>
        <w:tc>
          <w:tcPr>
            <w:tcW w:w="6395" w:type="dxa"/>
          </w:tcPr>
          <w:p w14:paraId="039ED5E5" w14:textId="13DB8C53" w:rsidR="000C6122" w:rsidRDefault="000C6122" w:rsidP="006B554E">
            <w:r w:rsidRPr="006B554E">
              <w:t xml:space="preserve">Average loading (in %) of Transformers in the microgrid for each month of the year for </w:t>
            </w:r>
            <w:r w:rsidR="009861F9">
              <w:t xml:space="preserve">the </w:t>
            </w:r>
            <w:r w:rsidRPr="006B554E">
              <w:t>first Scenario</w:t>
            </w:r>
          </w:p>
        </w:tc>
        <w:tc>
          <w:tcPr>
            <w:tcW w:w="890" w:type="dxa"/>
          </w:tcPr>
          <w:p w14:paraId="7F805CD2" w14:textId="4B49653A" w:rsidR="000C6122" w:rsidRDefault="00D77E3F" w:rsidP="006B554E">
            <w:pPr>
              <w:rPr>
                <w:lang w:val="en-US"/>
              </w:rPr>
            </w:pPr>
            <w:r>
              <w:rPr>
                <w:lang w:val="en-US"/>
              </w:rPr>
              <w:t>150</w:t>
            </w:r>
          </w:p>
        </w:tc>
      </w:tr>
      <w:tr w:rsidR="000C6122" w14:paraId="116A9D04" w14:textId="77777777" w:rsidTr="00DE5612">
        <w:tc>
          <w:tcPr>
            <w:tcW w:w="1345" w:type="dxa"/>
          </w:tcPr>
          <w:p w14:paraId="5B18D208" w14:textId="77777777" w:rsidR="000C6122" w:rsidRDefault="000C6122" w:rsidP="006B554E">
            <w:pPr>
              <w:rPr>
                <w:lang w:val="en-US"/>
              </w:rPr>
            </w:pPr>
          </w:p>
        </w:tc>
        <w:tc>
          <w:tcPr>
            <w:tcW w:w="6395" w:type="dxa"/>
          </w:tcPr>
          <w:p w14:paraId="623E671E" w14:textId="07D885B6" w:rsidR="000C6122" w:rsidRPr="006B554E" w:rsidRDefault="000C6122" w:rsidP="006B554E"/>
        </w:tc>
        <w:tc>
          <w:tcPr>
            <w:tcW w:w="890" w:type="dxa"/>
          </w:tcPr>
          <w:p w14:paraId="0F06C2C4" w14:textId="77777777" w:rsidR="000C6122" w:rsidRDefault="000C6122" w:rsidP="006B554E">
            <w:pPr>
              <w:rPr>
                <w:lang w:val="en-US"/>
              </w:rPr>
            </w:pPr>
          </w:p>
        </w:tc>
      </w:tr>
      <w:tr w:rsidR="000C6122" w14:paraId="0EB84B0B" w14:textId="77777777" w:rsidTr="00DE5612">
        <w:tc>
          <w:tcPr>
            <w:tcW w:w="1345" w:type="dxa"/>
          </w:tcPr>
          <w:p w14:paraId="1CA16D15" w14:textId="77777777" w:rsidR="000C6122" w:rsidRDefault="000C6122" w:rsidP="006B554E">
            <w:pPr>
              <w:rPr>
                <w:lang w:val="en-US"/>
              </w:rPr>
            </w:pPr>
          </w:p>
        </w:tc>
        <w:tc>
          <w:tcPr>
            <w:tcW w:w="6395" w:type="dxa"/>
          </w:tcPr>
          <w:p w14:paraId="77E27D31" w14:textId="098C08F0" w:rsidR="000C6122" w:rsidRPr="006B554E" w:rsidRDefault="000C6122" w:rsidP="006B554E"/>
        </w:tc>
        <w:tc>
          <w:tcPr>
            <w:tcW w:w="890" w:type="dxa"/>
          </w:tcPr>
          <w:p w14:paraId="46E9B457" w14:textId="77777777" w:rsidR="000C6122" w:rsidRDefault="000C6122" w:rsidP="006B554E">
            <w:pPr>
              <w:rPr>
                <w:lang w:val="en-US"/>
              </w:rPr>
            </w:pPr>
          </w:p>
        </w:tc>
      </w:tr>
    </w:tbl>
    <w:p w14:paraId="41F142B7" w14:textId="08EBC22A" w:rsidR="009963E6" w:rsidRDefault="009963E6">
      <w:pPr>
        <w:spacing w:line="259" w:lineRule="auto"/>
        <w:jc w:val="left"/>
        <w:rPr>
          <w:rFonts w:eastAsiaTheme="majorEastAsia" w:cstheme="majorBidi"/>
          <w:b/>
          <w:sz w:val="32"/>
          <w:szCs w:val="32"/>
          <w:lang w:val="en-US"/>
        </w:rPr>
      </w:pPr>
      <w:r>
        <w:rPr>
          <w:lang w:val="en-US"/>
        </w:rPr>
        <w:br w:type="page"/>
      </w:r>
    </w:p>
    <w:p w14:paraId="5BC33AA1" w14:textId="68C00D2D" w:rsidR="004F53EB" w:rsidRDefault="004F53EB" w:rsidP="00F03645">
      <w:pPr>
        <w:pStyle w:val="Heading1"/>
        <w:spacing w:line="480" w:lineRule="auto"/>
        <w:rPr>
          <w:lang w:val="en-US"/>
        </w:rPr>
      </w:pPr>
      <w:bookmarkStart w:id="11" w:name="_Toc110502549"/>
      <w:r>
        <w:rPr>
          <w:lang w:val="en-US"/>
        </w:rPr>
        <w:t>LIST OF FIGURES</w:t>
      </w:r>
      <w:bookmarkEnd w:id="11"/>
    </w:p>
    <w:tbl>
      <w:tblPr>
        <w:tblW w:w="0" w:type="auto"/>
        <w:tblBorders>
          <w:top w:val="single" w:sz="4" w:space="0" w:color="auto"/>
          <w:bottom w:val="single" w:sz="4" w:space="0" w:color="auto"/>
        </w:tblBorders>
        <w:tblLook w:val="04A0" w:firstRow="1" w:lastRow="0" w:firstColumn="1" w:lastColumn="0" w:noHBand="0" w:noVBand="1"/>
      </w:tblPr>
      <w:tblGrid>
        <w:gridCol w:w="1345"/>
        <w:gridCol w:w="6395"/>
        <w:gridCol w:w="890"/>
      </w:tblGrid>
      <w:tr w:rsidR="002F1F6C" w14:paraId="38C000F2" w14:textId="77777777" w:rsidTr="00DE5612">
        <w:tc>
          <w:tcPr>
            <w:tcW w:w="1345" w:type="dxa"/>
          </w:tcPr>
          <w:p w14:paraId="6BAD0F2C" w14:textId="77777777" w:rsidR="002F1F6C" w:rsidRDefault="009347E2" w:rsidP="00022BF8">
            <w:pPr>
              <w:spacing w:line="276" w:lineRule="auto"/>
              <w:rPr>
                <w:lang w:val="en-US"/>
              </w:rPr>
            </w:pPr>
            <w:r>
              <w:rPr>
                <w:lang w:val="en-US"/>
              </w:rPr>
              <w:t>Figure 2</w:t>
            </w:r>
            <w:r w:rsidR="002F1F6C">
              <w:rPr>
                <w:lang w:val="en-US"/>
              </w:rPr>
              <w:t>.1</w:t>
            </w:r>
          </w:p>
        </w:tc>
        <w:tc>
          <w:tcPr>
            <w:tcW w:w="6395" w:type="dxa"/>
          </w:tcPr>
          <w:p w14:paraId="692BFF45" w14:textId="77777777" w:rsidR="002F1F6C" w:rsidRPr="002F1F6C" w:rsidRDefault="002F1F6C" w:rsidP="00022BF8">
            <w:pPr>
              <w:spacing w:line="276" w:lineRule="auto"/>
              <w:rPr>
                <w:szCs w:val="24"/>
                <w:lang w:val="en-US"/>
              </w:rPr>
            </w:pPr>
            <w:r w:rsidRPr="002F1F6C">
              <w:rPr>
                <w:iCs/>
                <w:szCs w:val="24"/>
              </w:rPr>
              <w:t>Centralised Generation visually contrasted with DG</w:t>
            </w:r>
          </w:p>
        </w:tc>
        <w:tc>
          <w:tcPr>
            <w:tcW w:w="890" w:type="dxa"/>
          </w:tcPr>
          <w:p w14:paraId="57ECF6AC" w14:textId="4F89A347" w:rsidR="002F1F6C" w:rsidRDefault="002736D6" w:rsidP="00022BF8">
            <w:pPr>
              <w:spacing w:line="276" w:lineRule="auto"/>
              <w:rPr>
                <w:lang w:val="en-US"/>
              </w:rPr>
            </w:pPr>
            <w:r>
              <w:rPr>
                <w:lang w:val="en-US"/>
              </w:rPr>
              <w:t>15</w:t>
            </w:r>
          </w:p>
        </w:tc>
      </w:tr>
      <w:tr w:rsidR="00BF4B8D" w14:paraId="5843C760" w14:textId="77777777" w:rsidTr="00DE5612">
        <w:tc>
          <w:tcPr>
            <w:tcW w:w="1345" w:type="dxa"/>
          </w:tcPr>
          <w:p w14:paraId="38F1234C" w14:textId="77777777" w:rsidR="00BF4B8D" w:rsidRDefault="00BF4B8D" w:rsidP="00022BF8">
            <w:pPr>
              <w:spacing w:line="276" w:lineRule="auto"/>
              <w:rPr>
                <w:lang w:val="en-US"/>
              </w:rPr>
            </w:pPr>
            <w:r>
              <w:rPr>
                <w:lang w:val="en-US"/>
              </w:rPr>
              <w:t>Figure 3.1</w:t>
            </w:r>
          </w:p>
        </w:tc>
        <w:tc>
          <w:tcPr>
            <w:tcW w:w="6395" w:type="dxa"/>
          </w:tcPr>
          <w:p w14:paraId="15E3FD38" w14:textId="16B01CA0" w:rsidR="00BF4B8D" w:rsidRPr="002F1F6C" w:rsidRDefault="00115150" w:rsidP="00022BF8">
            <w:pPr>
              <w:spacing w:line="276" w:lineRule="auto"/>
              <w:rPr>
                <w:iCs/>
                <w:szCs w:val="24"/>
              </w:rPr>
            </w:pPr>
            <w:r>
              <w:rPr>
                <w:iCs/>
                <w:szCs w:val="24"/>
              </w:rPr>
              <w:t>Breakdown of Objective 1</w:t>
            </w:r>
          </w:p>
        </w:tc>
        <w:tc>
          <w:tcPr>
            <w:tcW w:w="890" w:type="dxa"/>
          </w:tcPr>
          <w:p w14:paraId="66760251" w14:textId="219D2859" w:rsidR="00BF4B8D" w:rsidRDefault="004932E1" w:rsidP="00022BF8">
            <w:pPr>
              <w:spacing w:line="276" w:lineRule="auto"/>
              <w:rPr>
                <w:lang w:val="en-US"/>
              </w:rPr>
            </w:pPr>
            <w:r>
              <w:rPr>
                <w:lang w:val="en-US"/>
              </w:rPr>
              <w:t>46</w:t>
            </w:r>
          </w:p>
        </w:tc>
      </w:tr>
      <w:tr w:rsidR="00D573FD" w14:paraId="7F16D9A9" w14:textId="77777777" w:rsidTr="00DE5612">
        <w:tc>
          <w:tcPr>
            <w:tcW w:w="1345" w:type="dxa"/>
          </w:tcPr>
          <w:p w14:paraId="2A3D1C74" w14:textId="4E2B2FC8" w:rsidR="00D573FD" w:rsidRDefault="00D573FD" w:rsidP="00022BF8">
            <w:pPr>
              <w:spacing w:line="276" w:lineRule="auto"/>
              <w:rPr>
                <w:lang w:val="en-US"/>
              </w:rPr>
            </w:pPr>
            <w:r>
              <w:rPr>
                <w:lang w:val="en-US"/>
              </w:rPr>
              <w:t>Figure 3.</w:t>
            </w:r>
            <w:r w:rsidR="00115150">
              <w:rPr>
                <w:lang w:val="en-US"/>
              </w:rPr>
              <w:t>2</w:t>
            </w:r>
          </w:p>
        </w:tc>
        <w:tc>
          <w:tcPr>
            <w:tcW w:w="6395" w:type="dxa"/>
          </w:tcPr>
          <w:p w14:paraId="0579448B" w14:textId="2405FAC8" w:rsidR="00D573FD" w:rsidRDefault="00115150" w:rsidP="00022BF8">
            <w:pPr>
              <w:spacing w:line="276" w:lineRule="auto"/>
              <w:rPr>
                <w:iCs/>
                <w:szCs w:val="24"/>
              </w:rPr>
            </w:pPr>
            <w:r>
              <w:rPr>
                <w:iCs/>
                <w:szCs w:val="24"/>
              </w:rPr>
              <w:t>Breakdown of Objective 2</w:t>
            </w:r>
          </w:p>
        </w:tc>
        <w:tc>
          <w:tcPr>
            <w:tcW w:w="890" w:type="dxa"/>
          </w:tcPr>
          <w:p w14:paraId="18473708" w14:textId="6E06E4B2" w:rsidR="00D573FD" w:rsidRDefault="004932E1" w:rsidP="00022BF8">
            <w:pPr>
              <w:spacing w:line="276" w:lineRule="auto"/>
              <w:rPr>
                <w:lang w:val="en-US"/>
              </w:rPr>
            </w:pPr>
            <w:r>
              <w:rPr>
                <w:lang w:val="en-US"/>
              </w:rPr>
              <w:t>46</w:t>
            </w:r>
          </w:p>
        </w:tc>
      </w:tr>
      <w:tr w:rsidR="00D573FD" w14:paraId="2B158C19" w14:textId="77777777" w:rsidTr="00DE5612">
        <w:tc>
          <w:tcPr>
            <w:tcW w:w="1345" w:type="dxa"/>
          </w:tcPr>
          <w:p w14:paraId="3FC47276" w14:textId="6F050352" w:rsidR="00D573FD" w:rsidRDefault="00D573FD" w:rsidP="00022BF8">
            <w:pPr>
              <w:spacing w:line="276" w:lineRule="auto"/>
              <w:rPr>
                <w:lang w:val="en-US"/>
              </w:rPr>
            </w:pPr>
            <w:r>
              <w:rPr>
                <w:lang w:val="en-US"/>
              </w:rPr>
              <w:t>Figure 3.</w:t>
            </w:r>
            <w:r w:rsidR="00115150">
              <w:rPr>
                <w:lang w:val="en-US"/>
              </w:rPr>
              <w:t>3</w:t>
            </w:r>
          </w:p>
        </w:tc>
        <w:tc>
          <w:tcPr>
            <w:tcW w:w="6395" w:type="dxa"/>
          </w:tcPr>
          <w:p w14:paraId="6E67DCC0" w14:textId="767A85DB" w:rsidR="00D573FD" w:rsidRDefault="00115150" w:rsidP="00022BF8">
            <w:pPr>
              <w:spacing w:line="276" w:lineRule="auto"/>
              <w:rPr>
                <w:iCs/>
                <w:szCs w:val="24"/>
              </w:rPr>
            </w:pPr>
            <w:r>
              <w:rPr>
                <w:iCs/>
                <w:szCs w:val="24"/>
              </w:rPr>
              <w:t>Summary of Objective 3</w:t>
            </w:r>
          </w:p>
        </w:tc>
        <w:tc>
          <w:tcPr>
            <w:tcW w:w="890" w:type="dxa"/>
          </w:tcPr>
          <w:p w14:paraId="218CA152" w14:textId="2EE8D4CB" w:rsidR="00D573FD" w:rsidRDefault="004932E1" w:rsidP="00022BF8">
            <w:pPr>
              <w:spacing w:line="276" w:lineRule="auto"/>
              <w:rPr>
                <w:lang w:val="en-US"/>
              </w:rPr>
            </w:pPr>
            <w:r>
              <w:rPr>
                <w:lang w:val="en-US"/>
              </w:rPr>
              <w:t>47</w:t>
            </w:r>
          </w:p>
        </w:tc>
      </w:tr>
      <w:tr w:rsidR="00D573FD" w14:paraId="352E9FD5" w14:textId="77777777" w:rsidTr="00DE5612">
        <w:tc>
          <w:tcPr>
            <w:tcW w:w="1345" w:type="dxa"/>
          </w:tcPr>
          <w:p w14:paraId="651995E7" w14:textId="3D1594A1" w:rsidR="00D573FD" w:rsidRDefault="00D573FD" w:rsidP="00022BF8">
            <w:pPr>
              <w:spacing w:line="276" w:lineRule="auto"/>
              <w:rPr>
                <w:lang w:val="en-US"/>
              </w:rPr>
            </w:pPr>
            <w:r>
              <w:rPr>
                <w:lang w:val="en-US"/>
              </w:rPr>
              <w:t>Figure 3.</w:t>
            </w:r>
            <w:r w:rsidR="00115150">
              <w:rPr>
                <w:lang w:val="en-US"/>
              </w:rPr>
              <w:t>4</w:t>
            </w:r>
          </w:p>
        </w:tc>
        <w:tc>
          <w:tcPr>
            <w:tcW w:w="6395" w:type="dxa"/>
          </w:tcPr>
          <w:p w14:paraId="2198B3BC" w14:textId="6FA829F1" w:rsidR="00D573FD" w:rsidRDefault="00115150" w:rsidP="00022BF8">
            <w:pPr>
              <w:spacing w:line="276" w:lineRule="auto"/>
              <w:rPr>
                <w:iCs/>
                <w:szCs w:val="24"/>
              </w:rPr>
            </w:pPr>
            <w:r>
              <w:rPr>
                <w:iCs/>
                <w:szCs w:val="24"/>
              </w:rPr>
              <w:t>Breakdown of Objective 4</w:t>
            </w:r>
          </w:p>
        </w:tc>
        <w:tc>
          <w:tcPr>
            <w:tcW w:w="890" w:type="dxa"/>
          </w:tcPr>
          <w:p w14:paraId="7A33ED96" w14:textId="08C79889" w:rsidR="00D573FD" w:rsidRDefault="004932E1" w:rsidP="00022BF8">
            <w:pPr>
              <w:spacing w:line="276" w:lineRule="auto"/>
              <w:rPr>
                <w:lang w:val="en-US"/>
              </w:rPr>
            </w:pPr>
            <w:r>
              <w:rPr>
                <w:lang w:val="en-US"/>
              </w:rPr>
              <w:t>47</w:t>
            </w:r>
          </w:p>
        </w:tc>
      </w:tr>
      <w:tr w:rsidR="00D573FD" w14:paraId="6FA876A5" w14:textId="77777777" w:rsidTr="00DE5612">
        <w:tc>
          <w:tcPr>
            <w:tcW w:w="1345" w:type="dxa"/>
          </w:tcPr>
          <w:p w14:paraId="7D1C1B12" w14:textId="0C935183" w:rsidR="00D573FD" w:rsidRDefault="00D573FD" w:rsidP="00022BF8">
            <w:pPr>
              <w:spacing w:line="276" w:lineRule="auto"/>
              <w:rPr>
                <w:lang w:val="en-US"/>
              </w:rPr>
            </w:pPr>
            <w:r>
              <w:rPr>
                <w:lang w:val="en-US"/>
              </w:rPr>
              <w:t>Figure 3.</w:t>
            </w:r>
            <w:r w:rsidR="00115150">
              <w:rPr>
                <w:lang w:val="en-US"/>
              </w:rPr>
              <w:t>5</w:t>
            </w:r>
          </w:p>
        </w:tc>
        <w:tc>
          <w:tcPr>
            <w:tcW w:w="6395" w:type="dxa"/>
          </w:tcPr>
          <w:p w14:paraId="3A4776E1" w14:textId="3A80015A" w:rsidR="00D573FD" w:rsidRDefault="007D21C8" w:rsidP="00022BF8">
            <w:pPr>
              <w:spacing w:line="276" w:lineRule="auto"/>
              <w:rPr>
                <w:iCs/>
                <w:szCs w:val="24"/>
              </w:rPr>
            </w:pPr>
            <w:r>
              <w:rPr>
                <w:iCs/>
                <w:szCs w:val="24"/>
              </w:rPr>
              <w:t>Structure of the Fuzzy Inference System</w:t>
            </w:r>
          </w:p>
        </w:tc>
        <w:tc>
          <w:tcPr>
            <w:tcW w:w="890" w:type="dxa"/>
          </w:tcPr>
          <w:p w14:paraId="62A85A98" w14:textId="7B07B837" w:rsidR="00D573FD" w:rsidRDefault="004932E1" w:rsidP="00022BF8">
            <w:pPr>
              <w:spacing w:line="276" w:lineRule="auto"/>
              <w:rPr>
                <w:lang w:val="en-US"/>
              </w:rPr>
            </w:pPr>
            <w:r>
              <w:rPr>
                <w:lang w:val="en-US"/>
              </w:rPr>
              <w:t>50</w:t>
            </w:r>
          </w:p>
        </w:tc>
      </w:tr>
      <w:tr w:rsidR="007D6C58" w14:paraId="03886A35" w14:textId="77777777" w:rsidTr="00DE5612">
        <w:tc>
          <w:tcPr>
            <w:tcW w:w="1345" w:type="dxa"/>
          </w:tcPr>
          <w:p w14:paraId="0FB7F859" w14:textId="5FD818F7" w:rsidR="007D6C58" w:rsidRDefault="007D21C8" w:rsidP="00022BF8">
            <w:pPr>
              <w:spacing w:line="276" w:lineRule="auto"/>
              <w:rPr>
                <w:lang w:val="en-US"/>
              </w:rPr>
            </w:pPr>
            <w:r>
              <w:rPr>
                <w:lang w:val="en-US"/>
              </w:rPr>
              <w:t>Figure 3.6</w:t>
            </w:r>
          </w:p>
        </w:tc>
        <w:tc>
          <w:tcPr>
            <w:tcW w:w="6395" w:type="dxa"/>
          </w:tcPr>
          <w:p w14:paraId="1FBF2C3A" w14:textId="4E60CC8B" w:rsidR="007D6C58" w:rsidRDefault="007D21C8" w:rsidP="00022BF8">
            <w:pPr>
              <w:spacing w:line="276" w:lineRule="auto"/>
              <w:rPr>
                <w:iCs/>
                <w:szCs w:val="24"/>
              </w:rPr>
            </w:pPr>
            <w:r>
              <w:rPr>
                <w:iCs/>
                <w:szCs w:val="24"/>
              </w:rPr>
              <w:t>Linguistic Variable and Membership Functions for Land Use</w:t>
            </w:r>
          </w:p>
        </w:tc>
        <w:tc>
          <w:tcPr>
            <w:tcW w:w="890" w:type="dxa"/>
          </w:tcPr>
          <w:p w14:paraId="041061E6" w14:textId="1A45A60B" w:rsidR="007D6C58" w:rsidRDefault="004932E1" w:rsidP="00022BF8">
            <w:pPr>
              <w:spacing w:line="276" w:lineRule="auto"/>
              <w:rPr>
                <w:lang w:val="en-US"/>
              </w:rPr>
            </w:pPr>
            <w:r>
              <w:rPr>
                <w:lang w:val="en-US"/>
              </w:rPr>
              <w:t>51</w:t>
            </w:r>
          </w:p>
        </w:tc>
      </w:tr>
      <w:tr w:rsidR="007D6C58" w14:paraId="69C4DAED" w14:textId="77777777" w:rsidTr="00DE5612">
        <w:tc>
          <w:tcPr>
            <w:tcW w:w="1345" w:type="dxa"/>
          </w:tcPr>
          <w:p w14:paraId="235F28D4" w14:textId="4CDE40DF" w:rsidR="007D6C58" w:rsidRDefault="007D21C8" w:rsidP="00022BF8">
            <w:pPr>
              <w:spacing w:line="276" w:lineRule="auto"/>
              <w:rPr>
                <w:lang w:val="en-US"/>
              </w:rPr>
            </w:pPr>
            <w:r>
              <w:rPr>
                <w:lang w:val="en-US"/>
              </w:rPr>
              <w:t>Figure 3.7</w:t>
            </w:r>
          </w:p>
        </w:tc>
        <w:tc>
          <w:tcPr>
            <w:tcW w:w="6395" w:type="dxa"/>
          </w:tcPr>
          <w:p w14:paraId="14AE21FD" w14:textId="1B24F3FC" w:rsidR="007D6C58" w:rsidRDefault="007D21C8" w:rsidP="00022BF8">
            <w:pPr>
              <w:spacing w:line="276" w:lineRule="auto"/>
              <w:rPr>
                <w:iCs/>
                <w:szCs w:val="24"/>
              </w:rPr>
            </w:pPr>
            <w:r>
              <w:rPr>
                <w:iCs/>
                <w:szCs w:val="24"/>
              </w:rPr>
              <w:t>Linguistic Variable and Membership Functions for Acoustic Noise</w:t>
            </w:r>
          </w:p>
        </w:tc>
        <w:tc>
          <w:tcPr>
            <w:tcW w:w="890" w:type="dxa"/>
          </w:tcPr>
          <w:p w14:paraId="775A99A2" w14:textId="6F68E7A3" w:rsidR="007D6C58" w:rsidRDefault="004932E1" w:rsidP="00022BF8">
            <w:pPr>
              <w:spacing w:line="276" w:lineRule="auto"/>
              <w:rPr>
                <w:lang w:val="en-US"/>
              </w:rPr>
            </w:pPr>
            <w:r>
              <w:rPr>
                <w:lang w:val="en-US"/>
              </w:rPr>
              <w:t>52</w:t>
            </w:r>
          </w:p>
        </w:tc>
      </w:tr>
      <w:tr w:rsidR="007D6C58" w14:paraId="23E8F998" w14:textId="77777777" w:rsidTr="00DE5612">
        <w:tc>
          <w:tcPr>
            <w:tcW w:w="1345" w:type="dxa"/>
          </w:tcPr>
          <w:p w14:paraId="400FB8B3" w14:textId="4B2C4307" w:rsidR="007D6C58" w:rsidRDefault="007D21C8" w:rsidP="00022BF8">
            <w:pPr>
              <w:spacing w:line="276" w:lineRule="auto"/>
              <w:rPr>
                <w:lang w:val="en-US"/>
              </w:rPr>
            </w:pPr>
            <w:r>
              <w:rPr>
                <w:lang w:val="en-US"/>
              </w:rPr>
              <w:t xml:space="preserve">Figure 3.8 </w:t>
            </w:r>
          </w:p>
        </w:tc>
        <w:tc>
          <w:tcPr>
            <w:tcW w:w="6395" w:type="dxa"/>
          </w:tcPr>
          <w:p w14:paraId="362D7582" w14:textId="4BE43D16" w:rsidR="007D6C58" w:rsidRDefault="007D21C8" w:rsidP="00022BF8">
            <w:pPr>
              <w:spacing w:line="276" w:lineRule="auto"/>
              <w:rPr>
                <w:iCs/>
                <w:szCs w:val="24"/>
              </w:rPr>
            </w:pPr>
            <w:r>
              <w:rPr>
                <w:iCs/>
                <w:szCs w:val="24"/>
              </w:rPr>
              <w:t>Linguistic Variable and Membership Functions for Impact on Air Quality</w:t>
            </w:r>
          </w:p>
        </w:tc>
        <w:tc>
          <w:tcPr>
            <w:tcW w:w="890" w:type="dxa"/>
          </w:tcPr>
          <w:p w14:paraId="0901C4D6" w14:textId="18D338C5" w:rsidR="007D6C58" w:rsidRDefault="004932E1" w:rsidP="00022BF8">
            <w:pPr>
              <w:spacing w:line="276" w:lineRule="auto"/>
              <w:rPr>
                <w:lang w:val="en-US"/>
              </w:rPr>
            </w:pPr>
            <w:r>
              <w:rPr>
                <w:lang w:val="en-US"/>
              </w:rPr>
              <w:t>53</w:t>
            </w:r>
          </w:p>
        </w:tc>
      </w:tr>
      <w:tr w:rsidR="007D6C58" w14:paraId="51F18243" w14:textId="77777777" w:rsidTr="00DE5612">
        <w:tc>
          <w:tcPr>
            <w:tcW w:w="1345" w:type="dxa"/>
          </w:tcPr>
          <w:p w14:paraId="3BBC0A5F" w14:textId="19224A31" w:rsidR="007D6C58" w:rsidRDefault="007D21C8" w:rsidP="00022BF8">
            <w:pPr>
              <w:spacing w:line="276" w:lineRule="auto"/>
              <w:rPr>
                <w:lang w:val="en-US"/>
              </w:rPr>
            </w:pPr>
            <w:r>
              <w:rPr>
                <w:lang w:val="en-US"/>
              </w:rPr>
              <w:t>Figure 3.9</w:t>
            </w:r>
          </w:p>
        </w:tc>
        <w:tc>
          <w:tcPr>
            <w:tcW w:w="6395" w:type="dxa"/>
          </w:tcPr>
          <w:p w14:paraId="37E6A34C" w14:textId="7044D7A7" w:rsidR="007D6C58" w:rsidRDefault="007D21C8" w:rsidP="00022BF8">
            <w:pPr>
              <w:spacing w:line="276" w:lineRule="auto"/>
              <w:rPr>
                <w:iCs/>
                <w:szCs w:val="24"/>
              </w:rPr>
            </w:pPr>
            <w:r>
              <w:rPr>
                <w:iCs/>
                <w:szCs w:val="24"/>
              </w:rPr>
              <w:t>Linguistic Variable and Membership Functions for Visual Impact</w:t>
            </w:r>
          </w:p>
        </w:tc>
        <w:tc>
          <w:tcPr>
            <w:tcW w:w="890" w:type="dxa"/>
          </w:tcPr>
          <w:p w14:paraId="26136AB6" w14:textId="69E3E2CC" w:rsidR="007D6C58" w:rsidRDefault="004932E1" w:rsidP="00022BF8">
            <w:pPr>
              <w:spacing w:line="276" w:lineRule="auto"/>
              <w:rPr>
                <w:lang w:val="en-US"/>
              </w:rPr>
            </w:pPr>
            <w:r>
              <w:rPr>
                <w:lang w:val="en-US"/>
              </w:rPr>
              <w:t>53</w:t>
            </w:r>
          </w:p>
        </w:tc>
      </w:tr>
      <w:tr w:rsidR="007D6C58" w14:paraId="7C1F3DB4" w14:textId="77777777" w:rsidTr="00DE5612">
        <w:tc>
          <w:tcPr>
            <w:tcW w:w="1345" w:type="dxa"/>
          </w:tcPr>
          <w:p w14:paraId="391F1C62" w14:textId="1E8DCAAB" w:rsidR="007D6C58" w:rsidRDefault="007D21C8" w:rsidP="00022BF8">
            <w:pPr>
              <w:spacing w:line="276" w:lineRule="auto"/>
              <w:rPr>
                <w:lang w:val="en-US"/>
              </w:rPr>
            </w:pPr>
            <w:r>
              <w:rPr>
                <w:lang w:val="en-US"/>
              </w:rPr>
              <w:t>Figure 3.10</w:t>
            </w:r>
          </w:p>
        </w:tc>
        <w:tc>
          <w:tcPr>
            <w:tcW w:w="6395" w:type="dxa"/>
          </w:tcPr>
          <w:p w14:paraId="79909F7C" w14:textId="7885D672" w:rsidR="007D6C58" w:rsidRDefault="007D21C8" w:rsidP="00022BF8">
            <w:pPr>
              <w:spacing w:line="276" w:lineRule="auto"/>
              <w:rPr>
                <w:iCs/>
                <w:szCs w:val="24"/>
              </w:rPr>
            </w:pPr>
            <w:r>
              <w:rPr>
                <w:iCs/>
                <w:szCs w:val="24"/>
              </w:rPr>
              <w:t>Linguistic Variable and Membership Functions for Impact on Water Resources</w:t>
            </w:r>
          </w:p>
        </w:tc>
        <w:tc>
          <w:tcPr>
            <w:tcW w:w="890" w:type="dxa"/>
          </w:tcPr>
          <w:p w14:paraId="3C43479E" w14:textId="585CBA07" w:rsidR="007D6C58" w:rsidRDefault="004932E1" w:rsidP="00022BF8">
            <w:pPr>
              <w:spacing w:line="276" w:lineRule="auto"/>
              <w:rPr>
                <w:lang w:val="en-US"/>
              </w:rPr>
            </w:pPr>
            <w:r>
              <w:rPr>
                <w:lang w:val="en-US"/>
              </w:rPr>
              <w:t>54</w:t>
            </w:r>
          </w:p>
        </w:tc>
      </w:tr>
      <w:tr w:rsidR="00C25088" w14:paraId="15F67A8C" w14:textId="77777777" w:rsidTr="00DE5612">
        <w:tc>
          <w:tcPr>
            <w:tcW w:w="1345" w:type="dxa"/>
          </w:tcPr>
          <w:p w14:paraId="558F2344" w14:textId="59BC135C" w:rsidR="00C25088" w:rsidRDefault="00C25088" w:rsidP="00022BF8">
            <w:pPr>
              <w:spacing w:line="276" w:lineRule="auto"/>
              <w:rPr>
                <w:lang w:val="en-US"/>
              </w:rPr>
            </w:pPr>
            <w:r>
              <w:rPr>
                <w:lang w:val="en-US"/>
              </w:rPr>
              <w:t>Figure 3.11</w:t>
            </w:r>
          </w:p>
        </w:tc>
        <w:tc>
          <w:tcPr>
            <w:tcW w:w="6395" w:type="dxa"/>
          </w:tcPr>
          <w:p w14:paraId="6F48D1B9" w14:textId="440DE811" w:rsidR="00C25088" w:rsidRDefault="00C25088" w:rsidP="00022BF8">
            <w:pPr>
              <w:spacing w:line="276" w:lineRule="auto"/>
              <w:rPr>
                <w:iCs/>
                <w:szCs w:val="24"/>
              </w:rPr>
            </w:pPr>
            <w:r w:rsidRPr="00C25088">
              <w:rPr>
                <w:iCs/>
                <w:szCs w:val="24"/>
              </w:rPr>
              <w:t>Schematic of Multi-Energy Renewable Energy with Chemical Storage in HOMER</w:t>
            </w:r>
          </w:p>
        </w:tc>
        <w:tc>
          <w:tcPr>
            <w:tcW w:w="890" w:type="dxa"/>
          </w:tcPr>
          <w:p w14:paraId="57A2A73C" w14:textId="32D1B29A" w:rsidR="00C25088" w:rsidRDefault="004932E1" w:rsidP="00022BF8">
            <w:pPr>
              <w:spacing w:line="276" w:lineRule="auto"/>
              <w:rPr>
                <w:lang w:val="en-US"/>
              </w:rPr>
            </w:pPr>
            <w:r>
              <w:rPr>
                <w:lang w:val="en-US"/>
              </w:rPr>
              <w:t>57</w:t>
            </w:r>
          </w:p>
        </w:tc>
      </w:tr>
      <w:tr w:rsidR="00C25088" w14:paraId="73B0D3D4" w14:textId="77777777" w:rsidTr="00DE5612">
        <w:tc>
          <w:tcPr>
            <w:tcW w:w="1345" w:type="dxa"/>
          </w:tcPr>
          <w:p w14:paraId="5F74B65E" w14:textId="452020B3" w:rsidR="00C25088" w:rsidRDefault="00C25088" w:rsidP="00022BF8">
            <w:pPr>
              <w:spacing w:line="276" w:lineRule="auto"/>
              <w:rPr>
                <w:lang w:val="en-US"/>
              </w:rPr>
            </w:pPr>
            <w:r>
              <w:rPr>
                <w:lang w:val="en-US"/>
              </w:rPr>
              <w:t>Figure 3.12</w:t>
            </w:r>
          </w:p>
        </w:tc>
        <w:tc>
          <w:tcPr>
            <w:tcW w:w="6395" w:type="dxa"/>
          </w:tcPr>
          <w:p w14:paraId="1B8511E3" w14:textId="79BA404A" w:rsidR="00C25088" w:rsidRDefault="00C25088" w:rsidP="00022BF8">
            <w:pPr>
              <w:spacing w:line="276" w:lineRule="auto"/>
              <w:rPr>
                <w:iCs/>
                <w:szCs w:val="24"/>
              </w:rPr>
            </w:pPr>
            <w:r>
              <w:t>Schematic of Diesel Microgrid in HOMER</w:t>
            </w:r>
          </w:p>
        </w:tc>
        <w:tc>
          <w:tcPr>
            <w:tcW w:w="890" w:type="dxa"/>
          </w:tcPr>
          <w:p w14:paraId="5B0BEDDB" w14:textId="4C8E16A2" w:rsidR="00C25088" w:rsidRDefault="004932E1" w:rsidP="00022BF8">
            <w:pPr>
              <w:spacing w:line="276" w:lineRule="auto"/>
              <w:rPr>
                <w:lang w:val="en-US"/>
              </w:rPr>
            </w:pPr>
            <w:r>
              <w:rPr>
                <w:lang w:val="en-US"/>
              </w:rPr>
              <w:t>59</w:t>
            </w:r>
          </w:p>
        </w:tc>
      </w:tr>
      <w:tr w:rsidR="00C25088" w14:paraId="57D6FE22" w14:textId="77777777" w:rsidTr="00DE5612">
        <w:tc>
          <w:tcPr>
            <w:tcW w:w="1345" w:type="dxa"/>
          </w:tcPr>
          <w:p w14:paraId="61BB7415" w14:textId="5524786E" w:rsidR="00C25088" w:rsidRDefault="00C25088" w:rsidP="00022BF8">
            <w:pPr>
              <w:spacing w:line="276" w:lineRule="auto"/>
              <w:rPr>
                <w:lang w:val="en-US"/>
              </w:rPr>
            </w:pPr>
            <w:r>
              <w:rPr>
                <w:lang w:val="en-US"/>
              </w:rPr>
              <w:t>Figure 3.13</w:t>
            </w:r>
          </w:p>
        </w:tc>
        <w:tc>
          <w:tcPr>
            <w:tcW w:w="6395" w:type="dxa"/>
          </w:tcPr>
          <w:p w14:paraId="6F61446F" w14:textId="7F366E31" w:rsidR="00C25088" w:rsidRDefault="00C25088" w:rsidP="00022BF8">
            <w:pPr>
              <w:spacing w:line="276" w:lineRule="auto"/>
              <w:rPr>
                <w:iCs/>
                <w:szCs w:val="24"/>
              </w:rPr>
            </w:pPr>
            <w:r>
              <w:rPr>
                <w:iCs/>
                <w:szCs w:val="24"/>
              </w:rPr>
              <w:t xml:space="preserve">DFIG and its Connections </w:t>
            </w:r>
          </w:p>
        </w:tc>
        <w:tc>
          <w:tcPr>
            <w:tcW w:w="890" w:type="dxa"/>
          </w:tcPr>
          <w:p w14:paraId="018B4B5E" w14:textId="54443717" w:rsidR="00C25088" w:rsidRDefault="004932E1" w:rsidP="00022BF8">
            <w:pPr>
              <w:spacing w:line="276" w:lineRule="auto"/>
              <w:rPr>
                <w:lang w:val="en-US"/>
              </w:rPr>
            </w:pPr>
            <w:r>
              <w:rPr>
                <w:lang w:val="en-US"/>
              </w:rPr>
              <w:t>62</w:t>
            </w:r>
          </w:p>
        </w:tc>
      </w:tr>
      <w:tr w:rsidR="00C25088" w14:paraId="077FFAAE" w14:textId="77777777" w:rsidTr="00DE5612">
        <w:tc>
          <w:tcPr>
            <w:tcW w:w="1345" w:type="dxa"/>
          </w:tcPr>
          <w:p w14:paraId="6DE045E7" w14:textId="55C2E1FB" w:rsidR="00C25088" w:rsidRDefault="00C25088" w:rsidP="00022BF8">
            <w:pPr>
              <w:spacing w:line="276" w:lineRule="auto"/>
              <w:rPr>
                <w:lang w:val="en-US"/>
              </w:rPr>
            </w:pPr>
            <w:r>
              <w:rPr>
                <w:lang w:val="en-US"/>
              </w:rPr>
              <w:t>Figure 3.14</w:t>
            </w:r>
          </w:p>
        </w:tc>
        <w:tc>
          <w:tcPr>
            <w:tcW w:w="6395" w:type="dxa"/>
          </w:tcPr>
          <w:p w14:paraId="4FE69545" w14:textId="18BB5664" w:rsidR="00C25088" w:rsidRDefault="00C25088" w:rsidP="00022BF8">
            <w:pPr>
              <w:spacing w:line="276" w:lineRule="auto"/>
              <w:rPr>
                <w:iCs/>
                <w:szCs w:val="24"/>
              </w:rPr>
            </w:pPr>
            <w:r>
              <w:rPr>
                <w:iCs/>
                <w:szCs w:val="24"/>
              </w:rPr>
              <w:t>Power Conversion and Control in the Microgrid</w:t>
            </w:r>
          </w:p>
        </w:tc>
        <w:tc>
          <w:tcPr>
            <w:tcW w:w="890" w:type="dxa"/>
          </w:tcPr>
          <w:p w14:paraId="5BF956B3" w14:textId="3118F9B7" w:rsidR="00C25088" w:rsidRDefault="004932E1" w:rsidP="00022BF8">
            <w:pPr>
              <w:spacing w:line="276" w:lineRule="auto"/>
              <w:rPr>
                <w:lang w:val="en-US"/>
              </w:rPr>
            </w:pPr>
            <w:r>
              <w:rPr>
                <w:lang w:val="en-US"/>
              </w:rPr>
              <w:t>69</w:t>
            </w:r>
          </w:p>
        </w:tc>
      </w:tr>
      <w:tr w:rsidR="007B12FE" w14:paraId="4893E2CC" w14:textId="77777777" w:rsidTr="00DE5612">
        <w:tc>
          <w:tcPr>
            <w:tcW w:w="1345" w:type="dxa"/>
          </w:tcPr>
          <w:p w14:paraId="53C09D08" w14:textId="21BC5169" w:rsidR="007B12FE" w:rsidRDefault="007B12FE" w:rsidP="00022BF8">
            <w:pPr>
              <w:spacing w:line="276" w:lineRule="auto"/>
              <w:rPr>
                <w:lang w:val="en-US"/>
              </w:rPr>
            </w:pPr>
            <w:r>
              <w:rPr>
                <w:lang w:val="en-US"/>
              </w:rPr>
              <w:t>Figure 3.15</w:t>
            </w:r>
          </w:p>
        </w:tc>
        <w:tc>
          <w:tcPr>
            <w:tcW w:w="6395" w:type="dxa"/>
          </w:tcPr>
          <w:p w14:paraId="1F55221C" w14:textId="33B2552A" w:rsidR="007B12FE" w:rsidRDefault="007B12FE" w:rsidP="00022BF8">
            <w:pPr>
              <w:spacing w:line="276" w:lineRule="auto"/>
              <w:rPr>
                <w:iCs/>
                <w:szCs w:val="24"/>
              </w:rPr>
            </w:pPr>
            <w:r>
              <w:t>Representation of the first scenario of the microgrid in PowerFactory</w:t>
            </w:r>
          </w:p>
        </w:tc>
        <w:tc>
          <w:tcPr>
            <w:tcW w:w="890" w:type="dxa"/>
          </w:tcPr>
          <w:p w14:paraId="200A5CB9" w14:textId="76431EA3" w:rsidR="007B12FE" w:rsidRDefault="004932E1" w:rsidP="00022BF8">
            <w:pPr>
              <w:spacing w:line="276" w:lineRule="auto"/>
              <w:rPr>
                <w:lang w:val="en-US"/>
              </w:rPr>
            </w:pPr>
            <w:r>
              <w:rPr>
                <w:lang w:val="en-US"/>
              </w:rPr>
              <w:t>77</w:t>
            </w:r>
          </w:p>
        </w:tc>
      </w:tr>
      <w:tr w:rsidR="007B12FE" w14:paraId="31683162" w14:textId="77777777" w:rsidTr="00DE5612">
        <w:tc>
          <w:tcPr>
            <w:tcW w:w="1345" w:type="dxa"/>
          </w:tcPr>
          <w:p w14:paraId="6C7091C9" w14:textId="55942B62" w:rsidR="007B12FE" w:rsidRDefault="007B12FE" w:rsidP="00022BF8">
            <w:pPr>
              <w:spacing w:line="276" w:lineRule="auto"/>
              <w:rPr>
                <w:lang w:val="en-US"/>
              </w:rPr>
            </w:pPr>
            <w:r>
              <w:rPr>
                <w:lang w:val="en-US"/>
              </w:rPr>
              <w:t>Figure 3.16</w:t>
            </w:r>
          </w:p>
        </w:tc>
        <w:tc>
          <w:tcPr>
            <w:tcW w:w="6395" w:type="dxa"/>
          </w:tcPr>
          <w:p w14:paraId="3595B884" w14:textId="0B0C9515" w:rsidR="007B12FE" w:rsidRDefault="007B12FE" w:rsidP="00022BF8">
            <w:pPr>
              <w:spacing w:line="276" w:lineRule="auto"/>
              <w:rPr>
                <w:iCs/>
                <w:szCs w:val="24"/>
              </w:rPr>
            </w:pPr>
            <w:r w:rsidRPr="007B12FE">
              <w:rPr>
                <w:iCs/>
                <w:szCs w:val="24"/>
              </w:rPr>
              <w:t>Representation of the Second Scenario of the Microgrid in PowerFactory</w:t>
            </w:r>
          </w:p>
        </w:tc>
        <w:tc>
          <w:tcPr>
            <w:tcW w:w="890" w:type="dxa"/>
          </w:tcPr>
          <w:p w14:paraId="4BD47A64" w14:textId="4066F649" w:rsidR="007B12FE" w:rsidRDefault="004932E1" w:rsidP="00022BF8">
            <w:pPr>
              <w:spacing w:line="276" w:lineRule="auto"/>
              <w:rPr>
                <w:lang w:val="en-US"/>
              </w:rPr>
            </w:pPr>
            <w:r>
              <w:rPr>
                <w:lang w:val="en-US"/>
              </w:rPr>
              <w:t>78</w:t>
            </w:r>
          </w:p>
        </w:tc>
      </w:tr>
      <w:tr w:rsidR="007B12FE" w14:paraId="30ADE131" w14:textId="77777777" w:rsidTr="00DE5612">
        <w:tc>
          <w:tcPr>
            <w:tcW w:w="1345" w:type="dxa"/>
          </w:tcPr>
          <w:p w14:paraId="053B5B64" w14:textId="50475757" w:rsidR="007B12FE" w:rsidRDefault="007B12FE" w:rsidP="00022BF8">
            <w:pPr>
              <w:spacing w:line="276" w:lineRule="auto"/>
              <w:rPr>
                <w:lang w:val="en-US"/>
              </w:rPr>
            </w:pPr>
            <w:r>
              <w:rPr>
                <w:lang w:val="en-US"/>
              </w:rPr>
              <w:t>Figure 3.17</w:t>
            </w:r>
          </w:p>
        </w:tc>
        <w:tc>
          <w:tcPr>
            <w:tcW w:w="6395" w:type="dxa"/>
          </w:tcPr>
          <w:p w14:paraId="512DB630" w14:textId="7261748B" w:rsidR="007B12FE" w:rsidRDefault="007B12FE" w:rsidP="00022BF8">
            <w:pPr>
              <w:spacing w:line="276" w:lineRule="auto"/>
              <w:rPr>
                <w:iCs/>
                <w:szCs w:val="24"/>
              </w:rPr>
            </w:pPr>
            <w:r>
              <w:rPr>
                <w:iCs/>
                <w:szCs w:val="24"/>
              </w:rPr>
              <w:t>Hose Level Method Used in Head Estimation in the Study</w:t>
            </w:r>
          </w:p>
        </w:tc>
        <w:tc>
          <w:tcPr>
            <w:tcW w:w="890" w:type="dxa"/>
          </w:tcPr>
          <w:p w14:paraId="61B32561" w14:textId="4404AF75" w:rsidR="007B12FE" w:rsidRDefault="004932E1" w:rsidP="00022BF8">
            <w:pPr>
              <w:spacing w:line="276" w:lineRule="auto"/>
              <w:rPr>
                <w:lang w:val="en-US"/>
              </w:rPr>
            </w:pPr>
            <w:r>
              <w:rPr>
                <w:lang w:val="en-US"/>
              </w:rPr>
              <w:t>83</w:t>
            </w:r>
          </w:p>
        </w:tc>
      </w:tr>
      <w:tr w:rsidR="007B12FE" w14:paraId="1C24F8FF" w14:textId="77777777" w:rsidTr="00DE5612">
        <w:tc>
          <w:tcPr>
            <w:tcW w:w="1345" w:type="dxa"/>
          </w:tcPr>
          <w:p w14:paraId="43285DA5" w14:textId="0278A3B1" w:rsidR="007B12FE" w:rsidRDefault="007B12FE" w:rsidP="00022BF8">
            <w:pPr>
              <w:spacing w:line="276" w:lineRule="auto"/>
              <w:rPr>
                <w:lang w:val="en-US"/>
              </w:rPr>
            </w:pPr>
            <w:r>
              <w:rPr>
                <w:lang w:val="en-US"/>
              </w:rPr>
              <w:t>Figure 4.1</w:t>
            </w:r>
          </w:p>
        </w:tc>
        <w:tc>
          <w:tcPr>
            <w:tcW w:w="6395" w:type="dxa"/>
          </w:tcPr>
          <w:p w14:paraId="7E9D5270" w14:textId="472632D0" w:rsidR="007B12FE" w:rsidRDefault="007B12FE" w:rsidP="00022BF8">
            <w:pPr>
              <w:spacing w:line="276" w:lineRule="auto"/>
              <w:rPr>
                <w:iCs/>
                <w:szCs w:val="24"/>
              </w:rPr>
            </w:pPr>
            <w:r w:rsidRPr="00863C5C">
              <w:rPr>
                <w:iCs/>
                <w:szCs w:val="24"/>
              </w:rPr>
              <w:t>Defuzzification of Rule Base for Computation of Acceptability Index</w:t>
            </w:r>
          </w:p>
        </w:tc>
        <w:tc>
          <w:tcPr>
            <w:tcW w:w="890" w:type="dxa"/>
          </w:tcPr>
          <w:p w14:paraId="7470882C" w14:textId="732627D3" w:rsidR="007B12FE" w:rsidRDefault="004932E1" w:rsidP="00022BF8">
            <w:pPr>
              <w:spacing w:line="276" w:lineRule="auto"/>
              <w:rPr>
                <w:lang w:val="en-US"/>
              </w:rPr>
            </w:pPr>
            <w:r>
              <w:rPr>
                <w:lang w:val="en-US"/>
              </w:rPr>
              <w:t>95</w:t>
            </w:r>
          </w:p>
        </w:tc>
      </w:tr>
      <w:tr w:rsidR="007B12FE" w14:paraId="229852BE" w14:textId="77777777" w:rsidTr="00DE5612">
        <w:tc>
          <w:tcPr>
            <w:tcW w:w="1345" w:type="dxa"/>
          </w:tcPr>
          <w:p w14:paraId="51710F99" w14:textId="4D540DA7" w:rsidR="007B12FE" w:rsidRDefault="007B12FE" w:rsidP="00022BF8">
            <w:pPr>
              <w:spacing w:line="276" w:lineRule="auto"/>
              <w:rPr>
                <w:lang w:val="en-US"/>
              </w:rPr>
            </w:pPr>
            <w:r>
              <w:rPr>
                <w:lang w:val="en-US"/>
              </w:rPr>
              <w:t>Figure 4.2</w:t>
            </w:r>
          </w:p>
        </w:tc>
        <w:tc>
          <w:tcPr>
            <w:tcW w:w="6395" w:type="dxa"/>
          </w:tcPr>
          <w:p w14:paraId="79704CED" w14:textId="62CD5C6C" w:rsidR="007B12FE" w:rsidRDefault="007B12FE" w:rsidP="00022BF8">
            <w:pPr>
              <w:spacing w:line="276" w:lineRule="auto"/>
              <w:rPr>
                <w:iCs/>
                <w:szCs w:val="24"/>
              </w:rPr>
            </w:pPr>
            <w:r w:rsidRPr="00863C5C">
              <w:rPr>
                <w:iCs/>
                <w:szCs w:val="24"/>
              </w:rPr>
              <w:t>Box-and-Whisker Plot Showing the Monthly Average Load Profile</w:t>
            </w:r>
          </w:p>
        </w:tc>
        <w:tc>
          <w:tcPr>
            <w:tcW w:w="890" w:type="dxa"/>
          </w:tcPr>
          <w:p w14:paraId="644412F6" w14:textId="3AD00E80" w:rsidR="007B12FE" w:rsidRDefault="004932E1" w:rsidP="00022BF8">
            <w:pPr>
              <w:spacing w:line="276" w:lineRule="auto"/>
              <w:rPr>
                <w:lang w:val="en-US"/>
              </w:rPr>
            </w:pPr>
            <w:r>
              <w:rPr>
                <w:lang w:val="en-US"/>
              </w:rPr>
              <w:t>97</w:t>
            </w:r>
          </w:p>
        </w:tc>
      </w:tr>
      <w:tr w:rsidR="007B12FE" w14:paraId="6902BA4F" w14:textId="77777777" w:rsidTr="00DE5612">
        <w:tc>
          <w:tcPr>
            <w:tcW w:w="1345" w:type="dxa"/>
          </w:tcPr>
          <w:p w14:paraId="48AB01AA" w14:textId="68C28FCB" w:rsidR="007B12FE" w:rsidRDefault="007B12FE" w:rsidP="00022BF8">
            <w:pPr>
              <w:spacing w:line="276" w:lineRule="auto"/>
              <w:rPr>
                <w:lang w:val="en-US"/>
              </w:rPr>
            </w:pPr>
            <w:r>
              <w:rPr>
                <w:lang w:val="en-US"/>
              </w:rPr>
              <w:t>Figure 4.3</w:t>
            </w:r>
          </w:p>
        </w:tc>
        <w:tc>
          <w:tcPr>
            <w:tcW w:w="6395" w:type="dxa"/>
          </w:tcPr>
          <w:p w14:paraId="636BAAE7" w14:textId="1A00F5B9" w:rsidR="007B12FE" w:rsidRDefault="007B12FE" w:rsidP="00022BF8">
            <w:pPr>
              <w:spacing w:line="276" w:lineRule="auto"/>
              <w:rPr>
                <w:iCs/>
                <w:szCs w:val="24"/>
              </w:rPr>
            </w:pPr>
            <w:r w:rsidRPr="00863C5C">
              <w:rPr>
                <w:iCs/>
                <w:szCs w:val="24"/>
              </w:rPr>
              <w:t>Histogram Showing Load distribution by Frequency of Incidence</w:t>
            </w:r>
          </w:p>
        </w:tc>
        <w:tc>
          <w:tcPr>
            <w:tcW w:w="890" w:type="dxa"/>
          </w:tcPr>
          <w:p w14:paraId="34883915" w14:textId="31E91ECE" w:rsidR="007B12FE" w:rsidRDefault="00FC41BC" w:rsidP="00022BF8">
            <w:pPr>
              <w:spacing w:line="276" w:lineRule="auto"/>
              <w:rPr>
                <w:lang w:val="en-US"/>
              </w:rPr>
            </w:pPr>
            <w:r>
              <w:rPr>
                <w:lang w:val="en-US"/>
              </w:rPr>
              <w:t>98</w:t>
            </w:r>
          </w:p>
        </w:tc>
      </w:tr>
      <w:tr w:rsidR="007B12FE" w14:paraId="02278B74" w14:textId="77777777" w:rsidTr="00DE5612">
        <w:tc>
          <w:tcPr>
            <w:tcW w:w="1345" w:type="dxa"/>
          </w:tcPr>
          <w:p w14:paraId="28B2672E" w14:textId="104522A0" w:rsidR="007B12FE" w:rsidRDefault="007B12FE" w:rsidP="00022BF8">
            <w:pPr>
              <w:spacing w:line="276" w:lineRule="auto"/>
              <w:rPr>
                <w:lang w:val="en-US"/>
              </w:rPr>
            </w:pPr>
            <w:r>
              <w:rPr>
                <w:lang w:val="en-US"/>
              </w:rPr>
              <w:t>Figure 4.4</w:t>
            </w:r>
          </w:p>
        </w:tc>
        <w:tc>
          <w:tcPr>
            <w:tcW w:w="6395" w:type="dxa"/>
          </w:tcPr>
          <w:p w14:paraId="5F2D1A90" w14:textId="628E2F1C" w:rsidR="007B12FE" w:rsidRDefault="007B12FE" w:rsidP="00022BF8">
            <w:pPr>
              <w:spacing w:line="276" w:lineRule="auto"/>
              <w:rPr>
                <w:iCs/>
                <w:szCs w:val="24"/>
              </w:rPr>
            </w:pPr>
            <w:r>
              <w:t>Cumulative Distribution of Load Pattern by Frequency of Incidence</w:t>
            </w:r>
          </w:p>
        </w:tc>
        <w:tc>
          <w:tcPr>
            <w:tcW w:w="890" w:type="dxa"/>
          </w:tcPr>
          <w:p w14:paraId="6060F1C2" w14:textId="6C92AA3E" w:rsidR="007B12FE" w:rsidRDefault="00FC41BC" w:rsidP="00022BF8">
            <w:pPr>
              <w:spacing w:line="276" w:lineRule="auto"/>
              <w:rPr>
                <w:lang w:val="en-US"/>
              </w:rPr>
            </w:pPr>
            <w:r>
              <w:rPr>
                <w:lang w:val="en-US"/>
              </w:rPr>
              <w:t>98</w:t>
            </w:r>
          </w:p>
        </w:tc>
      </w:tr>
      <w:tr w:rsidR="007B12FE" w14:paraId="767C006C" w14:textId="77777777" w:rsidTr="00DE5612">
        <w:tc>
          <w:tcPr>
            <w:tcW w:w="1345" w:type="dxa"/>
          </w:tcPr>
          <w:p w14:paraId="421D8ACD" w14:textId="0524E37F" w:rsidR="007B12FE" w:rsidRDefault="007B12FE" w:rsidP="00022BF8">
            <w:pPr>
              <w:spacing w:line="276" w:lineRule="auto"/>
              <w:rPr>
                <w:lang w:val="en-US"/>
              </w:rPr>
            </w:pPr>
            <w:r>
              <w:rPr>
                <w:lang w:val="en-US"/>
              </w:rPr>
              <w:t>Figure 4.5</w:t>
            </w:r>
          </w:p>
        </w:tc>
        <w:tc>
          <w:tcPr>
            <w:tcW w:w="6395" w:type="dxa"/>
          </w:tcPr>
          <w:p w14:paraId="0262B405" w14:textId="636DC6FC" w:rsidR="007B12FE" w:rsidRDefault="007B12FE" w:rsidP="00022BF8">
            <w:pPr>
              <w:spacing w:line="276" w:lineRule="auto"/>
              <w:rPr>
                <w:iCs/>
                <w:szCs w:val="24"/>
              </w:rPr>
            </w:pPr>
            <w:r w:rsidRPr="00863C5C">
              <w:rPr>
                <w:iCs/>
                <w:szCs w:val="24"/>
              </w:rPr>
              <w:t>Load Curve for the First Year of the Simulation</w:t>
            </w:r>
          </w:p>
        </w:tc>
        <w:tc>
          <w:tcPr>
            <w:tcW w:w="890" w:type="dxa"/>
          </w:tcPr>
          <w:p w14:paraId="1FA0CA42" w14:textId="5440835C" w:rsidR="007B12FE" w:rsidRDefault="00FC41BC" w:rsidP="00022BF8">
            <w:pPr>
              <w:spacing w:line="276" w:lineRule="auto"/>
              <w:rPr>
                <w:lang w:val="en-US"/>
              </w:rPr>
            </w:pPr>
            <w:r>
              <w:rPr>
                <w:lang w:val="en-US"/>
              </w:rPr>
              <w:t>99</w:t>
            </w:r>
          </w:p>
        </w:tc>
      </w:tr>
      <w:tr w:rsidR="007B12FE" w14:paraId="3EE7E1C0" w14:textId="77777777" w:rsidTr="00DE5612">
        <w:tc>
          <w:tcPr>
            <w:tcW w:w="1345" w:type="dxa"/>
          </w:tcPr>
          <w:p w14:paraId="0E2913CB" w14:textId="2BC74EDA" w:rsidR="007B12FE" w:rsidRDefault="007B12FE" w:rsidP="00022BF8">
            <w:pPr>
              <w:spacing w:line="276" w:lineRule="auto"/>
              <w:rPr>
                <w:lang w:val="en-US"/>
              </w:rPr>
            </w:pPr>
            <w:r>
              <w:rPr>
                <w:lang w:val="en-US"/>
              </w:rPr>
              <w:t>Figure 4.6</w:t>
            </w:r>
          </w:p>
        </w:tc>
        <w:tc>
          <w:tcPr>
            <w:tcW w:w="6395" w:type="dxa"/>
          </w:tcPr>
          <w:p w14:paraId="58E8FD3B" w14:textId="58250FE0" w:rsidR="007B12FE" w:rsidRDefault="007B12FE" w:rsidP="00022BF8">
            <w:pPr>
              <w:spacing w:line="276" w:lineRule="auto"/>
              <w:rPr>
                <w:iCs/>
                <w:szCs w:val="24"/>
              </w:rPr>
            </w:pPr>
            <w:r>
              <w:t>Average Hourly Load Profile for Selected Days in May</w:t>
            </w:r>
          </w:p>
        </w:tc>
        <w:tc>
          <w:tcPr>
            <w:tcW w:w="890" w:type="dxa"/>
          </w:tcPr>
          <w:p w14:paraId="7D4799E5" w14:textId="74E974B4" w:rsidR="007B12FE" w:rsidRDefault="00FC41BC" w:rsidP="00022BF8">
            <w:pPr>
              <w:spacing w:line="276" w:lineRule="auto"/>
              <w:rPr>
                <w:lang w:val="en-US"/>
              </w:rPr>
            </w:pPr>
            <w:r>
              <w:rPr>
                <w:lang w:val="en-US"/>
              </w:rPr>
              <w:t>100</w:t>
            </w:r>
          </w:p>
        </w:tc>
      </w:tr>
      <w:tr w:rsidR="007B12FE" w14:paraId="0AEDFA57" w14:textId="77777777" w:rsidTr="00DE5612">
        <w:tc>
          <w:tcPr>
            <w:tcW w:w="1345" w:type="dxa"/>
          </w:tcPr>
          <w:p w14:paraId="04AF0FFF" w14:textId="14507A97" w:rsidR="007B12FE" w:rsidRDefault="007B12FE" w:rsidP="00022BF8">
            <w:pPr>
              <w:spacing w:line="276" w:lineRule="auto"/>
              <w:rPr>
                <w:lang w:val="en-US"/>
              </w:rPr>
            </w:pPr>
            <w:r>
              <w:rPr>
                <w:lang w:val="en-US"/>
              </w:rPr>
              <w:t>Figure 4.7</w:t>
            </w:r>
          </w:p>
        </w:tc>
        <w:tc>
          <w:tcPr>
            <w:tcW w:w="6395" w:type="dxa"/>
          </w:tcPr>
          <w:p w14:paraId="4B05679A" w14:textId="21787039" w:rsidR="007B12FE" w:rsidRDefault="007B12FE" w:rsidP="00022BF8">
            <w:pPr>
              <w:spacing w:line="276" w:lineRule="auto"/>
              <w:rPr>
                <w:iCs/>
                <w:szCs w:val="24"/>
              </w:rPr>
            </w:pPr>
            <w:r>
              <w:t>Average Hourly Load Profile for Selected Days in November and December</w:t>
            </w:r>
          </w:p>
        </w:tc>
        <w:tc>
          <w:tcPr>
            <w:tcW w:w="890" w:type="dxa"/>
          </w:tcPr>
          <w:p w14:paraId="2964611A" w14:textId="7DBC6D6B" w:rsidR="007B12FE" w:rsidRDefault="00FC41BC" w:rsidP="00022BF8">
            <w:pPr>
              <w:spacing w:line="276" w:lineRule="auto"/>
              <w:rPr>
                <w:lang w:val="en-US"/>
              </w:rPr>
            </w:pPr>
            <w:r>
              <w:rPr>
                <w:lang w:val="en-US"/>
              </w:rPr>
              <w:t>100</w:t>
            </w:r>
          </w:p>
        </w:tc>
      </w:tr>
      <w:tr w:rsidR="007B12FE" w14:paraId="266AC5B4" w14:textId="77777777" w:rsidTr="00DE5612">
        <w:tc>
          <w:tcPr>
            <w:tcW w:w="1345" w:type="dxa"/>
          </w:tcPr>
          <w:p w14:paraId="66A9918D" w14:textId="1B8B9B51" w:rsidR="007B12FE" w:rsidRDefault="007B12FE" w:rsidP="00022BF8">
            <w:pPr>
              <w:spacing w:line="276" w:lineRule="auto"/>
              <w:rPr>
                <w:lang w:val="en-US"/>
              </w:rPr>
            </w:pPr>
            <w:r>
              <w:rPr>
                <w:lang w:val="en-US"/>
              </w:rPr>
              <w:t>Figure 4.8</w:t>
            </w:r>
          </w:p>
        </w:tc>
        <w:tc>
          <w:tcPr>
            <w:tcW w:w="6395" w:type="dxa"/>
          </w:tcPr>
          <w:p w14:paraId="1241C609" w14:textId="5DFCB330" w:rsidR="007B12FE" w:rsidRDefault="007B12FE" w:rsidP="00022BF8">
            <w:pPr>
              <w:spacing w:line="276" w:lineRule="auto"/>
              <w:rPr>
                <w:iCs/>
                <w:szCs w:val="24"/>
              </w:rPr>
            </w:pPr>
            <w:r>
              <w:t>Monthly Peak Load for 2020 and 2021</w:t>
            </w:r>
          </w:p>
        </w:tc>
        <w:tc>
          <w:tcPr>
            <w:tcW w:w="890" w:type="dxa"/>
          </w:tcPr>
          <w:p w14:paraId="00570BC2" w14:textId="0B4CF498" w:rsidR="007B12FE" w:rsidRDefault="00FC41BC" w:rsidP="00022BF8">
            <w:pPr>
              <w:spacing w:line="276" w:lineRule="auto"/>
              <w:rPr>
                <w:lang w:val="en-US"/>
              </w:rPr>
            </w:pPr>
            <w:r>
              <w:rPr>
                <w:lang w:val="en-US"/>
              </w:rPr>
              <w:t>101</w:t>
            </w:r>
          </w:p>
        </w:tc>
      </w:tr>
      <w:tr w:rsidR="007B12FE" w14:paraId="62551A99" w14:textId="77777777" w:rsidTr="00DE5612">
        <w:tc>
          <w:tcPr>
            <w:tcW w:w="1345" w:type="dxa"/>
          </w:tcPr>
          <w:p w14:paraId="692F5505" w14:textId="7C38473D" w:rsidR="007B12FE" w:rsidRDefault="007B12FE" w:rsidP="00022BF8">
            <w:pPr>
              <w:spacing w:line="276" w:lineRule="auto"/>
              <w:rPr>
                <w:lang w:val="en-US"/>
              </w:rPr>
            </w:pPr>
            <w:r>
              <w:rPr>
                <w:lang w:val="en-US"/>
              </w:rPr>
              <w:t>Figure 4.9</w:t>
            </w:r>
          </w:p>
        </w:tc>
        <w:tc>
          <w:tcPr>
            <w:tcW w:w="6395" w:type="dxa"/>
          </w:tcPr>
          <w:p w14:paraId="57DD85BE" w14:textId="58090BFE" w:rsidR="007B12FE" w:rsidRDefault="007B12FE" w:rsidP="00022BF8">
            <w:pPr>
              <w:spacing w:line="276" w:lineRule="auto"/>
              <w:rPr>
                <w:iCs/>
                <w:szCs w:val="24"/>
              </w:rPr>
            </w:pPr>
            <w:r>
              <w:t>Monthly Energy Consumption in 2021 and 2021</w:t>
            </w:r>
          </w:p>
        </w:tc>
        <w:tc>
          <w:tcPr>
            <w:tcW w:w="890" w:type="dxa"/>
          </w:tcPr>
          <w:p w14:paraId="6860BD90" w14:textId="38EB3E1C" w:rsidR="007B12FE" w:rsidRDefault="00FC41BC" w:rsidP="00022BF8">
            <w:pPr>
              <w:spacing w:line="276" w:lineRule="auto"/>
              <w:rPr>
                <w:lang w:val="en-US"/>
              </w:rPr>
            </w:pPr>
            <w:r>
              <w:rPr>
                <w:lang w:val="en-US"/>
              </w:rPr>
              <w:t>102</w:t>
            </w:r>
          </w:p>
        </w:tc>
      </w:tr>
      <w:tr w:rsidR="007B12FE" w14:paraId="75667961" w14:textId="77777777" w:rsidTr="00DE5612">
        <w:tc>
          <w:tcPr>
            <w:tcW w:w="1345" w:type="dxa"/>
          </w:tcPr>
          <w:p w14:paraId="75EA3EE3" w14:textId="48B6D8EE" w:rsidR="007B12FE" w:rsidRDefault="007B12FE" w:rsidP="00022BF8">
            <w:pPr>
              <w:spacing w:line="276" w:lineRule="auto"/>
              <w:rPr>
                <w:lang w:val="en-US"/>
              </w:rPr>
            </w:pPr>
            <w:r>
              <w:rPr>
                <w:lang w:val="en-US"/>
              </w:rPr>
              <w:t>Figure 4.10</w:t>
            </w:r>
          </w:p>
        </w:tc>
        <w:tc>
          <w:tcPr>
            <w:tcW w:w="6395" w:type="dxa"/>
          </w:tcPr>
          <w:p w14:paraId="367B8C77" w14:textId="0DDDBFB1" w:rsidR="007B12FE" w:rsidRDefault="007B12FE" w:rsidP="00022BF8">
            <w:pPr>
              <w:spacing w:line="276" w:lineRule="auto"/>
              <w:rPr>
                <w:iCs/>
                <w:szCs w:val="24"/>
              </w:rPr>
            </w:pPr>
            <w:r>
              <w:t>Average Hourly Load Profiles for each Month as Estimated by HOMER Pro</w:t>
            </w:r>
          </w:p>
        </w:tc>
        <w:tc>
          <w:tcPr>
            <w:tcW w:w="890" w:type="dxa"/>
          </w:tcPr>
          <w:p w14:paraId="3CC890C4" w14:textId="6AEA9B4D" w:rsidR="007B12FE" w:rsidRDefault="00FC41BC" w:rsidP="00022BF8">
            <w:pPr>
              <w:spacing w:line="276" w:lineRule="auto"/>
              <w:rPr>
                <w:lang w:val="en-US"/>
              </w:rPr>
            </w:pPr>
            <w:r>
              <w:rPr>
                <w:lang w:val="en-US"/>
              </w:rPr>
              <w:t>103</w:t>
            </w:r>
          </w:p>
        </w:tc>
      </w:tr>
      <w:tr w:rsidR="007B12FE" w14:paraId="6E071351" w14:textId="77777777" w:rsidTr="00DE5612">
        <w:tc>
          <w:tcPr>
            <w:tcW w:w="1345" w:type="dxa"/>
          </w:tcPr>
          <w:p w14:paraId="774B77B2" w14:textId="6B525369" w:rsidR="007B12FE" w:rsidRDefault="007B12FE" w:rsidP="00BD6603">
            <w:pPr>
              <w:spacing w:line="276" w:lineRule="auto"/>
              <w:rPr>
                <w:lang w:val="en-US"/>
              </w:rPr>
            </w:pPr>
            <w:r>
              <w:rPr>
                <w:lang w:val="en-US"/>
              </w:rPr>
              <w:t>Figure 4.11</w:t>
            </w:r>
          </w:p>
        </w:tc>
        <w:tc>
          <w:tcPr>
            <w:tcW w:w="6395" w:type="dxa"/>
          </w:tcPr>
          <w:p w14:paraId="253BD270" w14:textId="6C1C2B48" w:rsidR="007B12FE" w:rsidRDefault="007B12FE" w:rsidP="00BD6603">
            <w:pPr>
              <w:spacing w:line="276" w:lineRule="auto"/>
              <w:rPr>
                <w:iCs/>
                <w:szCs w:val="24"/>
              </w:rPr>
            </w:pPr>
            <w:r w:rsidRPr="00863C5C">
              <w:rPr>
                <w:iCs/>
                <w:szCs w:val="24"/>
              </w:rPr>
              <w:t xml:space="preserve">Box-and-Whisker Plot of the </w:t>
            </w:r>
            <w:r>
              <w:rPr>
                <w:iCs/>
                <w:szCs w:val="24"/>
              </w:rPr>
              <w:t>BESS Input Power in Year 1</w:t>
            </w:r>
          </w:p>
        </w:tc>
        <w:tc>
          <w:tcPr>
            <w:tcW w:w="890" w:type="dxa"/>
          </w:tcPr>
          <w:p w14:paraId="0304E663" w14:textId="2232BAB3" w:rsidR="007B12FE" w:rsidRDefault="00FC41BC" w:rsidP="00BD6603">
            <w:pPr>
              <w:spacing w:line="276" w:lineRule="auto"/>
              <w:rPr>
                <w:lang w:val="en-US"/>
              </w:rPr>
            </w:pPr>
            <w:r>
              <w:rPr>
                <w:lang w:val="en-US"/>
              </w:rPr>
              <w:t>107</w:t>
            </w:r>
          </w:p>
        </w:tc>
      </w:tr>
      <w:tr w:rsidR="007B12FE" w14:paraId="5F0FA017" w14:textId="77777777" w:rsidTr="00DE5612">
        <w:tc>
          <w:tcPr>
            <w:tcW w:w="1345" w:type="dxa"/>
          </w:tcPr>
          <w:p w14:paraId="207D02D7" w14:textId="2F00CECE" w:rsidR="007B12FE" w:rsidRDefault="007B12FE" w:rsidP="00BD6603">
            <w:pPr>
              <w:spacing w:line="276" w:lineRule="auto"/>
              <w:rPr>
                <w:lang w:val="en-US"/>
              </w:rPr>
            </w:pPr>
            <w:r>
              <w:rPr>
                <w:lang w:val="en-US"/>
              </w:rPr>
              <w:t>Figure 4.12</w:t>
            </w:r>
          </w:p>
        </w:tc>
        <w:tc>
          <w:tcPr>
            <w:tcW w:w="6395" w:type="dxa"/>
          </w:tcPr>
          <w:p w14:paraId="76E2B89C" w14:textId="38847AA0" w:rsidR="007B12FE" w:rsidRDefault="007B12FE" w:rsidP="00BD6603">
            <w:pPr>
              <w:spacing w:line="276" w:lineRule="auto"/>
              <w:rPr>
                <w:iCs/>
                <w:szCs w:val="24"/>
              </w:rPr>
            </w:pPr>
            <w:r w:rsidRPr="00863C5C">
              <w:rPr>
                <w:iCs/>
                <w:szCs w:val="24"/>
              </w:rPr>
              <w:t>Box-and-Whisker Plot of the BESS State of Charge in Year 1</w:t>
            </w:r>
          </w:p>
        </w:tc>
        <w:tc>
          <w:tcPr>
            <w:tcW w:w="890" w:type="dxa"/>
          </w:tcPr>
          <w:p w14:paraId="72D135F3" w14:textId="4CAD1863" w:rsidR="007B12FE" w:rsidRDefault="00FC41BC" w:rsidP="00BD6603">
            <w:pPr>
              <w:spacing w:line="276" w:lineRule="auto"/>
              <w:rPr>
                <w:lang w:val="en-US"/>
              </w:rPr>
            </w:pPr>
            <w:r>
              <w:rPr>
                <w:lang w:val="en-US"/>
              </w:rPr>
              <w:t>108</w:t>
            </w:r>
          </w:p>
        </w:tc>
      </w:tr>
      <w:tr w:rsidR="007B12FE" w14:paraId="2B2EF052" w14:textId="77777777" w:rsidTr="00DE5612">
        <w:tc>
          <w:tcPr>
            <w:tcW w:w="1345" w:type="dxa"/>
          </w:tcPr>
          <w:p w14:paraId="413EE1E2" w14:textId="25531F96" w:rsidR="007B12FE" w:rsidRDefault="007B12FE" w:rsidP="00BD6603">
            <w:pPr>
              <w:spacing w:line="276" w:lineRule="auto"/>
              <w:rPr>
                <w:lang w:val="en-US"/>
              </w:rPr>
            </w:pPr>
            <w:r>
              <w:rPr>
                <w:lang w:val="en-US"/>
              </w:rPr>
              <w:t>Figure 4.13</w:t>
            </w:r>
          </w:p>
        </w:tc>
        <w:tc>
          <w:tcPr>
            <w:tcW w:w="6395" w:type="dxa"/>
          </w:tcPr>
          <w:p w14:paraId="246C7997" w14:textId="2164F8A4" w:rsidR="007B12FE" w:rsidRDefault="007B12FE" w:rsidP="00BD6603">
            <w:pPr>
              <w:spacing w:line="276" w:lineRule="auto"/>
              <w:rPr>
                <w:iCs/>
                <w:szCs w:val="24"/>
              </w:rPr>
            </w:pPr>
            <w:r w:rsidRPr="00863C5C">
              <w:rPr>
                <w:iCs/>
                <w:szCs w:val="24"/>
              </w:rPr>
              <w:t>Hydropower Output Annual Curve as estimated for the Osin River in Arandun</w:t>
            </w:r>
          </w:p>
        </w:tc>
        <w:tc>
          <w:tcPr>
            <w:tcW w:w="890" w:type="dxa"/>
          </w:tcPr>
          <w:p w14:paraId="70814B34" w14:textId="2731329B" w:rsidR="007B12FE" w:rsidRDefault="00FC41BC" w:rsidP="00BD6603">
            <w:pPr>
              <w:spacing w:line="276" w:lineRule="auto"/>
              <w:rPr>
                <w:lang w:val="en-US"/>
              </w:rPr>
            </w:pPr>
            <w:r>
              <w:rPr>
                <w:lang w:val="en-US"/>
              </w:rPr>
              <w:t>111</w:t>
            </w:r>
          </w:p>
        </w:tc>
      </w:tr>
      <w:tr w:rsidR="007B12FE" w14:paraId="699B3182" w14:textId="77777777" w:rsidTr="00DE5612">
        <w:tc>
          <w:tcPr>
            <w:tcW w:w="1345" w:type="dxa"/>
          </w:tcPr>
          <w:p w14:paraId="3AE6286B" w14:textId="012BD976" w:rsidR="007B12FE" w:rsidRDefault="007B12FE" w:rsidP="00BD6603">
            <w:pPr>
              <w:spacing w:line="276" w:lineRule="auto"/>
              <w:rPr>
                <w:lang w:val="en-US"/>
              </w:rPr>
            </w:pPr>
            <w:r>
              <w:rPr>
                <w:lang w:val="en-US"/>
              </w:rPr>
              <w:t>Figure 4.14</w:t>
            </w:r>
          </w:p>
        </w:tc>
        <w:tc>
          <w:tcPr>
            <w:tcW w:w="6395" w:type="dxa"/>
          </w:tcPr>
          <w:p w14:paraId="2AA95655" w14:textId="4C48C4D5" w:rsidR="007B12FE" w:rsidRDefault="007B12FE" w:rsidP="00BD6603">
            <w:pPr>
              <w:spacing w:line="276" w:lineRule="auto"/>
              <w:rPr>
                <w:iCs/>
                <w:szCs w:val="24"/>
              </w:rPr>
            </w:pPr>
            <w:r w:rsidRPr="00BD6603">
              <w:rPr>
                <w:iCs/>
                <w:szCs w:val="24"/>
              </w:rPr>
              <w:t>AC Primary Load Curve of the Renewable-Based Microgrid</w:t>
            </w:r>
          </w:p>
        </w:tc>
        <w:tc>
          <w:tcPr>
            <w:tcW w:w="890" w:type="dxa"/>
          </w:tcPr>
          <w:p w14:paraId="3D61BCF7" w14:textId="5EC30EB8" w:rsidR="007B12FE" w:rsidRDefault="00FC41BC" w:rsidP="00BD6603">
            <w:pPr>
              <w:spacing w:line="276" w:lineRule="auto"/>
              <w:rPr>
                <w:lang w:val="en-US"/>
              </w:rPr>
            </w:pPr>
            <w:r>
              <w:rPr>
                <w:lang w:val="en-US"/>
              </w:rPr>
              <w:t>112</w:t>
            </w:r>
          </w:p>
        </w:tc>
      </w:tr>
      <w:tr w:rsidR="007B12FE" w14:paraId="2F944103" w14:textId="77777777" w:rsidTr="00DE5612">
        <w:tc>
          <w:tcPr>
            <w:tcW w:w="1345" w:type="dxa"/>
          </w:tcPr>
          <w:p w14:paraId="01C74A02" w14:textId="2A7A1AD2" w:rsidR="007B12FE" w:rsidRDefault="007B12FE" w:rsidP="00BD6603">
            <w:pPr>
              <w:spacing w:line="276" w:lineRule="auto"/>
              <w:rPr>
                <w:lang w:val="en-US"/>
              </w:rPr>
            </w:pPr>
            <w:r>
              <w:rPr>
                <w:lang w:val="en-US"/>
              </w:rPr>
              <w:t>Figure 4.15</w:t>
            </w:r>
          </w:p>
        </w:tc>
        <w:tc>
          <w:tcPr>
            <w:tcW w:w="6395" w:type="dxa"/>
          </w:tcPr>
          <w:p w14:paraId="556ED2EA" w14:textId="7CBCA4DC" w:rsidR="007B12FE" w:rsidRDefault="007B12FE" w:rsidP="00BD6603">
            <w:pPr>
              <w:spacing w:line="276" w:lineRule="auto"/>
              <w:rPr>
                <w:iCs/>
                <w:szCs w:val="24"/>
              </w:rPr>
            </w:pPr>
            <w:r w:rsidRPr="00863C5C">
              <w:rPr>
                <w:iCs/>
                <w:szCs w:val="24"/>
              </w:rPr>
              <w:t>Complementarity Curve o</w:t>
            </w:r>
            <w:r>
              <w:rPr>
                <w:iCs/>
                <w:szCs w:val="24"/>
              </w:rPr>
              <w:t>f the Renewable-Based Microgrid</w:t>
            </w:r>
          </w:p>
        </w:tc>
        <w:tc>
          <w:tcPr>
            <w:tcW w:w="890" w:type="dxa"/>
          </w:tcPr>
          <w:p w14:paraId="179E50F3" w14:textId="3ECDBAB9" w:rsidR="007B12FE" w:rsidRDefault="00FC41BC" w:rsidP="00BD6603">
            <w:pPr>
              <w:spacing w:line="276" w:lineRule="auto"/>
              <w:rPr>
                <w:lang w:val="en-US"/>
              </w:rPr>
            </w:pPr>
            <w:r>
              <w:rPr>
                <w:lang w:val="en-US"/>
              </w:rPr>
              <w:t>113</w:t>
            </w:r>
          </w:p>
        </w:tc>
      </w:tr>
      <w:tr w:rsidR="007B12FE" w14:paraId="6A192715" w14:textId="77777777" w:rsidTr="00DE5612">
        <w:tc>
          <w:tcPr>
            <w:tcW w:w="1345" w:type="dxa"/>
          </w:tcPr>
          <w:p w14:paraId="67BB2A82" w14:textId="71B7B718" w:rsidR="007B12FE" w:rsidRPr="000B54F2" w:rsidRDefault="007B12FE" w:rsidP="00BD6603">
            <w:pPr>
              <w:rPr>
                <w:b/>
                <w:szCs w:val="24"/>
                <w:lang w:val="en-US"/>
              </w:rPr>
            </w:pPr>
            <w:r>
              <w:rPr>
                <w:lang w:val="en-US"/>
              </w:rPr>
              <w:t>Figure 4.16</w:t>
            </w:r>
          </w:p>
        </w:tc>
        <w:tc>
          <w:tcPr>
            <w:tcW w:w="6395" w:type="dxa"/>
          </w:tcPr>
          <w:p w14:paraId="125A9A97" w14:textId="607D4582" w:rsidR="007B12FE" w:rsidRDefault="007B12FE" w:rsidP="00BD6603">
            <w:pPr>
              <w:spacing w:line="276" w:lineRule="auto"/>
              <w:rPr>
                <w:iCs/>
                <w:szCs w:val="24"/>
              </w:rPr>
            </w:pPr>
            <w:r>
              <w:t>Growth of Emissions in tandem with load growth over the Project Lifetime</w:t>
            </w:r>
          </w:p>
        </w:tc>
        <w:tc>
          <w:tcPr>
            <w:tcW w:w="890" w:type="dxa"/>
          </w:tcPr>
          <w:p w14:paraId="38E952C5" w14:textId="0F2B1E81" w:rsidR="007B12FE" w:rsidRDefault="00FC41BC" w:rsidP="00BD6603">
            <w:pPr>
              <w:spacing w:line="276" w:lineRule="auto"/>
              <w:rPr>
                <w:lang w:val="en-US"/>
              </w:rPr>
            </w:pPr>
            <w:r>
              <w:rPr>
                <w:lang w:val="en-US"/>
              </w:rPr>
              <w:t>117</w:t>
            </w:r>
          </w:p>
        </w:tc>
      </w:tr>
      <w:tr w:rsidR="00CB77B3" w14:paraId="390D714A" w14:textId="77777777" w:rsidTr="00DE5612">
        <w:tc>
          <w:tcPr>
            <w:tcW w:w="1345" w:type="dxa"/>
          </w:tcPr>
          <w:p w14:paraId="13681707" w14:textId="5BD06E84" w:rsidR="00CB77B3" w:rsidRDefault="00CB77B3" w:rsidP="00BD6603">
            <w:pPr>
              <w:rPr>
                <w:lang w:val="en-US"/>
              </w:rPr>
            </w:pPr>
            <w:r>
              <w:rPr>
                <w:lang w:val="en-US"/>
              </w:rPr>
              <w:t>Figure 4.17</w:t>
            </w:r>
          </w:p>
        </w:tc>
        <w:tc>
          <w:tcPr>
            <w:tcW w:w="6395" w:type="dxa"/>
          </w:tcPr>
          <w:p w14:paraId="1B48218A" w14:textId="602FBFFC" w:rsidR="00CB77B3" w:rsidRDefault="00CB77B3" w:rsidP="00BD6603">
            <w:pPr>
              <w:spacing w:line="276" w:lineRule="auto"/>
              <w:rPr>
                <w:iCs/>
                <w:szCs w:val="24"/>
              </w:rPr>
            </w:pPr>
            <w:r w:rsidRPr="005056D1">
              <w:t>Average IVD in the microgrid in January (Scenario 1)</w:t>
            </w:r>
          </w:p>
        </w:tc>
        <w:tc>
          <w:tcPr>
            <w:tcW w:w="890" w:type="dxa"/>
          </w:tcPr>
          <w:p w14:paraId="393B753D" w14:textId="61E411E4" w:rsidR="00CB77B3" w:rsidRDefault="00FC41BC" w:rsidP="00BD6603">
            <w:pPr>
              <w:spacing w:line="276" w:lineRule="auto"/>
              <w:rPr>
                <w:lang w:val="en-US"/>
              </w:rPr>
            </w:pPr>
            <w:r>
              <w:t>121</w:t>
            </w:r>
          </w:p>
        </w:tc>
      </w:tr>
      <w:tr w:rsidR="00CB77B3" w14:paraId="78AA0DFA" w14:textId="77777777" w:rsidTr="00DE5612">
        <w:tc>
          <w:tcPr>
            <w:tcW w:w="1345" w:type="dxa"/>
          </w:tcPr>
          <w:p w14:paraId="0B1C2D47" w14:textId="5A491B94" w:rsidR="00CB77B3" w:rsidRDefault="00CB77B3" w:rsidP="00E12E78">
            <w:pPr>
              <w:rPr>
                <w:lang w:val="en-US"/>
              </w:rPr>
            </w:pPr>
            <w:r>
              <w:rPr>
                <w:lang w:val="en-US"/>
              </w:rPr>
              <w:t>Figure 4.18</w:t>
            </w:r>
          </w:p>
        </w:tc>
        <w:tc>
          <w:tcPr>
            <w:tcW w:w="6395" w:type="dxa"/>
          </w:tcPr>
          <w:p w14:paraId="5301A3FB" w14:textId="49EFFDBC" w:rsidR="00CB77B3" w:rsidRPr="00DD4631" w:rsidRDefault="00CB77B3" w:rsidP="00E12E78">
            <w:pPr>
              <w:spacing w:line="276" w:lineRule="auto"/>
            </w:pPr>
            <w:r>
              <w:t xml:space="preserve">Average IVD in the microgrid in February </w:t>
            </w:r>
            <w:r w:rsidRPr="005056D1">
              <w:t>(Scenario 1)</w:t>
            </w:r>
          </w:p>
        </w:tc>
        <w:tc>
          <w:tcPr>
            <w:tcW w:w="890" w:type="dxa"/>
          </w:tcPr>
          <w:p w14:paraId="00FCADF4" w14:textId="0215BA36" w:rsidR="00CB77B3" w:rsidRPr="00DD4631" w:rsidRDefault="00FC41BC" w:rsidP="00E12E78">
            <w:pPr>
              <w:spacing w:line="276" w:lineRule="auto"/>
            </w:pPr>
            <w:r>
              <w:t>122</w:t>
            </w:r>
          </w:p>
        </w:tc>
      </w:tr>
      <w:tr w:rsidR="00CB77B3" w14:paraId="331EE8D1" w14:textId="77777777" w:rsidTr="00DE5612">
        <w:tc>
          <w:tcPr>
            <w:tcW w:w="1345" w:type="dxa"/>
          </w:tcPr>
          <w:p w14:paraId="2EE733B2" w14:textId="2B6DA7C9" w:rsidR="00CB77B3" w:rsidRDefault="00CB77B3" w:rsidP="00E12E78">
            <w:pPr>
              <w:rPr>
                <w:lang w:val="en-US"/>
              </w:rPr>
            </w:pPr>
            <w:r>
              <w:rPr>
                <w:lang w:val="en-US"/>
              </w:rPr>
              <w:t>Figure 4.19</w:t>
            </w:r>
          </w:p>
        </w:tc>
        <w:tc>
          <w:tcPr>
            <w:tcW w:w="6395" w:type="dxa"/>
          </w:tcPr>
          <w:p w14:paraId="76B70D0D" w14:textId="0F22173C" w:rsidR="00CB77B3" w:rsidRPr="00DD4631" w:rsidRDefault="00CB77B3" w:rsidP="00E12E78">
            <w:pPr>
              <w:spacing w:line="276" w:lineRule="auto"/>
            </w:pPr>
            <w:r>
              <w:t xml:space="preserve">Average IVD in the microgrid in March </w:t>
            </w:r>
            <w:r w:rsidRPr="005056D1">
              <w:t>(Scenario 1)</w:t>
            </w:r>
          </w:p>
        </w:tc>
        <w:tc>
          <w:tcPr>
            <w:tcW w:w="890" w:type="dxa"/>
          </w:tcPr>
          <w:p w14:paraId="677CA04F" w14:textId="5BB6B265" w:rsidR="00CB77B3" w:rsidRPr="00DD4631" w:rsidRDefault="00FC41BC" w:rsidP="00E12E78">
            <w:pPr>
              <w:spacing w:line="276" w:lineRule="auto"/>
            </w:pPr>
            <w:r>
              <w:t>123</w:t>
            </w:r>
          </w:p>
        </w:tc>
      </w:tr>
      <w:tr w:rsidR="00CB77B3" w14:paraId="6C34A8EA" w14:textId="77777777" w:rsidTr="00DE5612">
        <w:tc>
          <w:tcPr>
            <w:tcW w:w="1345" w:type="dxa"/>
          </w:tcPr>
          <w:p w14:paraId="43D665E7" w14:textId="7C2BD812" w:rsidR="00CB77B3" w:rsidRDefault="00CB77B3" w:rsidP="00E12E78">
            <w:pPr>
              <w:rPr>
                <w:lang w:val="en-US"/>
              </w:rPr>
            </w:pPr>
            <w:r>
              <w:rPr>
                <w:lang w:val="en-US"/>
              </w:rPr>
              <w:t>Figure 4.20</w:t>
            </w:r>
          </w:p>
        </w:tc>
        <w:tc>
          <w:tcPr>
            <w:tcW w:w="6395" w:type="dxa"/>
          </w:tcPr>
          <w:p w14:paraId="13102FCE" w14:textId="5F5CB258" w:rsidR="00CB77B3" w:rsidRPr="00DD4631" w:rsidRDefault="00CB77B3" w:rsidP="00E12E78">
            <w:pPr>
              <w:spacing w:line="276" w:lineRule="auto"/>
            </w:pPr>
            <w:r>
              <w:t xml:space="preserve">Average IVD in the microgrid in April </w:t>
            </w:r>
            <w:r w:rsidRPr="005056D1">
              <w:t>(Scenario 1)</w:t>
            </w:r>
          </w:p>
        </w:tc>
        <w:tc>
          <w:tcPr>
            <w:tcW w:w="890" w:type="dxa"/>
          </w:tcPr>
          <w:p w14:paraId="6F069FFD" w14:textId="0B2F16A0" w:rsidR="00CB77B3" w:rsidRPr="00DD4631" w:rsidRDefault="00FC41BC" w:rsidP="00E12E78">
            <w:pPr>
              <w:spacing w:line="276" w:lineRule="auto"/>
            </w:pPr>
            <w:r>
              <w:t>124</w:t>
            </w:r>
          </w:p>
        </w:tc>
      </w:tr>
      <w:tr w:rsidR="00CB77B3" w14:paraId="117FEBCE" w14:textId="77777777" w:rsidTr="00DE5612">
        <w:tc>
          <w:tcPr>
            <w:tcW w:w="1345" w:type="dxa"/>
          </w:tcPr>
          <w:p w14:paraId="3B410A86" w14:textId="4997E7E9" w:rsidR="00CB77B3" w:rsidRDefault="00CB77B3" w:rsidP="00E12E78">
            <w:pPr>
              <w:rPr>
                <w:lang w:val="en-US"/>
              </w:rPr>
            </w:pPr>
            <w:r>
              <w:rPr>
                <w:lang w:val="en-US"/>
              </w:rPr>
              <w:t>Figure 4.21</w:t>
            </w:r>
          </w:p>
        </w:tc>
        <w:tc>
          <w:tcPr>
            <w:tcW w:w="6395" w:type="dxa"/>
          </w:tcPr>
          <w:p w14:paraId="493D97B6" w14:textId="6E2E9D9C" w:rsidR="00CB77B3" w:rsidRPr="00DD4631" w:rsidRDefault="00CB77B3" w:rsidP="00E12E78">
            <w:pPr>
              <w:spacing w:line="276" w:lineRule="auto"/>
            </w:pPr>
            <w:r>
              <w:t xml:space="preserve">Average IVD in the microgrid in May </w:t>
            </w:r>
            <w:r w:rsidRPr="005056D1">
              <w:t>(Scenario 1)</w:t>
            </w:r>
          </w:p>
        </w:tc>
        <w:tc>
          <w:tcPr>
            <w:tcW w:w="890" w:type="dxa"/>
          </w:tcPr>
          <w:p w14:paraId="5AF20392" w14:textId="0ECC811F" w:rsidR="00CB77B3" w:rsidRPr="00DD4631" w:rsidRDefault="00FC41BC" w:rsidP="00E12E78">
            <w:pPr>
              <w:spacing w:line="276" w:lineRule="auto"/>
            </w:pPr>
            <w:r>
              <w:t>125</w:t>
            </w:r>
          </w:p>
        </w:tc>
      </w:tr>
      <w:tr w:rsidR="00CB77B3" w14:paraId="11262403" w14:textId="77777777" w:rsidTr="00DE5612">
        <w:tc>
          <w:tcPr>
            <w:tcW w:w="1345" w:type="dxa"/>
          </w:tcPr>
          <w:p w14:paraId="738609A9" w14:textId="597518D0" w:rsidR="00CB77B3" w:rsidRDefault="00CB77B3" w:rsidP="00E12E78">
            <w:pPr>
              <w:rPr>
                <w:lang w:val="en-US"/>
              </w:rPr>
            </w:pPr>
            <w:r>
              <w:rPr>
                <w:lang w:val="en-US"/>
              </w:rPr>
              <w:t>Figure 4.22</w:t>
            </w:r>
          </w:p>
        </w:tc>
        <w:tc>
          <w:tcPr>
            <w:tcW w:w="6395" w:type="dxa"/>
          </w:tcPr>
          <w:p w14:paraId="782D91B3" w14:textId="6BDA2E0D" w:rsidR="00CB77B3" w:rsidRPr="00DD4631" w:rsidRDefault="00CB77B3" w:rsidP="00E12E78">
            <w:pPr>
              <w:spacing w:line="276" w:lineRule="auto"/>
            </w:pPr>
            <w:r>
              <w:t xml:space="preserve">Average IVD in the microgrid in June </w:t>
            </w:r>
            <w:r w:rsidRPr="005056D1">
              <w:t>(Scenario 1)</w:t>
            </w:r>
          </w:p>
        </w:tc>
        <w:tc>
          <w:tcPr>
            <w:tcW w:w="890" w:type="dxa"/>
          </w:tcPr>
          <w:p w14:paraId="073B833B" w14:textId="52976C86" w:rsidR="00CB77B3" w:rsidRPr="00DD4631" w:rsidRDefault="00FC41BC" w:rsidP="00E12E78">
            <w:pPr>
              <w:spacing w:line="276" w:lineRule="auto"/>
            </w:pPr>
            <w:r>
              <w:t>126</w:t>
            </w:r>
          </w:p>
        </w:tc>
      </w:tr>
      <w:tr w:rsidR="00CB77B3" w14:paraId="3B552B20" w14:textId="77777777" w:rsidTr="00DE5612">
        <w:tc>
          <w:tcPr>
            <w:tcW w:w="1345" w:type="dxa"/>
          </w:tcPr>
          <w:p w14:paraId="7F4035B1" w14:textId="1BDBBA72" w:rsidR="00CB77B3" w:rsidRDefault="00CB77B3" w:rsidP="00E12E78">
            <w:pPr>
              <w:rPr>
                <w:lang w:val="en-US"/>
              </w:rPr>
            </w:pPr>
            <w:r>
              <w:rPr>
                <w:lang w:val="en-US"/>
              </w:rPr>
              <w:t>Figure 4.23</w:t>
            </w:r>
          </w:p>
        </w:tc>
        <w:tc>
          <w:tcPr>
            <w:tcW w:w="6395" w:type="dxa"/>
          </w:tcPr>
          <w:p w14:paraId="5D58C6C1" w14:textId="3747F1E4" w:rsidR="00CB77B3" w:rsidRPr="00DD4631" w:rsidRDefault="00CB77B3" w:rsidP="00E12E78">
            <w:pPr>
              <w:spacing w:line="276" w:lineRule="auto"/>
            </w:pPr>
            <w:r>
              <w:t xml:space="preserve">Average IVD in the microgrid in July </w:t>
            </w:r>
            <w:r w:rsidRPr="005056D1">
              <w:t>(Scenario 1)</w:t>
            </w:r>
          </w:p>
        </w:tc>
        <w:tc>
          <w:tcPr>
            <w:tcW w:w="890" w:type="dxa"/>
          </w:tcPr>
          <w:p w14:paraId="31CDB2E8" w14:textId="4D14A4E1" w:rsidR="00CB77B3" w:rsidRPr="00DD4631" w:rsidRDefault="00FC41BC" w:rsidP="00E12E78">
            <w:pPr>
              <w:spacing w:line="276" w:lineRule="auto"/>
            </w:pPr>
            <w:r>
              <w:t>126</w:t>
            </w:r>
          </w:p>
        </w:tc>
      </w:tr>
      <w:tr w:rsidR="00CB77B3" w14:paraId="7F5A11D4" w14:textId="77777777" w:rsidTr="00DE5612">
        <w:tc>
          <w:tcPr>
            <w:tcW w:w="1345" w:type="dxa"/>
          </w:tcPr>
          <w:p w14:paraId="002021A8" w14:textId="3E7C2F05" w:rsidR="00CB77B3" w:rsidRDefault="00CB77B3" w:rsidP="00E12E78">
            <w:pPr>
              <w:rPr>
                <w:lang w:val="en-US"/>
              </w:rPr>
            </w:pPr>
            <w:r>
              <w:rPr>
                <w:lang w:val="en-US"/>
              </w:rPr>
              <w:t>Figure 4.24</w:t>
            </w:r>
          </w:p>
        </w:tc>
        <w:tc>
          <w:tcPr>
            <w:tcW w:w="6395" w:type="dxa"/>
          </w:tcPr>
          <w:p w14:paraId="6BB7E61F" w14:textId="45176E84" w:rsidR="00CB77B3" w:rsidRPr="00DD4631" w:rsidRDefault="00CB77B3" w:rsidP="00E12E78">
            <w:pPr>
              <w:spacing w:line="276" w:lineRule="auto"/>
            </w:pPr>
            <w:r>
              <w:t xml:space="preserve">Average IVD in the microgrid in August </w:t>
            </w:r>
            <w:r w:rsidRPr="005056D1">
              <w:t>(Scenario 1)</w:t>
            </w:r>
          </w:p>
        </w:tc>
        <w:tc>
          <w:tcPr>
            <w:tcW w:w="890" w:type="dxa"/>
          </w:tcPr>
          <w:p w14:paraId="09042708" w14:textId="78472421" w:rsidR="00CB77B3" w:rsidRPr="00DD4631" w:rsidRDefault="00FC41BC" w:rsidP="00E12E78">
            <w:pPr>
              <w:spacing w:line="276" w:lineRule="auto"/>
            </w:pPr>
            <w:r>
              <w:t>127</w:t>
            </w:r>
          </w:p>
        </w:tc>
      </w:tr>
      <w:tr w:rsidR="00CB77B3" w14:paraId="0ADFF9EC" w14:textId="77777777" w:rsidTr="00DE5612">
        <w:tc>
          <w:tcPr>
            <w:tcW w:w="1345" w:type="dxa"/>
          </w:tcPr>
          <w:p w14:paraId="3D6AED7F" w14:textId="3FA7E13E" w:rsidR="00CB77B3" w:rsidRDefault="00CB77B3" w:rsidP="00E12E78">
            <w:pPr>
              <w:rPr>
                <w:lang w:val="en-US"/>
              </w:rPr>
            </w:pPr>
            <w:r>
              <w:rPr>
                <w:lang w:val="en-US"/>
              </w:rPr>
              <w:t>Figure 4.25</w:t>
            </w:r>
          </w:p>
        </w:tc>
        <w:tc>
          <w:tcPr>
            <w:tcW w:w="6395" w:type="dxa"/>
          </w:tcPr>
          <w:p w14:paraId="4A26082A" w14:textId="6962111E" w:rsidR="00CB77B3" w:rsidRPr="00DD4631" w:rsidRDefault="00CB77B3" w:rsidP="00E12E78">
            <w:pPr>
              <w:spacing w:line="276" w:lineRule="auto"/>
            </w:pPr>
            <w:r>
              <w:t xml:space="preserve">Average IVD in the microgrid in September </w:t>
            </w:r>
            <w:r w:rsidRPr="005056D1">
              <w:t>(Scenario 1)</w:t>
            </w:r>
          </w:p>
        </w:tc>
        <w:tc>
          <w:tcPr>
            <w:tcW w:w="890" w:type="dxa"/>
          </w:tcPr>
          <w:p w14:paraId="301403BB" w14:textId="7015974C" w:rsidR="00CB77B3" w:rsidRPr="00DD4631" w:rsidRDefault="00FC41BC" w:rsidP="00E12E78">
            <w:pPr>
              <w:spacing w:line="276" w:lineRule="auto"/>
            </w:pPr>
            <w:r>
              <w:t>128</w:t>
            </w:r>
          </w:p>
        </w:tc>
      </w:tr>
      <w:tr w:rsidR="00CB77B3" w14:paraId="7F99C5D7" w14:textId="77777777" w:rsidTr="00DE5612">
        <w:tc>
          <w:tcPr>
            <w:tcW w:w="1345" w:type="dxa"/>
          </w:tcPr>
          <w:p w14:paraId="4D83962B" w14:textId="066A7E76" w:rsidR="00CB77B3" w:rsidRDefault="00CB77B3" w:rsidP="00E12E78">
            <w:pPr>
              <w:rPr>
                <w:lang w:val="en-US"/>
              </w:rPr>
            </w:pPr>
            <w:r>
              <w:rPr>
                <w:lang w:val="en-US"/>
              </w:rPr>
              <w:t>Figure 4.26</w:t>
            </w:r>
          </w:p>
        </w:tc>
        <w:tc>
          <w:tcPr>
            <w:tcW w:w="6395" w:type="dxa"/>
          </w:tcPr>
          <w:p w14:paraId="4C24DBBE" w14:textId="59FAF3D6" w:rsidR="00CB77B3" w:rsidRPr="00DD4631" w:rsidRDefault="00CB77B3" w:rsidP="00E12E78">
            <w:pPr>
              <w:spacing w:line="276" w:lineRule="auto"/>
            </w:pPr>
            <w:r>
              <w:t xml:space="preserve">Average IVD in the microgrid in October </w:t>
            </w:r>
            <w:r w:rsidRPr="005056D1">
              <w:t>(Scenario 1)</w:t>
            </w:r>
          </w:p>
        </w:tc>
        <w:tc>
          <w:tcPr>
            <w:tcW w:w="890" w:type="dxa"/>
          </w:tcPr>
          <w:p w14:paraId="3D0EE5FC" w14:textId="5846974A" w:rsidR="00CB77B3" w:rsidRPr="00DD4631" w:rsidRDefault="00FC41BC" w:rsidP="00E12E78">
            <w:pPr>
              <w:spacing w:line="276" w:lineRule="auto"/>
            </w:pPr>
            <w:r>
              <w:t>129</w:t>
            </w:r>
          </w:p>
        </w:tc>
      </w:tr>
      <w:tr w:rsidR="00CB77B3" w14:paraId="012FBA76" w14:textId="77777777" w:rsidTr="00DE5612">
        <w:tc>
          <w:tcPr>
            <w:tcW w:w="1345" w:type="dxa"/>
          </w:tcPr>
          <w:p w14:paraId="4947CC61" w14:textId="22414A6B" w:rsidR="00CB77B3" w:rsidRDefault="00CB77B3" w:rsidP="00BD6603">
            <w:pPr>
              <w:rPr>
                <w:lang w:val="en-US"/>
              </w:rPr>
            </w:pPr>
            <w:r>
              <w:rPr>
                <w:lang w:val="en-US"/>
              </w:rPr>
              <w:t>Figure 4.27</w:t>
            </w:r>
          </w:p>
        </w:tc>
        <w:tc>
          <w:tcPr>
            <w:tcW w:w="6395" w:type="dxa"/>
          </w:tcPr>
          <w:p w14:paraId="62788811" w14:textId="5EBD84AD" w:rsidR="00CB77B3" w:rsidRPr="00DD4631" w:rsidRDefault="00CB77B3" w:rsidP="00BD6603">
            <w:pPr>
              <w:spacing w:line="276" w:lineRule="auto"/>
            </w:pPr>
            <w:r>
              <w:t xml:space="preserve">Average IVD in the microgrid in November </w:t>
            </w:r>
            <w:r w:rsidRPr="005056D1">
              <w:t>(Scenario 1)</w:t>
            </w:r>
          </w:p>
        </w:tc>
        <w:tc>
          <w:tcPr>
            <w:tcW w:w="890" w:type="dxa"/>
          </w:tcPr>
          <w:p w14:paraId="4508E46B" w14:textId="0242E78C" w:rsidR="00CB77B3" w:rsidRPr="00DD4631" w:rsidRDefault="00FC41BC" w:rsidP="00BD6603">
            <w:pPr>
              <w:spacing w:line="276" w:lineRule="auto"/>
            </w:pPr>
            <w:r>
              <w:t>129</w:t>
            </w:r>
          </w:p>
        </w:tc>
      </w:tr>
      <w:tr w:rsidR="00CB77B3" w14:paraId="77DE0B34" w14:textId="77777777" w:rsidTr="00DE5612">
        <w:tc>
          <w:tcPr>
            <w:tcW w:w="1345" w:type="dxa"/>
          </w:tcPr>
          <w:p w14:paraId="21B035AA" w14:textId="0AFAE41B" w:rsidR="00CB77B3" w:rsidRDefault="00CB77B3" w:rsidP="00BD6603">
            <w:pPr>
              <w:rPr>
                <w:lang w:val="en-US"/>
              </w:rPr>
            </w:pPr>
            <w:r>
              <w:rPr>
                <w:lang w:val="en-US"/>
              </w:rPr>
              <w:t>Figure 4.28</w:t>
            </w:r>
          </w:p>
        </w:tc>
        <w:tc>
          <w:tcPr>
            <w:tcW w:w="6395" w:type="dxa"/>
          </w:tcPr>
          <w:p w14:paraId="000772E2" w14:textId="073191F4" w:rsidR="00CB77B3" w:rsidRDefault="00CB77B3" w:rsidP="00BD6603">
            <w:pPr>
              <w:spacing w:line="276" w:lineRule="auto"/>
            </w:pPr>
            <w:r>
              <w:t xml:space="preserve">Average IVD in the microgrid in December </w:t>
            </w:r>
            <w:r w:rsidRPr="005056D1">
              <w:t>(Scenario 1)</w:t>
            </w:r>
          </w:p>
        </w:tc>
        <w:tc>
          <w:tcPr>
            <w:tcW w:w="890" w:type="dxa"/>
          </w:tcPr>
          <w:p w14:paraId="38CEFD74" w14:textId="7882F172" w:rsidR="00CB77B3" w:rsidRDefault="00FC41BC" w:rsidP="00BD6603">
            <w:pPr>
              <w:spacing w:line="276" w:lineRule="auto"/>
            </w:pPr>
            <w:r>
              <w:t>131</w:t>
            </w:r>
          </w:p>
        </w:tc>
      </w:tr>
      <w:tr w:rsidR="00CB77B3" w14:paraId="72911A95" w14:textId="77777777" w:rsidTr="00DE5612">
        <w:tc>
          <w:tcPr>
            <w:tcW w:w="1345" w:type="dxa"/>
          </w:tcPr>
          <w:p w14:paraId="1C60BCFC" w14:textId="62E65D08" w:rsidR="00CB77B3" w:rsidRDefault="00CB77B3" w:rsidP="00BD6603">
            <w:pPr>
              <w:rPr>
                <w:lang w:val="en-US"/>
              </w:rPr>
            </w:pPr>
            <w:r>
              <w:rPr>
                <w:lang w:val="en-US"/>
              </w:rPr>
              <w:t>Figure 4.29</w:t>
            </w:r>
          </w:p>
        </w:tc>
        <w:tc>
          <w:tcPr>
            <w:tcW w:w="6395" w:type="dxa"/>
          </w:tcPr>
          <w:p w14:paraId="463EC306" w14:textId="3785AEE7" w:rsidR="00CB77B3" w:rsidRDefault="00CB77B3" w:rsidP="00BD6603">
            <w:pPr>
              <w:spacing w:line="276" w:lineRule="auto"/>
            </w:pPr>
            <w:r>
              <w:t>Average IVD in the microgrid in January (Scenario 2)</w:t>
            </w:r>
          </w:p>
        </w:tc>
        <w:tc>
          <w:tcPr>
            <w:tcW w:w="890" w:type="dxa"/>
          </w:tcPr>
          <w:p w14:paraId="70CC8ED9" w14:textId="4E23F84F" w:rsidR="00CB77B3" w:rsidRDefault="00FC41BC" w:rsidP="00BD6603">
            <w:pPr>
              <w:spacing w:line="276" w:lineRule="auto"/>
            </w:pPr>
            <w:r>
              <w:t>138</w:t>
            </w:r>
          </w:p>
        </w:tc>
      </w:tr>
      <w:tr w:rsidR="00CB77B3" w14:paraId="1219ADEE" w14:textId="77777777" w:rsidTr="00DE5612">
        <w:tc>
          <w:tcPr>
            <w:tcW w:w="1345" w:type="dxa"/>
          </w:tcPr>
          <w:p w14:paraId="43B5BACB" w14:textId="26B29716" w:rsidR="00CB77B3" w:rsidRDefault="00CB77B3" w:rsidP="00BD6603">
            <w:pPr>
              <w:rPr>
                <w:lang w:val="en-US"/>
              </w:rPr>
            </w:pPr>
            <w:r>
              <w:rPr>
                <w:lang w:val="en-US"/>
              </w:rPr>
              <w:t>Figure 4.30</w:t>
            </w:r>
          </w:p>
        </w:tc>
        <w:tc>
          <w:tcPr>
            <w:tcW w:w="6395" w:type="dxa"/>
          </w:tcPr>
          <w:p w14:paraId="2DCBD08B" w14:textId="1EF16605" w:rsidR="00CB77B3" w:rsidRDefault="00CB77B3" w:rsidP="00BD6603">
            <w:pPr>
              <w:spacing w:line="276" w:lineRule="auto"/>
            </w:pPr>
            <w:r>
              <w:t>Average IVD in the microgrid in February (Scenario 2)</w:t>
            </w:r>
          </w:p>
        </w:tc>
        <w:tc>
          <w:tcPr>
            <w:tcW w:w="890" w:type="dxa"/>
          </w:tcPr>
          <w:p w14:paraId="7F0C3351" w14:textId="489E8AFB" w:rsidR="00CB77B3" w:rsidRDefault="00FC41BC" w:rsidP="00BD6603">
            <w:pPr>
              <w:spacing w:line="276" w:lineRule="auto"/>
            </w:pPr>
            <w:r>
              <w:t>139</w:t>
            </w:r>
          </w:p>
        </w:tc>
      </w:tr>
      <w:tr w:rsidR="00CB77B3" w14:paraId="1E867752" w14:textId="77777777" w:rsidTr="00DE5612">
        <w:tc>
          <w:tcPr>
            <w:tcW w:w="1345" w:type="dxa"/>
          </w:tcPr>
          <w:p w14:paraId="7E322E8B" w14:textId="3A417CCB" w:rsidR="00CB77B3" w:rsidRDefault="00CB77B3" w:rsidP="00BD6603">
            <w:pPr>
              <w:rPr>
                <w:lang w:val="en-US"/>
              </w:rPr>
            </w:pPr>
            <w:r>
              <w:rPr>
                <w:lang w:val="en-US"/>
              </w:rPr>
              <w:t>Figure 4.31</w:t>
            </w:r>
          </w:p>
        </w:tc>
        <w:tc>
          <w:tcPr>
            <w:tcW w:w="6395" w:type="dxa"/>
          </w:tcPr>
          <w:p w14:paraId="66307558" w14:textId="0B823052" w:rsidR="00CB77B3" w:rsidRDefault="00CB77B3" w:rsidP="00BD6603">
            <w:pPr>
              <w:spacing w:line="276" w:lineRule="auto"/>
            </w:pPr>
            <w:r>
              <w:t>Average IVD in the microgrid in March (Scenario 2)</w:t>
            </w:r>
          </w:p>
        </w:tc>
        <w:tc>
          <w:tcPr>
            <w:tcW w:w="890" w:type="dxa"/>
          </w:tcPr>
          <w:p w14:paraId="6C128BB4" w14:textId="5591852C" w:rsidR="00CB77B3" w:rsidRDefault="00FC41BC" w:rsidP="00BD6603">
            <w:pPr>
              <w:spacing w:line="276" w:lineRule="auto"/>
            </w:pPr>
            <w:r>
              <w:t>140</w:t>
            </w:r>
          </w:p>
        </w:tc>
      </w:tr>
      <w:tr w:rsidR="00CB77B3" w14:paraId="5B8C3DEC" w14:textId="77777777" w:rsidTr="00DE5612">
        <w:tc>
          <w:tcPr>
            <w:tcW w:w="1345" w:type="dxa"/>
          </w:tcPr>
          <w:p w14:paraId="279C533E" w14:textId="7EC2482A" w:rsidR="00CB77B3" w:rsidRDefault="00CB77B3" w:rsidP="00BD6603">
            <w:pPr>
              <w:rPr>
                <w:lang w:val="en-US"/>
              </w:rPr>
            </w:pPr>
            <w:r>
              <w:rPr>
                <w:lang w:val="en-US"/>
              </w:rPr>
              <w:t>Figure 4.32</w:t>
            </w:r>
          </w:p>
        </w:tc>
        <w:tc>
          <w:tcPr>
            <w:tcW w:w="6395" w:type="dxa"/>
          </w:tcPr>
          <w:p w14:paraId="33322BD2" w14:textId="1D4FB32C" w:rsidR="00CB77B3" w:rsidRDefault="00CB77B3" w:rsidP="00BD6603">
            <w:pPr>
              <w:spacing w:line="276" w:lineRule="auto"/>
            </w:pPr>
            <w:r>
              <w:t>Average IVD in the microgrid in April (Scenario 2)</w:t>
            </w:r>
          </w:p>
        </w:tc>
        <w:tc>
          <w:tcPr>
            <w:tcW w:w="890" w:type="dxa"/>
          </w:tcPr>
          <w:p w14:paraId="26C7D6E8" w14:textId="070D1857" w:rsidR="00CB77B3" w:rsidRDefault="00FC41BC" w:rsidP="00BD6603">
            <w:pPr>
              <w:spacing w:line="276" w:lineRule="auto"/>
            </w:pPr>
            <w:r>
              <w:t>141</w:t>
            </w:r>
          </w:p>
        </w:tc>
      </w:tr>
      <w:tr w:rsidR="00CB77B3" w14:paraId="6328F34D" w14:textId="77777777" w:rsidTr="00DE5612">
        <w:tc>
          <w:tcPr>
            <w:tcW w:w="1345" w:type="dxa"/>
          </w:tcPr>
          <w:p w14:paraId="2E30770E" w14:textId="78D06BD2" w:rsidR="00CB77B3" w:rsidRDefault="00CB77B3" w:rsidP="00BD6603">
            <w:pPr>
              <w:rPr>
                <w:lang w:val="en-US"/>
              </w:rPr>
            </w:pPr>
            <w:r>
              <w:rPr>
                <w:lang w:val="en-US"/>
              </w:rPr>
              <w:t>Figure 4.33</w:t>
            </w:r>
          </w:p>
        </w:tc>
        <w:tc>
          <w:tcPr>
            <w:tcW w:w="6395" w:type="dxa"/>
          </w:tcPr>
          <w:p w14:paraId="14541248" w14:textId="3A52D89F" w:rsidR="00CB77B3" w:rsidRDefault="00CB77B3" w:rsidP="00BD6603">
            <w:pPr>
              <w:spacing w:line="276" w:lineRule="auto"/>
            </w:pPr>
            <w:r>
              <w:t>Average IVD in the microgrid in May (Scenario 2)</w:t>
            </w:r>
          </w:p>
        </w:tc>
        <w:tc>
          <w:tcPr>
            <w:tcW w:w="890" w:type="dxa"/>
          </w:tcPr>
          <w:p w14:paraId="784DFE7D" w14:textId="13827929" w:rsidR="00CB77B3" w:rsidRDefault="00FC41BC" w:rsidP="00BD6603">
            <w:pPr>
              <w:spacing w:line="276" w:lineRule="auto"/>
            </w:pPr>
            <w:r>
              <w:t>142</w:t>
            </w:r>
          </w:p>
        </w:tc>
      </w:tr>
      <w:tr w:rsidR="00CB77B3" w14:paraId="5C941B78" w14:textId="77777777" w:rsidTr="00DE5612">
        <w:tc>
          <w:tcPr>
            <w:tcW w:w="1345" w:type="dxa"/>
          </w:tcPr>
          <w:p w14:paraId="350AAE69" w14:textId="252A3DF8" w:rsidR="00CB77B3" w:rsidRDefault="00CB77B3" w:rsidP="00BD6603">
            <w:pPr>
              <w:rPr>
                <w:lang w:val="en-US"/>
              </w:rPr>
            </w:pPr>
            <w:r>
              <w:rPr>
                <w:lang w:val="en-US"/>
              </w:rPr>
              <w:t>Figure 4.34</w:t>
            </w:r>
          </w:p>
        </w:tc>
        <w:tc>
          <w:tcPr>
            <w:tcW w:w="6395" w:type="dxa"/>
          </w:tcPr>
          <w:p w14:paraId="75D1B906" w14:textId="02EAF62D" w:rsidR="00CB77B3" w:rsidRDefault="00CB77B3" w:rsidP="00BD6603">
            <w:pPr>
              <w:spacing w:line="276" w:lineRule="auto"/>
            </w:pPr>
            <w:r>
              <w:t>Average IVD in the microgrid in June (Scenario 2)</w:t>
            </w:r>
          </w:p>
        </w:tc>
        <w:tc>
          <w:tcPr>
            <w:tcW w:w="890" w:type="dxa"/>
          </w:tcPr>
          <w:p w14:paraId="09B414F1" w14:textId="63C7DA5B" w:rsidR="00CB77B3" w:rsidRDefault="00FC41BC" w:rsidP="00BD6603">
            <w:pPr>
              <w:spacing w:line="276" w:lineRule="auto"/>
            </w:pPr>
            <w:r>
              <w:t>142</w:t>
            </w:r>
          </w:p>
        </w:tc>
      </w:tr>
      <w:tr w:rsidR="00CB77B3" w14:paraId="5017A425" w14:textId="77777777" w:rsidTr="00DE5612">
        <w:tc>
          <w:tcPr>
            <w:tcW w:w="1345" w:type="dxa"/>
          </w:tcPr>
          <w:p w14:paraId="38EEB418" w14:textId="45ADC4C7" w:rsidR="00CB77B3" w:rsidRDefault="00CB77B3" w:rsidP="00BD6603">
            <w:pPr>
              <w:rPr>
                <w:lang w:val="en-US"/>
              </w:rPr>
            </w:pPr>
            <w:r>
              <w:rPr>
                <w:lang w:val="en-US"/>
              </w:rPr>
              <w:t>Figure 4.35</w:t>
            </w:r>
          </w:p>
        </w:tc>
        <w:tc>
          <w:tcPr>
            <w:tcW w:w="6395" w:type="dxa"/>
          </w:tcPr>
          <w:p w14:paraId="387FCCF8" w14:textId="2140D623" w:rsidR="00CB77B3" w:rsidRDefault="00CB77B3" w:rsidP="00BD6603">
            <w:pPr>
              <w:spacing w:line="276" w:lineRule="auto"/>
            </w:pPr>
            <w:r>
              <w:t>Average IVD in the microgrid in July (Scenario 2)</w:t>
            </w:r>
          </w:p>
        </w:tc>
        <w:tc>
          <w:tcPr>
            <w:tcW w:w="890" w:type="dxa"/>
          </w:tcPr>
          <w:p w14:paraId="19E70E2D" w14:textId="48E34C61" w:rsidR="00CB77B3" w:rsidRDefault="00FC41BC" w:rsidP="00BD6603">
            <w:pPr>
              <w:spacing w:line="276" w:lineRule="auto"/>
            </w:pPr>
            <w:r>
              <w:t>143</w:t>
            </w:r>
          </w:p>
        </w:tc>
      </w:tr>
      <w:tr w:rsidR="00CB77B3" w14:paraId="708E1870" w14:textId="77777777" w:rsidTr="00DE5612">
        <w:tc>
          <w:tcPr>
            <w:tcW w:w="1345" w:type="dxa"/>
          </w:tcPr>
          <w:p w14:paraId="36010A71" w14:textId="09011841" w:rsidR="00CB77B3" w:rsidRDefault="00CB77B3" w:rsidP="00BD6603">
            <w:pPr>
              <w:rPr>
                <w:lang w:val="en-US"/>
              </w:rPr>
            </w:pPr>
            <w:r>
              <w:rPr>
                <w:lang w:val="en-US"/>
              </w:rPr>
              <w:t>Figure 4.36</w:t>
            </w:r>
          </w:p>
        </w:tc>
        <w:tc>
          <w:tcPr>
            <w:tcW w:w="6395" w:type="dxa"/>
          </w:tcPr>
          <w:p w14:paraId="60FA5336" w14:textId="420B33BA" w:rsidR="00CB77B3" w:rsidRDefault="00CB77B3" w:rsidP="00BD6603">
            <w:pPr>
              <w:spacing w:line="276" w:lineRule="auto"/>
            </w:pPr>
            <w:r w:rsidRPr="00A452D4">
              <w:t>Average IVD in the microgrid in August (Scenario 2)</w:t>
            </w:r>
          </w:p>
        </w:tc>
        <w:tc>
          <w:tcPr>
            <w:tcW w:w="890" w:type="dxa"/>
          </w:tcPr>
          <w:p w14:paraId="7E57275D" w14:textId="55212F88" w:rsidR="00CB77B3" w:rsidRDefault="00FC41BC" w:rsidP="00BD6603">
            <w:pPr>
              <w:spacing w:line="276" w:lineRule="auto"/>
            </w:pPr>
            <w:r>
              <w:t>144</w:t>
            </w:r>
          </w:p>
        </w:tc>
      </w:tr>
      <w:tr w:rsidR="00CB77B3" w14:paraId="578A41CC" w14:textId="77777777" w:rsidTr="00DE5612">
        <w:tc>
          <w:tcPr>
            <w:tcW w:w="1345" w:type="dxa"/>
          </w:tcPr>
          <w:p w14:paraId="164C720F" w14:textId="0E71B5F7" w:rsidR="00CB77B3" w:rsidRDefault="00CB77B3" w:rsidP="00BD6603">
            <w:pPr>
              <w:rPr>
                <w:lang w:val="en-US"/>
              </w:rPr>
            </w:pPr>
            <w:r>
              <w:rPr>
                <w:lang w:val="en-US"/>
              </w:rPr>
              <w:t>Figure 4.37</w:t>
            </w:r>
          </w:p>
        </w:tc>
        <w:tc>
          <w:tcPr>
            <w:tcW w:w="6395" w:type="dxa"/>
          </w:tcPr>
          <w:p w14:paraId="0DC0562F" w14:textId="2FCFF954" w:rsidR="00CB77B3" w:rsidRDefault="00CB77B3" w:rsidP="00BD6603">
            <w:pPr>
              <w:spacing w:line="276" w:lineRule="auto"/>
            </w:pPr>
            <w:r w:rsidRPr="00A452D4">
              <w:t>Average IVD in the microgrid in September (Scenario 2)</w:t>
            </w:r>
          </w:p>
        </w:tc>
        <w:tc>
          <w:tcPr>
            <w:tcW w:w="890" w:type="dxa"/>
          </w:tcPr>
          <w:p w14:paraId="26B70D69" w14:textId="07DFB5C1" w:rsidR="00CB77B3" w:rsidRDefault="00FC41BC" w:rsidP="00BD6603">
            <w:pPr>
              <w:spacing w:line="276" w:lineRule="auto"/>
            </w:pPr>
            <w:r>
              <w:t>145</w:t>
            </w:r>
          </w:p>
        </w:tc>
      </w:tr>
      <w:tr w:rsidR="00CB77B3" w14:paraId="2CF4FD5C" w14:textId="77777777" w:rsidTr="00DE5612">
        <w:tc>
          <w:tcPr>
            <w:tcW w:w="1345" w:type="dxa"/>
          </w:tcPr>
          <w:p w14:paraId="6E0B01FA" w14:textId="30A9ACC6" w:rsidR="00CB77B3" w:rsidRDefault="00CB77B3" w:rsidP="00BD6603">
            <w:pPr>
              <w:rPr>
                <w:lang w:val="en-US"/>
              </w:rPr>
            </w:pPr>
            <w:r>
              <w:rPr>
                <w:lang w:val="en-US"/>
              </w:rPr>
              <w:t>Figure 4.38</w:t>
            </w:r>
          </w:p>
        </w:tc>
        <w:tc>
          <w:tcPr>
            <w:tcW w:w="6395" w:type="dxa"/>
          </w:tcPr>
          <w:p w14:paraId="3757CFFA" w14:textId="137FA39C" w:rsidR="00CB77B3" w:rsidRDefault="00CB77B3" w:rsidP="00BD6603">
            <w:pPr>
              <w:spacing w:line="276" w:lineRule="auto"/>
            </w:pPr>
            <w:r>
              <w:t>Average IVD in the microgrid in October (Scenario 2)</w:t>
            </w:r>
          </w:p>
        </w:tc>
        <w:tc>
          <w:tcPr>
            <w:tcW w:w="890" w:type="dxa"/>
          </w:tcPr>
          <w:p w14:paraId="3ED282E9" w14:textId="1E1D6FFC" w:rsidR="00CB77B3" w:rsidRDefault="00FC41BC" w:rsidP="00BD6603">
            <w:pPr>
              <w:spacing w:line="276" w:lineRule="auto"/>
            </w:pPr>
            <w:r>
              <w:t>146</w:t>
            </w:r>
          </w:p>
        </w:tc>
      </w:tr>
      <w:tr w:rsidR="00CB77B3" w14:paraId="30CF5766" w14:textId="77777777" w:rsidTr="00DE5612">
        <w:tc>
          <w:tcPr>
            <w:tcW w:w="1345" w:type="dxa"/>
          </w:tcPr>
          <w:p w14:paraId="4DA88EA8" w14:textId="157AC0A8" w:rsidR="00CB77B3" w:rsidRDefault="00CB77B3" w:rsidP="00BD6603">
            <w:pPr>
              <w:rPr>
                <w:lang w:val="en-US"/>
              </w:rPr>
            </w:pPr>
            <w:r>
              <w:rPr>
                <w:lang w:val="en-US"/>
              </w:rPr>
              <w:t>Figure 4.39</w:t>
            </w:r>
          </w:p>
        </w:tc>
        <w:tc>
          <w:tcPr>
            <w:tcW w:w="6395" w:type="dxa"/>
          </w:tcPr>
          <w:p w14:paraId="5675B3DF" w14:textId="78916F89" w:rsidR="00CB77B3" w:rsidRDefault="00CB77B3" w:rsidP="00BD6603">
            <w:pPr>
              <w:spacing w:line="276" w:lineRule="auto"/>
            </w:pPr>
            <w:r>
              <w:t>Average IVD in the microgrid in November (Scenario 2)</w:t>
            </w:r>
          </w:p>
        </w:tc>
        <w:tc>
          <w:tcPr>
            <w:tcW w:w="890" w:type="dxa"/>
          </w:tcPr>
          <w:p w14:paraId="7C8260FA" w14:textId="5E827DE6" w:rsidR="00CB77B3" w:rsidRDefault="00FC41BC" w:rsidP="00BD6603">
            <w:pPr>
              <w:spacing w:line="276" w:lineRule="auto"/>
            </w:pPr>
            <w:r>
              <w:t>147</w:t>
            </w:r>
          </w:p>
        </w:tc>
      </w:tr>
      <w:tr w:rsidR="00CB77B3" w14:paraId="7A81F983" w14:textId="77777777" w:rsidTr="00DE5612">
        <w:tc>
          <w:tcPr>
            <w:tcW w:w="1345" w:type="dxa"/>
          </w:tcPr>
          <w:p w14:paraId="1D58B235" w14:textId="5603D8B9" w:rsidR="00CB77B3" w:rsidRDefault="00CB77B3" w:rsidP="00BD6603">
            <w:pPr>
              <w:rPr>
                <w:lang w:val="en-US"/>
              </w:rPr>
            </w:pPr>
            <w:r>
              <w:rPr>
                <w:lang w:val="en-US"/>
              </w:rPr>
              <w:t>Figure 4.40</w:t>
            </w:r>
          </w:p>
        </w:tc>
        <w:tc>
          <w:tcPr>
            <w:tcW w:w="6395" w:type="dxa"/>
          </w:tcPr>
          <w:p w14:paraId="6EB96009" w14:textId="499EBEDD" w:rsidR="00CB77B3" w:rsidRDefault="00CB77B3" w:rsidP="00BD6603">
            <w:pPr>
              <w:spacing w:line="276" w:lineRule="auto"/>
            </w:pPr>
            <w:r w:rsidRPr="00A452D4">
              <w:t>Average IVD in the microgrid in December (Scenario 2)</w:t>
            </w:r>
          </w:p>
        </w:tc>
        <w:tc>
          <w:tcPr>
            <w:tcW w:w="890" w:type="dxa"/>
          </w:tcPr>
          <w:p w14:paraId="58A62FBB" w14:textId="54587D4E" w:rsidR="00CB77B3" w:rsidRDefault="00FC41BC" w:rsidP="00BD6603">
            <w:pPr>
              <w:spacing w:line="276" w:lineRule="auto"/>
            </w:pPr>
            <w:r>
              <w:t>148</w:t>
            </w:r>
          </w:p>
        </w:tc>
      </w:tr>
      <w:tr w:rsidR="00CB77B3" w14:paraId="262AB483" w14:textId="77777777" w:rsidTr="00DE5612">
        <w:tc>
          <w:tcPr>
            <w:tcW w:w="1345" w:type="dxa"/>
          </w:tcPr>
          <w:p w14:paraId="7D41D1C3" w14:textId="076DCDC6" w:rsidR="00CB77B3" w:rsidRDefault="00CB77B3" w:rsidP="00BD6603">
            <w:pPr>
              <w:rPr>
                <w:lang w:val="en-US"/>
              </w:rPr>
            </w:pPr>
            <w:r>
              <w:rPr>
                <w:lang w:val="en-US"/>
              </w:rPr>
              <w:t>Figure 4.41</w:t>
            </w:r>
          </w:p>
        </w:tc>
        <w:tc>
          <w:tcPr>
            <w:tcW w:w="6395" w:type="dxa"/>
          </w:tcPr>
          <w:p w14:paraId="611925DA" w14:textId="0EF3E982" w:rsidR="00CB77B3" w:rsidRPr="00A452D4" w:rsidRDefault="00CB77B3" w:rsidP="00BD6603">
            <w:pPr>
              <w:spacing w:line="276" w:lineRule="auto"/>
            </w:pPr>
            <w:r w:rsidRPr="004D0FAE">
              <w:t>Average Bus 6 IVD in the microgrid for both scenario</w:t>
            </w:r>
            <w:r>
              <w:t>s</w:t>
            </w:r>
          </w:p>
        </w:tc>
        <w:tc>
          <w:tcPr>
            <w:tcW w:w="890" w:type="dxa"/>
          </w:tcPr>
          <w:p w14:paraId="1CCE01E0" w14:textId="35BB1A57" w:rsidR="00CB77B3" w:rsidRDefault="00FC41BC" w:rsidP="00BD6603">
            <w:pPr>
              <w:spacing w:line="276" w:lineRule="auto"/>
            </w:pPr>
            <w:r>
              <w:t>149</w:t>
            </w:r>
          </w:p>
        </w:tc>
      </w:tr>
    </w:tbl>
    <w:p w14:paraId="3B448192" w14:textId="5DEF5639" w:rsidR="008D2546" w:rsidRDefault="008D2546" w:rsidP="00F03645">
      <w:pPr>
        <w:spacing w:line="480" w:lineRule="auto"/>
        <w:rPr>
          <w:lang w:val="en-US"/>
        </w:rPr>
      </w:pPr>
    </w:p>
    <w:p w14:paraId="40079D10" w14:textId="77777777" w:rsidR="00022BF8" w:rsidRDefault="00022BF8">
      <w:pPr>
        <w:spacing w:line="259" w:lineRule="auto"/>
        <w:jc w:val="left"/>
        <w:rPr>
          <w:rFonts w:eastAsiaTheme="majorEastAsia" w:cstheme="majorBidi"/>
          <w:b/>
          <w:sz w:val="32"/>
          <w:szCs w:val="32"/>
          <w:lang w:val="en-US"/>
        </w:rPr>
      </w:pPr>
      <w:r>
        <w:rPr>
          <w:lang w:val="en-US"/>
        </w:rPr>
        <w:br w:type="page"/>
      </w:r>
    </w:p>
    <w:p w14:paraId="3FE34925" w14:textId="603DDB01" w:rsidR="0043566A" w:rsidRDefault="0043566A" w:rsidP="0043566A">
      <w:pPr>
        <w:pStyle w:val="Heading1"/>
        <w:rPr>
          <w:lang w:val="en-US"/>
        </w:rPr>
      </w:pPr>
      <w:bookmarkStart w:id="12" w:name="_Toc110502550"/>
      <w:r>
        <w:rPr>
          <w:lang w:val="en-US"/>
        </w:rPr>
        <w:t>ABSTRACT</w:t>
      </w:r>
      <w:bookmarkEnd w:id="12"/>
    </w:p>
    <w:p w14:paraId="5F5D3BCA" w14:textId="05C26979" w:rsidR="0043566A" w:rsidRDefault="0043566A" w:rsidP="0043566A">
      <w:pPr>
        <w:spacing w:line="480" w:lineRule="auto"/>
        <w:rPr>
          <w:rFonts w:cs="Times New Roman"/>
          <w:szCs w:val="24"/>
          <w:lang w:val="en-US"/>
        </w:rPr>
      </w:pPr>
      <w:r>
        <w:rPr>
          <w:rFonts w:cs="Times New Roman"/>
          <w:szCs w:val="24"/>
          <w:lang w:val="en-US"/>
        </w:rPr>
        <w:t xml:space="preserve">Due to </w:t>
      </w:r>
      <w:r w:rsidR="004A4E0B">
        <w:rPr>
          <w:rFonts w:cs="Times New Roman"/>
          <w:szCs w:val="24"/>
          <w:lang w:val="en-US"/>
        </w:rPr>
        <w:t>environmental concerns</w:t>
      </w:r>
      <w:r>
        <w:rPr>
          <w:rFonts w:cs="Times New Roman"/>
          <w:szCs w:val="24"/>
          <w:lang w:val="en-US"/>
        </w:rPr>
        <w:t xml:space="preserve">, the case for </w:t>
      </w:r>
      <w:r w:rsidR="009861F9">
        <w:rPr>
          <w:rFonts w:cs="Times New Roman"/>
          <w:szCs w:val="24"/>
          <w:lang w:val="en-US"/>
        </w:rPr>
        <w:t xml:space="preserve">the </w:t>
      </w:r>
      <w:r>
        <w:rPr>
          <w:rFonts w:cs="Times New Roman"/>
          <w:szCs w:val="24"/>
          <w:lang w:val="en-US"/>
        </w:rPr>
        <w:t>development of renewable-based electricity infrastructure has grow</w:t>
      </w:r>
      <w:r w:rsidR="00647C92">
        <w:rPr>
          <w:rFonts w:cs="Times New Roman"/>
          <w:szCs w:val="24"/>
          <w:lang w:val="en-US"/>
        </w:rPr>
        <w:t>n</w:t>
      </w:r>
      <w:r>
        <w:rPr>
          <w:rFonts w:cs="Times New Roman"/>
          <w:szCs w:val="24"/>
          <w:lang w:val="en-US"/>
        </w:rPr>
        <w:t xml:space="preserve"> stronger. The electrical energy access in Arandun Town, Kwara State, Nigeria, is inadequate and in need of improvement.</w:t>
      </w:r>
      <w:r w:rsidR="00790F02">
        <w:rPr>
          <w:rFonts w:cs="Times New Roman"/>
          <w:szCs w:val="24"/>
          <w:lang w:val="en-US"/>
        </w:rPr>
        <w:t xml:space="preserve"> Most intermittent renewable sources of energy</w:t>
      </w:r>
      <w:r w:rsidR="00647C92">
        <w:rPr>
          <w:rFonts w:cs="Times New Roman"/>
          <w:szCs w:val="24"/>
          <w:lang w:val="en-US"/>
        </w:rPr>
        <w:t xml:space="preserve"> have inherent uncertainty in their availability, which could impact the utilization negatively while also affecting the </w:t>
      </w:r>
      <w:r w:rsidR="001222C0">
        <w:rPr>
          <w:rFonts w:cs="Times New Roman"/>
          <w:szCs w:val="24"/>
          <w:lang w:val="en-US"/>
        </w:rPr>
        <w:t xml:space="preserve">stability of power systems incorporating them. </w:t>
      </w:r>
      <w:r w:rsidR="001222C0" w:rsidRPr="001222C0">
        <w:rPr>
          <w:rFonts w:cs="Times New Roman"/>
          <w:szCs w:val="24"/>
          <w:lang w:val="en-US"/>
        </w:rPr>
        <w:t xml:space="preserve">This study </w:t>
      </w:r>
      <w:r w:rsidR="00D117A5">
        <w:rPr>
          <w:rFonts w:cs="Times New Roman"/>
          <w:szCs w:val="24"/>
          <w:lang w:val="en-US"/>
        </w:rPr>
        <w:t>assessed</w:t>
      </w:r>
      <w:r w:rsidR="001222C0" w:rsidRPr="001222C0">
        <w:rPr>
          <w:rFonts w:cs="Times New Roman"/>
          <w:szCs w:val="24"/>
          <w:lang w:val="en-US"/>
        </w:rPr>
        <w:t xml:space="preserve"> the economic and </w:t>
      </w:r>
      <w:r w:rsidR="00D117A5">
        <w:rPr>
          <w:rFonts w:cs="Times New Roman"/>
          <w:szCs w:val="24"/>
          <w:lang w:val="en-US"/>
        </w:rPr>
        <w:t>dynamic</w:t>
      </w:r>
      <w:r w:rsidR="001222C0" w:rsidRPr="001222C0">
        <w:rPr>
          <w:rFonts w:cs="Times New Roman"/>
          <w:szCs w:val="24"/>
          <w:lang w:val="en-US"/>
        </w:rPr>
        <w:t xml:space="preserve"> performance of a</w:t>
      </w:r>
      <w:r w:rsidR="00790F02">
        <w:rPr>
          <w:rFonts w:cs="Times New Roman"/>
          <w:szCs w:val="24"/>
          <w:lang w:val="en-US"/>
        </w:rPr>
        <w:t xml:space="preserve"> proposed</w:t>
      </w:r>
      <w:r w:rsidR="001222C0" w:rsidRPr="001222C0">
        <w:rPr>
          <w:rFonts w:cs="Times New Roman"/>
          <w:szCs w:val="24"/>
          <w:lang w:val="en-US"/>
        </w:rPr>
        <w:t xml:space="preserve"> multi-source standalone renewable community microgrid under uncertainty in the local renewable resources.</w:t>
      </w:r>
    </w:p>
    <w:p w14:paraId="16CBA155" w14:textId="0ABBB0ED" w:rsidR="0043566A" w:rsidRDefault="0043566A" w:rsidP="0043566A">
      <w:pPr>
        <w:spacing w:line="480" w:lineRule="auto"/>
        <w:rPr>
          <w:rFonts w:cs="Times New Roman"/>
          <w:szCs w:val="24"/>
          <w:lang w:val="en-US"/>
        </w:rPr>
      </w:pPr>
      <w:r>
        <w:rPr>
          <w:rFonts w:cs="Times New Roman"/>
          <w:szCs w:val="24"/>
          <w:lang w:val="en-US"/>
        </w:rPr>
        <w:t>The load data and fine-grained climactic data for Arandun were obtained and the major river in the community (Osin River), was gauged. Cost information</w:t>
      </w:r>
      <w:r w:rsidR="00790F02">
        <w:rPr>
          <w:rFonts w:cs="Times New Roman"/>
          <w:szCs w:val="24"/>
          <w:lang w:val="en-US"/>
        </w:rPr>
        <w:t xml:space="preserve"> for equipment</w:t>
      </w:r>
      <w:r w:rsidR="00D117A5">
        <w:rPr>
          <w:rFonts w:cs="Times New Roman"/>
          <w:szCs w:val="24"/>
          <w:lang w:val="en-US"/>
        </w:rPr>
        <w:t xml:space="preserve"> w</w:t>
      </w:r>
      <w:r w:rsidR="009861F9">
        <w:rPr>
          <w:rFonts w:cs="Times New Roman"/>
          <w:szCs w:val="24"/>
          <w:lang w:val="en-US"/>
        </w:rPr>
        <w:t>as</w:t>
      </w:r>
      <w:r w:rsidR="00D117A5">
        <w:rPr>
          <w:rFonts w:cs="Times New Roman"/>
          <w:szCs w:val="24"/>
          <w:lang w:val="en-US"/>
        </w:rPr>
        <w:t xml:space="preserve"> gathered;</w:t>
      </w:r>
      <w:r>
        <w:rPr>
          <w:rFonts w:cs="Times New Roman"/>
          <w:szCs w:val="24"/>
          <w:lang w:val="en-US"/>
        </w:rPr>
        <w:t xml:space="preserve"> a techno-economic feasibility study and design optimization in HOM</w:t>
      </w:r>
      <w:r w:rsidR="00AC3945">
        <w:rPr>
          <w:rFonts w:cs="Times New Roman"/>
          <w:szCs w:val="24"/>
          <w:lang w:val="en-US"/>
        </w:rPr>
        <w:t xml:space="preserve">ER Pro software was conducted and compared with a diesel alternative on </w:t>
      </w:r>
      <w:r w:rsidR="009861F9">
        <w:rPr>
          <w:rFonts w:cs="Times New Roman"/>
          <w:szCs w:val="24"/>
          <w:lang w:val="en-US"/>
        </w:rPr>
        <w:t xml:space="preserve">an </w:t>
      </w:r>
      <w:r w:rsidR="00AC3945">
        <w:rPr>
          <w:rFonts w:cs="Times New Roman"/>
          <w:szCs w:val="24"/>
          <w:lang w:val="en-US"/>
        </w:rPr>
        <w:t>economic basis. A S</w:t>
      </w:r>
      <w:r w:rsidR="00D117A5">
        <w:rPr>
          <w:rFonts w:cs="Times New Roman"/>
          <w:szCs w:val="24"/>
          <w:lang w:val="en-US"/>
        </w:rPr>
        <w:t>ocial a</w:t>
      </w:r>
      <w:r>
        <w:rPr>
          <w:rFonts w:cs="Times New Roman"/>
          <w:szCs w:val="24"/>
          <w:lang w:val="en-US"/>
        </w:rPr>
        <w:t>cceptability analysis</w:t>
      </w:r>
      <w:r w:rsidR="00AC3945">
        <w:rPr>
          <w:rFonts w:cs="Times New Roman"/>
          <w:szCs w:val="24"/>
          <w:lang w:val="en-US"/>
        </w:rPr>
        <w:t xml:space="preserve"> of the microgrid</w:t>
      </w:r>
      <w:r>
        <w:rPr>
          <w:rFonts w:cs="Times New Roman"/>
          <w:szCs w:val="24"/>
          <w:lang w:val="en-US"/>
        </w:rPr>
        <w:t xml:space="preserve"> using </w:t>
      </w:r>
      <w:r w:rsidR="009861F9">
        <w:rPr>
          <w:rFonts w:cs="Times New Roman"/>
          <w:szCs w:val="24"/>
          <w:lang w:val="en-US"/>
        </w:rPr>
        <w:t xml:space="preserve">a </w:t>
      </w:r>
      <w:r>
        <w:rPr>
          <w:rFonts w:cs="Times New Roman"/>
          <w:szCs w:val="24"/>
          <w:lang w:val="en-US"/>
        </w:rPr>
        <w:t>Fuzzy Inference System (FIS) with 5 inputs was conducted. Probability distributions to characterize the uncertainty in the wind, micro-hydropower, load, and solar resource in each month of the year w</w:t>
      </w:r>
      <w:r w:rsidR="00AC3945">
        <w:rPr>
          <w:rFonts w:cs="Times New Roman"/>
          <w:szCs w:val="24"/>
          <w:lang w:val="en-US"/>
        </w:rPr>
        <w:t>ere developed using MATLAB, with the</w:t>
      </w:r>
      <w:r>
        <w:rPr>
          <w:rFonts w:cs="Times New Roman"/>
          <w:szCs w:val="24"/>
          <w:lang w:val="en-US"/>
        </w:rPr>
        <w:t xml:space="preserve"> Weibull, Gumbel, and Lognormal distributions respectively. The microgrid was modelled and simulated in DigSILENT PowerFactory and </w:t>
      </w:r>
      <w:r w:rsidR="00D117A5">
        <w:rPr>
          <w:rFonts w:cs="Times New Roman"/>
          <w:szCs w:val="24"/>
          <w:lang w:val="en-US"/>
        </w:rPr>
        <w:t xml:space="preserve">the </w:t>
      </w:r>
      <w:r>
        <w:rPr>
          <w:rFonts w:cs="Times New Roman"/>
          <w:szCs w:val="24"/>
          <w:lang w:val="en-US"/>
        </w:rPr>
        <w:t>voltage stability in each month of the year due to renewable uncertainty was assessed using the Index of Voltage Deviation (IVD).</w:t>
      </w:r>
    </w:p>
    <w:p w14:paraId="1CF8F167" w14:textId="7FFCC72F" w:rsidR="0043566A" w:rsidRDefault="0043566A" w:rsidP="0043566A">
      <w:pPr>
        <w:spacing w:line="480" w:lineRule="auto"/>
        <w:rPr>
          <w:rFonts w:cs="Times New Roman"/>
          <w:szCs w:val="24"/>
          <w:lang w:val="en-US"/>
        </w:rPr>
      </w:pPr>
      <w:r>
        <w:rPr>
          <w:rFonts w:cs="Times New Roman"/>
          <w:szCs w:val="24"/>
          <w:lang w:val="en-US"/>
        </w:rPr>
        <w:t xml:space="preserve">Based on </w:t>
      </w:r>
      <w:r w:rsidR="00D117A5">
        <w:rPr>
          <w:rFonts w:cs="Times New Roman"/>
          <w:szCs w:val="24"/>
          <w:lang w:val="en-US"/>
        </w:rPr>
        <w:t>the</w:t>
      </w:r>
      <w:r>
        <w:rPr>
          <w:rFonts w:cs="Times New Roman"/>
          <w:szCs w:val="24"/>
          <w:lang w:val="en-US"/>
        </w:rPr>
        <w:t xml:space="preserve"> results</w:t>
      </w:r>
      <w:r w:rsidR="00D117A5">
        <w:rPr>
          <w:rFonts w:cs="Times New Roman"/>
          <w:szCs w:val="24"/>
          <w:lang w:val="en-US"/>
        </w:rPr>
        <w:t xml:space="preserve"> of the study</w:t>
      </w:r>
      <w:r>
        <w:rPr>
          <w:rFonts w:cs="Times New Roman"/>
          <w:szCs w:val="24"/>
          <w:lang w:val="en-US"/>
        </w:rPr>
        <w:t>, a mixture of C</w:t>
      </w:r>
      <w:r w:rsidR="00AC3945">
        <w:rPr>
          <w:rFonts w:cs="Times New Roman"/>
          <w:szCs w:val="24"/>
          <w:lang w:val="en-US"/>
        </w:rPr>
        <w:t xml:space="preserve">oncentrated </w:t>
      </w:r>
      <w:r>
        <w:rPr>
          <w:rFonts w:cs="Times New Roman"/>
          <w:szCs w:val="24"/>
          <w:lang w:val="en-US"/>
        </w:rPr>
        <w:t>S</w:t>
      </w:r>
      <w:r w:rsidR="00AC3945">
        <w:rPr>
          <w:rFonts w:cs="Times New Roman"/>
          <w:szCs w:val="24"/>
          <w:lang w:val="en-US"/>
        </w:rPr>
        <w:t xml:space="preserve">olar </w:t>
      </w:r>
      <w:r>
        <w:rPr>
          <w:rFonts w:cs="Times New Roman"/>
          <w:szCs w:val="24"/>
          <w:lang w:val="en-US"/>
        </w:rPr>
        <w:t>P</w:t>
      </w:r>
      <w:r w:rsidR="00AC3945">
        <w:rPr>
          <w:rFonts w:cs="Times New Roman"/>
          <w:szCs w:val="24"/>
          <w:lang w:val="en-US"/>
        </w:rPr>
        <w:t>ower</w:t>
      </w:r>
      <w:r w:rsidR="00D117A5">
        <w:rPr>
          <w:rFonts w:cs="Times New Roman"/>
          <w:szCs w:val="24"/>
          <w:lang w:val="en-US"/>
        </w:rPr>
        <w:t xml:space="preserve"> (CSP)</w:t>
      </w:r>
      <w:r>
        <w:rPr>
          <w:rFonts w:cs="Times New Roman"/>
          <w:szCs w:val="24"/>
          <w:lang w:val="en-US"/>
        </w:rPr>
        <w:t>, P</w:t>
      </w:r>
      <w:r w:rsidR="00AC3945">
        <w:rPr>
          <w:rFonts w:cs="Times New Roman"/>
          <w:szCs w:val="24"/>
          <w:lang w:val="en-US"/>
        </w:rPr>
        <w:t>hotovoltaics</w:t>
      </w:r>
      <w:r w:rsidR="00D117A5">
        <w:rPr>
          <w:rFonts w:cs="Times New Roman"/>
          <w:szCs w:val="24"/>
          <w:lang w:val="en-US"/>
        </w:rPr>
        <w:t xml:space="preserve"> (PV)</w:t>
      </w:r>
      <w:r>
        <w:rPr>
          <w:rFonts w:cs="Times New Roman"/>
          <w:szCs w:val="24"/>
          <w:lang w:val="en-US"/>
        </w:rPr>
        <w:t xml:space="preserve">, and micro-hydro with energy storage which will be cheaper than a diesel microgrid of equal capacity for the location was found to be reasonably viable, </w:t>
      </w:r>
      <w:r w:rsidR="009861F9">
        <w:rPr>
          <w:rFonts w:cs="Times New Roman"/>
          <w:szCs w:val="24"/>
          <w:lang w:val="en-US"/>
        </w:rPr>
        <w:t>except for</w:t>
      </w:r>
      <w:r>
        <w:rPr>
          <w:rFonts w:cs="Times New Roman"/>
          <w:szCs w:val="24"/>
          <w:lang w:val="en-US"/>
        </w:rPr>
        <w:t xml:space="preserve"> wind energy. The </w:t>
      </w:r>
      <w:r w:rsidR="00D117A5">
        <w:rPr>
          <w:rFonts w:cs="Times New Roman"/>
          <w:szCs w:val="24"/>
          <w:lang w:val="en-US"/>
        </w:rPr>
        <w:t xml:space="preserve">three-source (CSP-PV-Hydro), battery-equipped </w:t>
      </w:r>
      <w:r>
        <w:rPr>
          <w:rFonts w:cs="Times New Roman"/>
          <w:szCs w:val="24"/>
          <w:lang w:val="en-US"/>
        </w:rPr>
        <w:t xml:space="preserve">renewable microgrid had a Net Present Cost of $55.7 million compared to $408 million for </w:t>
      </w:r>
      <w:r w:rsidR="009861F9">
        <w:rPr>
          <w:rFonts w:cs="Times New Roman"/>
          <w:szCs w:val="24"/>
          <w:lang w:val="en-US"/>
        </w:rPr>
        <w:t xml:space="preserve">an </w:t>
      </w:r>
      <w:r>
        <w:rPr>
          <w:rFonts w:cs="Times New Roman"/>
          <w:szCs w:val="24"/>
          <w:lang w:val="en-US"/>
        </w:rPr>
        <w:t>equivalent diesel microgrid</w:t>
      </w:r>
      <w:r w:rsidR="005C78A4">
        <w:rPr>
          <w:rFonts w:cs="Times New Roman"/>
          <w:szCs w:val="24"/>
          <w:lang w:val="en-US"/>
        </w:rPr>
        <w:t>. Also, t</w:t>
      </w:r>
      <w:r w:rsidR="001222C0">
        <w:rPr>
          <w:rFonts w:cs="Times New Roman"/>
          <w:szCs w:val="24"/>
          <w:lang w:val="en-US"/>
        </w:rPr>
        <w:t>he renewable microgrid saved 7,450 metric tons of CO</w:t>
      </w:r>
      <w:r w:rsidR="001222C0">
        <w:rPr>
          <w:rFonts w:cs="Times New Roman"/>
          <w:szCs w:val="24"/>
          <w:vertAlign w:val="subscript"/>
          <w:lang w:val="en-US"/>
        </w:rPr>
        <w:t>2</w:t>
      </w:r>
      <w:r w:rsidR="001222C0">
        <w:rPr>
          <w:rFonts w:cs="Times New Roman"/>
          <w:szCs w:val="24"/>
          <w:lang w:val="en-US"/>
        </w:rPr>
        <w:t xml:space="preserve"> per year in emissions </w:t>
      </w:r>
      <w:r>
        <w:rPr>
          <w:rFonts w:cs="Times New Roman"/>
          <w:szCs w:val="24"/>
          <w:lang w:val="en-US"/>
        </w:rPr>
        <w:t xml:space="preserve">for </w:t>
      </w:r>
      <w:r w:rsidR="009861F9">
        <w:rPr>
          <w:rFonts w:cs="Times New Roman"/>
          <w:szCs w:val="24"/>
          <w:lang w:val="en-US"/>
        </w:rPr>
        <w:t xml:space="preserve">a </w:t>
      </w:r>
      <w:r>
        <w:rPr>
          <w:rFonts w:cs="Times New Roman"/>
          <w:szCs w:val="24"/>
          <w:lang w:val="en-US"/>
        </w:rPr>
        <w:t>25-y</w:t>
      </w:r>
      <w:r w:rsidR="001222C0">
        <w:rPr>
          <w:rFonts w:cs="Times New Roman"/>
          <w:szCs w:val="24"/>
          <w:lang w:val="en-US"/>
        </w:rPr>
        <w:t xml:space="preserve">ear simulated project lifetime. </w:t>
      </w:r>
      <w:r>
        <w:rPr>
          <w:rFonts w:cs="Times New Roman"/>
          <w:szCs w:val="24"/>
          <w:lang w:val="en-US"/>
        </w:rPr>
        <w:t>The obtained climatic data for each month were found to be representative of the 48 different respective probability distributions as developed in MATLAB, which were then sampled for 12 different Quasi-dynamic simulation</w:t>
      </w:r>
      <w:r w:rsidR="009861F9">
        <w:rPr>
          <w:rFonts w:cs="Times New Roman"/>
          <w:szCs w:val="24"/>
          <w:lang w:val="en-US"/>
        </w:rPr>
        <w:t>s</w:t>
      </w:r>
      <w:r>
        <w:rPr>
          <w:rFonts w:cs="Times New Roman"/>
          <w:szCs w:val="24"/>
          <w:lang w:val="en-US"/>
        </w:rPr>
        <w:t xml:space="preserve"> based on 14 variables (for each month of </w:t>
      </w:r>
      <w:r w:rsidR="009861F9">
        <w:rPr>
          <w:rFonts w:cs="Times New Roman"/>
          <w:szCs w:val="24"/>
          <w:lang w:val="en-US"/>
        </w:rPr>
        <w:t>the</w:t>
      </w:r>
      <w:r>
        <w:rPr>
          <w:rFonts w:cs="Times New Roman"/>
          <w:szCs w:val="24"/>
          <w:lang w:val="en-US"/>
        </w:rPr>
        <w:t xml:space="preserve"> year). The I</w:t>
      </w:r>
      <w:r w:rsidR="00D117A5">
        <w:rPr>
          <w:rFonts w:cs="Times New Roman"/>
          <w:szCs w:val="24"/>
          <w:lang w:val="en-US"/>
        </w:rPr>
        <w:t xml:space="preserve">ndex of </w:t>
      </w:r>
      <w:r>
        <w:rPr>
          <w:rFonts w:cs="Times New Roman"/>
          <w:szCs w:val="24"/>
          <w:lang w:val="en-US"/>
        </w:rPr>
        <w:t>V</w:t>
      </w:r>
      <w:r w:rsidR="00D117A5">
        <w:rPr>
          <w:rFonts w:cs="Times New Roman"/>
          <w:szCs w:val="24"/>
          <w:lang w:val="en-US"/>
        </w:rPr>
        <w:t xml:space="preserve">oltage </w:t>
      </w:r>
      <w:r>
        <w:rPr>
          <w:rFonts w:cs="Times New Roman"/>
          <w:szCs w:val="24"/>
          <w:lang w:val="en-US"/>
        </w:rPr>
        <w:t>D</w:t>
      </w:r>
      <w:r w:rsidR="00D117A5">
        <w:rPr>
          <w:rFonts w:cs="Times New Roman"/>
          <w:szCs w:val="24"/>
          <w:lang w:val="en-US"/>
        </w:rPr>
        <w:t>eviation (IVD)</w:t>
      </w:r>
      <w:r>
        <w:rPr>
          <w:rFonts w:cs="Times New Roman"/>
          <w:szCs w:val="24"/>
          <w:lang w:val="en-US"/>
        </w:rPr>
        <w:t xml:space="preserve"> was used to assess the performance of the </w:t>
      </w:r>
      <w:r w:rsidR="00D117A5">
        <w:rPr>
          <w:rFonts w:cs="Times New Roman"/>
          <w:szCs w:val="24"/>
          <w:lang w:val="en-US"/>
        </w:rPr>
        <w:t xml:space="preserve">renewable </w:t>
      </w:r>
      <w:r>
        <w:rPr>
          <w:rFonts w:cs="Times New Roman"/>
          <w:szCs w:val="24"/>
          <w:lang w:val="en-US"/>
        </w:rPr>
        <w:t xml:space="preserve">microgrid for each month </w:t>
      </w:r>
      <w:r w:rsidR="003B50EF">
        <w:rPr>
          <w:rFonts w:cs="Times New Roman"/>
          <w:szCs w:val="24"/>
          <w:lang w:val="en-US"/>
        </w:rPr>
        <w:t>in two scenarios and it was found that the microgrid stability was most at risk in December and January</w:t>
      </w:r>
      <w:r>
        <w:rPr>
          <w:rFonts w:cs="Times New Roman"/>
          <w:szCs w:val="24"/>
          <w:lang w:val="en-US"/>
        </w:rPr>
        <w:t>.</w:t>
      </w:r>
    </w:p>
    <w:p w14:paraId="5DBC23AD" w14:textId="5B6F4506" w:rsidR="0043566A" w:rsidRPr="00481A15" w:rsidRDefault="0043566A" w:rsidP="00481A15">
      <w:pPr>
        <w:spacing w:line="480" w:lineRule="auto"/>
        <w:rPr>
          <w:rFonts w:cs="Times New Roman"/>
          <w:szCs w:val="24"/>
          <w:lang w:val="en-US"/>
        </w:rPr>
        <w:sectPr w:rsidR="0043566A" w:rsidRPr="00481A15" w:rsidSect="000A5DF8">
          <w:footerReference w:type="default" r:id="rId8"/>
          <w:footerReference w:type="first" r:id="rId9"/>
          <w:pgSz w:w="12240" w:h="15840"/>
          <w:pgMar w:top="1440" w:right="1440" w:bottom="1440" w:left="2160" w:header="706" w:footer="706" w:gutter="0"/>
          <w:pgNumType w:fmt="lowerRoman"/>
          <w:cols w:space="708"/>
          <w:titlePg/>
          <w:docGrid w:linePitch="360"/>
        </w:sectPr>
      </w:pPr>
      <w:r>
        <w:rPr>
          <w:rFonts w:cs="Times New Roman"/>
          <w:szCs w:val="24"/>
          <w:lang w:val="en-US"/>
        </w:rPr>
        <w:t xml:space="preserve">The results of the feasibility study showed that the renewable microgrid based on </w:t>
      </w:r>
      <w:r w:rsidR="009861F9">
        <w:rPr>
          <w:rFonts w:cs="Times New Roman"/>
          <w:szCs w:val="24"/>
          <w:lang w:val="en-US"/>
        </w:rPr>
        <w:t xml:space="preserve">the </w:t>
      </w:r>
      <w:r>
        <w:rPr>
          <w:rFonts w:cs="Times New Roman"/>
          <w:szCs w:val="24"/>
          <w:lang w:val="en-US"/>
        </w:rPr>
        <w:t>combination of PV, CSP, micro-hydro, and</w:t>
      </w:r>
      <w:r w:rsidR="009861F9">
        <w:rPr>
          <w:rFonts w:cs="Times New Roman"/>
          <w:szCs w:val="24"/>
          <w:lang w:val="en-US"/>
        </w:rPr>
        <w:t xml:space="preserve"> a</w:t>
      </w:r>
      <w:r>
        <w:rPr>
          <w:rFonts w:cs="Times New Roman"/>
          <w:szCs w:val="24"/>
          <w:lang w:val="en-US"/>
        </w:rPr>
        <w:t xml:space="preserve"> Battery Energy Storage System is economically and ecologically competitive compared to relying on fossil fuels to meet the electricity demand over time. However, the investment in wind energy in Arandun or similar locations does not look promising. Furthermore, some of the buses on </w:t>
      </w:r>
      <w:r w:rsidR="009861F9">
        <w:rPr>
          <w:rFonts w:cs="Times New Roman"/>
          <w:szCs w:val="24"/>
          <w:lang w:val="en-US"/>
        </w:rPr>
        <w:t xml:space="preserve">the </w:t>
      </w:r>
      <w:r>
        <w:rPr>
          <w:rFonts w:cs="Times New Roman"/>
          <w:szCs w:val="24"/>
          <w:lang w:val="en-US"/>
        </w:rPr>
        <w:t>microgrid tend to experience voltage stability problems during the holiday seasons due to population flux and higher stochasticity of the load. Thus, measures to enhance the stability of the weak points in the</w:t>
      </w:r>
      <w:r w:rsidR="00D33EBC">
        <w:rPr>
          <w:rFonts w:cs="Times New Roman"/>
          <w:szCs w:val="24"/>
          <w:lang w:val="en-US"/>
        </w:rPr>
        <w:t xml:space="preserve"> microgrid in such periods need</w:t>
      </w:r>
      <w:r>
        <w:rPr>
          <w:rFonts w:cs="Times New Roman"/>
          <w:szCs w:val="24"/>
          <w:lang w:val="en-US"/>
        </w:rPr>
        <w:t xml:space="preserve"> to be consider</w:t>
      </w:r>
      <w:r w:rsidR="00D33EBC">
        <w:rPr>
          <w:rFonts w:cs="Times New Roman"/>
          <w:szCs w:val="24"/>
          <w:lang w:val="en-US"/>
        </w:rPr>
        <w:t xml:space="preserve">ed. </w:t>
      </w:r>
      <w:r w:rsidR="0019211F">
        <w:rPr>
          <w:rFonts w:cs="Times New Roman"/>
          <w:szCs w:val="24"/>
          <w:lang w:val="en-US"/>
        </w:rPr>
        <w:t>B</w:t>
      </w:r>
      <w:r w:rsidR="00D33EBC">
        <w:rPr>
          <w:rFonts w:cs="Times New Roman"/>
          <w:szCs w:val="24"/>
          <w:lang w:val="en-US"/>
        </w:rPr>
        <w:t xml:space="preserve">ased on the results of the study, </w:t>
      </w:r>
      <w:r>
        <w:rPr>
          <w:rFonts w:cs="Times New Roman"/>
          <w:szCs w:val="24"/>
          <w:lang w:val="en-US"/>
        </w:rPr>
        <w:t xml:space="preserve">the </w:t>
      </w:r>
      <w:r w:rsidR="00481A15">
        <w:rPr>
          <w:rFonts w:cs="Times New Roman"/>
          <w:szCs w:val="24"/>
          <w:lang w:val="en-US"/>
        </w:rPr>
        <w:t xml:space="preserve">proposed </w:t>
      </w:r>
      <w:r>
        <w:rPr>
          <w:rFonts w:cs="Times New Roman"/>
          <w:szCs w:val="24"/>
          <w:lang w:val="en-US"/>
        </w:rPr>
        <w:t>re</w:t>
      </w:r>
      <w:r w:rsidR="00D33EBC">
        <w:rPr>
          <w:rFonts w:cs="Times New Roman"/>
          <w:szCs w:val="24"/>
          <w:lang w:val="en-US"/>
        </w:rPr>
        <w:t>newable microgrid in Arandun is a</w:t>
      </w:r>
      <w:r>
        <w:rPr>
          <w:rFonts w:cs="Times New Roman"/>
          <w:szCs w:val="24"/>
          <w:lang w:val="en-US"/>
        </w:rPr>
        <w:t xml:space="preserve"> promis</w:t>
      </w:r>
      <w:r w:rsidR="00D33EBC">
        <w:rPr>
          <w:rFonts w:cs="Times New Roman"/>
          <w:szCs w:val="24"/>
          <w:lang w:val="en-US"/>
        </w:rPr>
        <w:t>ing prospect</w:t>
      </w:r>
      <w:r w:rsidR="00481A15">
        <w:rPr>
          <w:rFonts w:cs="Times New Roman"/>
          <w:szCs w:val="24"/>
          <w:lang w:val="en-US"/>
        </w:rPr>
        <w:t>.</w:t>
      </w:r>
    </w:p>
    <w:p w14:paraId="4E2B93C2" w14:textId="1199A7A2" w:rsidR="00AE4286" w:rsidRDefault="0042346C" w:rsidP="00F03645">
      <w:pPr>
        <w:pStyle w:val="Heading1"/>
        <w:spacing w:line="480" w:lineRule="auto"/>
        <w:rPr>
          <w:lang w:val="en-US"/>
        </w:rPr>
      </w:pPr>
      <w:bookmarkStart w:id="13" w:name="_Toc110502551"/>
      <w:r>
        <w:rPr>
          <w:lang w:val="en-US"/>
        </w:rPr>
        <w:t>CHAPTER</w:t>
      </w:r>
      <w:r w:rsidR="00EB5E46">
        <w:rPr>
          <w:lang w:val="en-US"/>
        </w:rPr>
        <w:t xml:space="preserve"> ONE</w:t>
      </w:r>
      <w:bookmarkEnd w:id="13"/>
    </w:p>
    <w:p w14:paraId="78D04B85" w14:textId="77777777" w:rsidR="00150BB6" w:rsidRDefault="00150BB6" w:rsidP="00F03645">
      <w:pPr>
        <w:pStyle w:val="Heading2"/>
        <w:spacing w:line="480" w:lineRule="auto"/>
        <w:rPr>
          <w:lang w:val="en-US"/>
        </w:rPr>
      </w:pPr>
      <w:bookmarkStart w:id="14" w:name="_Toc110502552"/>
      <w:r>
        <w:rPr>
          <w:lang w:val="en-US"/>
        </w:rPr>
        <w:t>INTRODUCTION</w:t>
      </w:r>
      <w:bookmarkEnd w:id="14"/>
    </w:p>
    <w:p w14:paraId="69EE298C" w14:textId="4D2B40D2" w:rsidR="00150BB6" w:rsidRPr="00150BB6" w:rsidRDefault="00967768" w:rsidP="00F03645">
      <w:pPr>
        <w:pStyle w:val="Heading3"/>
        <w:spacing w:line="480" w:lineRule="auto"/>
      </w:pPr>
      <w:bookmarkStart w:id="15" w:name="_Toc110502553"/>
      <w:r>
        <w:t>1.1</w:t>
      </w:r>
      <w:r w:rsidR="00883DF2">
        <w:t xml:space="preserve"> B</w:t>
      </w:r>
      <w:r w:rsidR="00072952">
        <w:t>ACKGROUND TO THE PROBLEM</w:t>
      </w:r>
      <w:bookmarkEnd w:id="15"/>
    </w:p>
    <w:p w14:paraId="70BCBFFD" w14:textId="13DE3C36" w:rsidR="00EB5E46" w:rsidRDefault="00AE4286" w:rsidP="00F03645">
      <w:pPr>
        <w:spacing w:line="480" w:lineRule="auto"/>
        <w:rPr>
          <w:lang w:val="en-US"/>
        </w:rPr>
      </w:pPr>
      <w:r>
        <w:rPr>
          <w:lang w:val="en-US"/>
        </w:rPr>
        <w:t>Energy is nature’s currency for all activities</w:t>
      </w:r>
      <w:r w:rsidR="000C01F0">
        <w:rPr>
          <w:lang w:val="en-US"/>
        </w:rPr>
        <w:t xml:space="preserve"> </w:t>
      </w:r>
      <w:r w:rsidR="00CB1586">
        <w:rPr>
          <w:lang w:val="en-US"/>
        </w:rPr>
        <w:fldChar w:fldCharType="begin" w:fldLock="1"/>
      </w:r>
      <w:r w:rsidR="008E6BA7">
        <w:rPr>
          <w:lang w:val="en-US"/>
        </w:rPr>
        <w:instrText>ADDIN CSL_CITATION {"citationItems":[{"id":"ITEM-1","itemData":{"DOI":"10.5937/JOUPROMAN6-16221","ISSN":"2334-7449","abstract":"In the area of ​​modern economy and environmental protection there are no significant changes: the old problems are not solved, and the existing ones are deepening. Humanity is still struggling with three existential problems: lack of food, lack of drinking water and insufficiently energized energy. They are also associated with the dangers of further degradation of the environment, the general fear and fear of terrorism and wars, the emergence of diseases for which modern medicine simply has no solution and which threatens to overcome the challenge of pandemic. Energy is still a mood of economic development, with at the same time a disastrous effect on the environment, when traditional sources of fossil resources are used as sources of energy. The paper explores the phenomenon of the impact of energy on the sustainable development of the economy, with a key focus on environmental protection, as well as the possibilities for adaptation to mitigate the consequences of this global phenomenon. In this regard, special attention has been devoted to researching the role and significance of energy from renewable sources as a possible response to current or expected climate stimuli or their consequences in natural and humanism systems. Particular emphasis is placed on the principle of adaptation, which includes mitigation of damages or the exploitation of effective opportunities; understanding how climate can change, what can be impacts, and capacity building and action on these impacts.","author":[{"dropping-particle":"","family":"Mihajlović","given":"Ljiljana Stošić","non-dropping-particle":"","parse-names":false,"suffix":""},{"dropping-particle":"","family":"Trajković","given":"Svetlana","non-dropping-particle":"","parse-names":false,"suffix":""}],"container-title":"Journal of process management and new technologies","id":"ITEM-1","issue":"1","issued":{"date-parts":[["2018","1","29"]]},"page":"20-26","publisher":"Centre for Evaluation in Education and Science (CEON/CEES)","title":"The Importance of Energy For The Economy, Sustainable Development and Environmental Protection- An Economic Aspect","type":"article-journal","volume":"6"},"uris":["http://www.mendeley.com/documents/?uuid=e98cc6be-e807-3bc5-b4e4-7e36a8df8e9a"]}],"mendeley":{"formattedCitation":"(Mihajlović &amp; Trajković, 2018)","plainTextFormattedCitation":"(Mihajlović &amp; Trajković, 2018)","previouslyFormattedCitation":"(Mihajlović &amp; Trajković, 2018)"},"properties":{"noteIndex":0},"schema":"https://github.com/citation-style-language/schema/raw/master/csl-citation.json"}</w:instrText>
      </w:r>
      <w:r w:rsidR="00CB1586">
        <w:rPr>
          <w:lang w:val="en-US"/>
        </w:rPr>
        <w:fldChar w:fldCharType="separate"/>
      </w:r>
      <w:r w:rsidR="00A97D34" w:rsidRPr="00A97D34">
        <w:rPr>
          <w:noProof/>
          <w:lang w:val="en-US"/>
        </w:rPr>
        <w:t>(Mihajlović &amp; Trajković, 2018)</w:t>
      </w:r>
      <w:r w:rsidR="00CB1586">
        <w:rPr>
          <w:lang w:val="en-US"/>
        </w:rPr>
        <w:fldChar w:fldCharType="end"/>
      </w:r>
      <w:r>
        <w:rPr>
          <w:lang w:val="en-US"/>
        </w:rPr>
        <w:t xml:space="preserve">. From the motions and metamorphoses of the galaxies in space and time to the reactions that take place within </w:t>
      </w:r>
      <w:r w:rsidR="009861F9">
        <w:rPr>
          <w:lang w:val="en-US"/>
        </w:rPr>
        <w:t xml:space="preserve">the </w:t>
      </w:r>
      <w:r>
        <w:rPr>
          <w:lang w:val="en-US"/>
        </w:rPr>
        <w:t xml:space="preserve">smallest cells </w:t>
      </w:r>
      <w:r w:rsidR="009861F9">
        <w:rPr>
          <w:lang w:val="en-US"/>
        </w:rPr>
        <w:t xml:space="preserve">of </w:t>
      </w:r>
      <w:r>
        <w:rPr>
          <w:lang w:val="en-US"/>
        </w:rPr>
        <w:t>the human body to create and sustain life, energy is involved in all physical processes. Economical activities rely on the timely and adequate provision of energy with which to carry them out</w:t>
      </w:r>
      <w:r w:rsidR="000C01F0">
        <w:rPr>
          <w:lang w:val="en-US"/>
        </w:rPr>
        <w:t xml:space="preserve"> </w:t>
      </w:r>
      <w:r w:rsidR="00CB1586">
        <w:rPr>
          <w:lang w:val="en-US"/>
        </w:rPr>
        <w:fldChar w:fldCharType="begin" w:fldLock="1"/>
      </w:r>
      <w:r w:rsidR="008E6BA7">
        <w:rPr>
          <w:lang w:val="en-US"/>
        </w:rPr>
        <w:instrText>ADDIN CSL_CITATION {"citationItems":[{"id":"ITEM-1","itemData":{"DOI":"10.21511/ppm.17(4).2019.31","author":[{"dropping-particle":"","family":"Melnyk","given":"Leonid","non-dropping-particle":"","parse-names":false,"suffix":""},{"dropping-particle":"","family":"Kubatko","given":"Oleksandr","non-dropping-particle":"","parse-names":false,"suffix":""},{"dropping-particle":"","family":"Dehtyarova","given":"Iryna","non-dropping-particle":"","parse-names":false,"suffix":""},{"dropping-particle":"","family":"Matsenko","given":"Oleksandr","non-dropping-particle":"","parse-names":false,"suffix":""},{"dropping-particle":"","family":"Rozhko","given":"Oleksandr","non-dropping-particle":"","parse-names":false,"suffix":""}],"container-title":"Problems and Perspectives in Management","id":"ITEM-1","issue":"4","issued":{"date-parts":[["2019"]]},"page":"381-391","title":"The Effect of Industrial Revolutions On The Transformation of Social and Economic Systems","type":"article-journal","volume":"17"},"uris":["http://www.mendeley.com/documents/?uuid=cfdfbe48-ef5c-34b3-8d98-699d871fb594"]}],"mendeley":{"formattedCitation":"(Melnyk et al., 2019)","plainTextFormattedCitation":"(Melnyk et al., 2019)","previouslyFormattedCitation":"(Melnyk et al., 2019)"},"properties":{"noteIndex":0},"schema":"https://github.com/citation-style-language/schema/raw/master/csl-citation.json"}</w:instrText>
      </w:r>
      <w:r w:rsidR="00CB1586">
        <w:rPr>
          <w:lang w:val="en-US"/>
        </w:rPr>
        <w:fldChar w:fldCharType="separate"/>
      </w:r>
      <w:r w:rsidR="00A97D34" w:rsidRPr="00A97D34">
        <w:rPr>
          <w:noProof/>
          <w:lang w:val="en-US"/>
        </w:rPr>
        <w:t>(Melnyk et al., 2019)</w:t>
      </w:r>
      <w:r w:rsidR="00CB1586">
        <w:rPr>
          <w:lang w:val="en-US"/>
        </w:rPr>
        <w:fldChar w:fldCharType="end"/>
      </w:r>
      <w:r>
        <w:rPr>
          <w:lang w:val="en-US"/>
        </w:rPr>
        <w:t>. Of the different forms in which energy is harnessed and utilized by man, electricity presents the most versatile</w:t>
      </w:r>
      <w:r w:rsidR="000C01F0">
        <w:rPr>
          <w:lang w:val="en-US"/>
        </w:rPr>
        <w:t xml:space="preserve"> </w:t>
      </w:r>
      <w:r w:rsidR="00CB1586">
        <w:rPr>
          <w:lang w:val="en-US"/>
        </w:rPr>
        <w:fldChar w:fldCharType="begin" w:fldLock="1"/>
      </w:r>
      <w:r w:rsidR="008E6BA7">
        <w:rPr>
          <w:lang w:val="en-US"/>
        </w:rPr>
        <w:instrText>ADDIN CSL_CITATION {"citationItems":[{"id":"ITEM-1","itemData":{"author":[{"dropping-particle":"","family":"Herath","given":"HMRDS","non-dropping-particle":"","parse-names":false,"suffix":""},{"dropping-particle":"","family":"Varathan","given":"N","non-dropping-particle":"","parse-names":false,"suffix":""}],"id":"ITEM-1","issued":{"date-parts":[["2018"]]},"publisher":"Research Symposium on Pure and Applied Sciences, 2018 Faculty of Science …","title":"Statistical modelling of monthly electricity sales in Colombo: ARIMA approach","type":"paper-conference"},"uris":["http://www.mendeley.com/documents/?uuid=527c849d-0348-43f8-9cc7-eb140d6c5152"]}],"mendeley":{"formattedCitation":"(Herath &amp; Varathan, 2018)","plainTextFormattedCitation":"(Herath &amp; Varathan, 2018)","previouslyFormattedCitation":"(Herath &amp; Varathan, 2018)"},"properties":{"noteIndex":0},"schema":"https://github.com/citation-style-language/schema/raw/master/csl-citation.json"}</w:instrText>
      </w:r>
      <w:r w:rsidR="00CB1586">
        <w:rPr>
          <w:lang w:val="en-US"/>
        </w:rPr>
        <w:fldChar w:fldCharType="separate"/>
      </w:r>
      <w:r w:rsidR="00A97D34" w:rsidRPr="00A97D34">
        <w:rPr>
          <w:noProof/>
          <w:lang w:val="en-US"/>
        </w:rPr>
        <w:t>(Herath &amp; Varathan, 2018)</w:t>
      </w:r>
      <w:r w:rsidR="00CB1586">
        <w:rPr>
          <w:lang w:val="en-US"/>
        </w:rPr>
        <w:fldChar w:fldCharType="end"/>
      </w:r>
      <w:r>
        <w:rPr>
          <w:lang w:val="en-US"/>
        </w:rPr>
        <w:t xml:space="preserve">. Electrical energy continues to garner a rapidly-increasing number of available applications, and much of modern technology relies on it. For </w:t>
      </w:r>
      <w:r w:rsidR="00883DF2">
        <w:rPr>
          <w:lang w:val="en-US"/>
        </w:rPr>
        <w:t>these</w:t>
      </w:r>
      <w:r>
        <w:rPr>
          <w:lang w:val="en-US"/>
        </w:rPr>
        <w:t xml:space="preserve"> reason</w:t>
      </w:r>
      <w:r w:rsidR="00883DF2">
        <w:rPr>
          <w:lang w:val="en-US"/>
        </w:rPr>
        <w:t>s</w:t>
      </w:r>
      <w:r>
        <w:rPr>
          <w:lang w:val="en-US"/>
        </w:rPr>
        <w:t>, there is a well-known correlation between electricity access and productivity in twenty-first</w:t>
      </w:r>
      <w:r w:rsidR="009861F9">
        <w:rPr>
          <w:lang w:val="en-US"/>
        </w:rPr>
        <w:t>-</w:t>
      </w:r>
      <w:r>
        <w:rPr>
          <w:lang w:val="en-US"/>
        </w:rPr>
        <w:t>century economies</w:t>
      </w:r>
      <w:r w:rsidR="000C01F0">
        <w:rPr>
          <w:lang w:val="en-US"/>
        </w:rPr>
        <w:t xml:space="preserve"> </w:t>
      </w:r>
      <w:r w:rsidR="00F1293F">
        <w:rPr>
          <w:lang w:val="en-US"/>
        </w:rPr>
        <w:fldChar w:fldCharType="begin" w:fldLock="1"/>
      </w:r>
      <w:r w:rsidR="008E6BA7">
        <w:rPr>
          <w:lang w:val="en-US"/>
        </w:rPr>
        <w:instrText>ADDIN CSL_CITATION {"citationItems":[{"id":"ITEM-1","itemData":{"DOI":"10.4314/jasem.v23i3.24","ISSN":"1119-8362","abstract":": Sustainable supply of electricity is crucial to comfortable living in homes and attaining economic development in any country. Despite being blessed with enormous green and non-green energy resources, Nigeria has been in a quandary about adequate generation and supply of electricity. The electricity crisis has, over the years, had significant adverse impact on the nation’s socio-economic and technological development as well as standard of living of its citizens. This paper examines the problems in the electricity sector and the energy potential of green energy resources in Nigeria. The study reveals that the major source of electricity generation (natural gas) and mode of electricity transmission (a single national grid) in the country have been and are still being constrained by myriad of challenges, hence, the inability of the power sector to satisfy the electricity yearnings of Nigerians till date. The study also reveals that about 1182.375GWh of energy per day could be obtained from green energy resources in Nigeria and the provision of this quantity of energy through decentralized off-grid energy solutions would significantly increase electricity availability as well as accessibility in the country. DOI:","author":[{"dropping-particle":"","family":"Akhator","given":"P.E.","non-dropping-particle":"","parse-names":false,"suffix":""},{"dropping-particle":"","family":"Obanor","given":"A.I.","non-dropping-particle":"","parse-names":false,"suffix":""},{"dropping-particle":"","family":"Sadjere","given":"E.G.","non-dropping-particle":"","parse-names":false,"suffix":""}],"container-title":"Journal of Applied Sciences and Environmental Management","id":"ITEM-1","issue":"3","issued":{"date-parts":[["2019","4","10"]]},"page":"527-537","publisher":"African Journals Online (AJOL)","title":"Electricity situation and potential development in Nigeria using off-grid green energy solutions","type":"article-journal","volume":"23"},"uris":["http://www.mendeley.com/documents/?uuid=6c639ef4-04d8-431b-b93a-3447a9ab8110"]},{"id":"ITEM-2","itemData":{"abstract":"Acute electricity crisis characterised by epileptic and inadequate supply remains a major hindrance to achieving sustainable development in Nigeria. The problems of poor electricity generation, transmission, and distribution have led to a slowdown of industrialisation. The effect of this is evident in the poor standard of living for the majority of the population and the poor state of the economy. While there have been concerted efforts at improving the power sector, pumped-hydro storage consideration and applicability as a potential solution has received scant attention in Nigeria. Meanwhile, its application in electricity networks merits reflection considering the present state of Nigeria electricity. This study seeks to propose the application of P-HS in Nigeria and the steps needed to support its adoption. The attempt thus raised a number of questions. Such as, what are the possible factors that are slowing the application of P-HS? What are the needed steps to accelerate the P-HS application in Nigeria? What are the specific ways in which P-HS can be applied to solve the country's electricity problem? Thereafter, a conceptual framework to describe our thought was presented and the implications of adopting P-HS in Nigeria were discussed. These include energy storage, generation and ancillary services.","author":[{"dropping-particle":"","family":"Adebimpe","given":"Oluseye A","non-dropping-particle":"","parse-names":false,"suffix":""},{"dropping-particle":"","family":"Oladokun","given":"Victor O","non-dropping-particle":"","parse-names":false,"suffix":""},{"dropping-particle":"","family":"Edem","given":"Inyeneobong E","non-dropping-particle":"","parse-names":false,"suffix":""}],"container-title":"Proceedings of the 11th Annual International Conference on Industrial Engineering and Operations Management","id":"ITEM-2","issue":"July 2016","issued":{"date-parts":[["2021","3","7"]]},"page":"2528-2537","publisher-place":"Singapore","title":"Towards the Application of Pumped-Hydro Storage in Nigeria","type":"paper-conference"},"uris":["http://www.mendeley.com/documents/?uuid=d3f83807-72ad-4cab-9097-0862e7f54b52"]}],"mendeley":{"formattedCitation":"(Adebimpe et al., 2021; Akhator et al., 2019)","plainTextFormattedCitation":"(Adebimpe et al., 2021; Akhator et al., 2019)","previouslyFormattedCitation":"(Adebimpe et al., 2021; Akhator et al., 2019)"},"properties":{"noteIndex":0},"schema":"https://github.com/citation-style-language/schema/raw/master/csl-citation.json"}</w:instrText>
      </w:r>
      <w:r w:rsidR="00F1293F">
        <w:rPr>
          <w:lang w:val="en-US"/>
        </w:rPr>
        <w:fldChar w:fldCharType="separate"/>
      </w:r>
      <w:r w:rsidR="00A97D34" w:rsidRPr="00A97D34">
        <w:rPr>
          <w:noProof/>
          <w:lang w:val="en-US"/>
        </w:rPr>
        <w:t>(Adebimpe et al., 2021; Akhator et al., 2019)</w:t>
      </w:r>
      <w:r w:rsidR="00F1293F">
        <w:rPr>
          <w:lang w:val="en-US"/>
        </w:rPr>
        <w:fldChar w:fldCharType="end"/>
      </w:r>
      <w:r>
        <w:rPr>
          <w:lang w:val="en-US"/>
        </w:rPr>
        <w:t>.</w:t>
      </w:r>
    </w:p>
    <w:p w14:paraId="141E4ED7" w14:textId="7814FB0C" w:rsidR="00AE4286" w:rsidRDefault="00883DF2" w:rsidP="00F03645">
      <w:pPr>
        <w:spacing w:line="480" w:lineRule="auto"/>
        <w:rPr>
          <w:lang w:val="en-US"/>
        </w:rPr>
      </w:pPr>
      <w:r>
        <w:rPr>
          <w:lang w:val="en-US"/>
        </w:rPr>
        <w:t>Due to several factors such as global warming, climate change, political transitions, and technological trends among other ones, the use of renewable resources in the energy mix has gained importance and priority in the international community</w:t>
      </w:r>
      <w:r w:rsidR="00F7614E">
        <w:rPr>
          <w:lang w:val="en-US"/>
        </w:rPr>
        <w:t xml:space="preserve"> </w:t>
      </w:r>
      <w:r w:rsidR="00F1293F">
        <w:rPr>
          <w:lang w:val="en-US"/>
        </w:rPr>
        <w:fldChar w:fldCharType="begin" w:fldLock="1"/>
      </w:r>
      <w:r w:rsidR="008E6BA7">
        <w:rPr>
          <w:lang w:val="en-US"/>
        </w:rPr>
        <w:instrText>ADDIN CSL_CITATION {"citationItems":[{"id":"ITEM-1","itemData":{"DOI":"10.1016/j.rser.2017.06.055","ISSN":"18790690","abstract":"Despite its vast natural resources, African is facing serious challenges in sustainable development in an energy sector, if addressed with dispatch could not only check its indispensable needs, but also mitigate some global phenomenon at stake, such as desertification, environmental degradation and green house emission. This paper reviews the prospects of four major renewable energy sources-hydro, solar, wind and biomass- for each of the three leading countries in Africa namely South Africa, Egypt and Nigeria. Based on literature survey of energy efficiency, all the three countries encourage energy efficiency in varying degrees. In the course of this review, several national energy policy frameworks of these countries were looked into, especially on how African countries could overcome the persistent energy crisis in the continent by utilizing the naturally gifted renewable energy sources. This could only be achievable if proper technology, awareness and skills for harnessing the resources are provided. Also lingering energy challenges such as energy efficiency measures, needs for grid extension, energy storage technology and seasonal variation were carefully highlighted.","author":[{"dropping-particle":"","family":"Aliyu","given":"Abubakar Kabir","non-dropping-particle":"","parse-names":false,"suffix":""},{"dropping-particle":"","family":"Modu","given":"Babangida","non-dropping-particle":"","parse-names":false,"suffix":""},{"dropping-particle":"","family":"Tan","given":"Chee Wei","non-dropping-particle":"","parse-names":false,"suffix":""}],"container-title":"Renewable and Sustainable Energy Reviews","id":"ITEM-1","issue":"February 2016","issued":{"date-parts":[["2018","1","1"]]},"page":"2502-2518","publisher":"Elsevier Ltd","title":"A review of renewable energy development in Africa: A focus in South Africa, Egypt and Nigeria","type":"article-journal","volume":"81"},"uris":["http://www.mendeley.com/documents/?uuid=cce1e192-de3f-4aaa-9a0c-4bd658300353"]},{"id":"ITEM-2","itemData":{"DOI":"10.1016/j.rser.2017.03.040","ISSN":"18790690","abstract":"Global anthropogenic activities resulting in the emission of harmful greenhouse gases (GHGs) to the atmosphere have increased the challenges faced from climate change. The greater awareness of the need to mitigate climate variability has brought about intense focus on the adverse impacts of fossil-fuel based energy on the environment. Being the single largest source of carbon emissions, energy supply has attracted much attention and more so that, climate change impacts extend beyond national boundaries. Since energy use is sine qua non to economic development, scientists have reiterated the necessity of developing and utilising renewable energy. Although, past and present CO2 emissions have and are majorly caused by industrialized countries, it is envisaged that future GHGs emissions would be mostly from developing countries as they industrialize. Renewable energy sources that include biomass, hydroelectric, wind, solar and hydrothermal systems, are carbon-neutral, releasing relatively no emissions. This paper discusses the initiatives associated with the provision of renewable energy to the energy mix in Nigeria as an indication of the country's commitment to adopt a sustainable development strategy in shaping the economy. It reviews the literature and employs a discourse analysis to examine the limited use of renewable energy sources in Nigeria and the factors prevailing against their development. The paper concludes by identifying social and political obstacles as most significant roadblocks towards rapid implementation of a green economy through the deployment of renewable energy for sustainable development.","author":[{"dropping-particle":"","family":"Elum","given":"Z. A.","non-dropping-particle":"","parse-names":false,"suffix":""},{"dropping-particle":"","family":"Momodu","given":"A. S.","non-dropping-particle":"","parse-names":false,"suffix":""}],"container-title":"Renewable and Sustainable Energy Reviews","id":"ITEM-2","issue":"February","issued":{"date-parts":[["2017","9","1"]]},"page":"72-80","publisher":"Elsevier Ltd","title":"Climate change mitigation and renewable energy for sustainable development in Nigeria: A discourse approach","type":"article-journal","volume":"76"},"uris":["http://www.mendeley.com/documents/?uuid=729be439-9e4f-44fa-92f8-0b58db6acaa6"]}],"mendeley":{"formattedCitation":"(A. K. Aliyu et al., 2018; Elum &amp; Momodu, 2017)","plainTextFormattedCitation":"(A. K. Aliyu et al., 2018; Elum &amp; Momodu, 2017)","previouslyFormattedCitation":"(A. K. Aliyu et al., 2018; Elum &amp; Momodu, 2017)"},"properties":{"noteIndex":0},"schema":"https://github.com/citation-style-language/schema/raw/master/csl-citation.json"}</w:instrText>
      </w:r>
      <w:r w:rsidR="00F1293F">
        <w:rPr>
          <w:lang w:val="en-US"/>
        </w:rPr>
        <w:fldChar w:fldCharType="separate"/>
      </w:r>
      <w:r w:rsidR="00A97D34" w:rsidRPr="00A97D34">
        <w:rPr>
          <w:noProof/>
          <w:lang w:val="en-US"/>
        </w:rPr>
        <w:t>(A. K. Aliyu et al., 2018; Elum &amp; Momodu, 2017)</w:t>
      </w:r>
      <w:r w:rsidR="00F1293F">
        <w:rPr>
          <w:lang w:val="en-US"/>
        </w:rPr>
        <w:fldChar w:fldCharType="end"/>
      </w:r>
      <w:r w:rsidR="00B94B06">
        <w:rPr>
          <w:lang w:val="en-US"/>
        </w:rPr>
        <w:t>. Most</w:t>
      </w:r>
      <w:r>
        <w:rPr>
          <w:lang w:val="en-US"/>
        </w:rPr>
        <w:t xml:space="preserve"> traditional ways of generation of electricity on commercially-viable scales involve the emission of not only greenhouse gases which contribute to global warming but also </w:t>
      </w:r>
      <w:r w:rsidR="00A521B8">
        <w:rPr>
          <w:lang w:val="en-US"/>
        </w:rPr>
        <w:t>chemical pollutants that are directly hazardous to the health of humans and other living creatures</w:t>
      </w:r>
      <w:r w:rsidR="00B94B06">
        <w:rPr>
          <w:lang w:val="en-US"/>
        </w:rPr>
        <w:t>, while it is not so with most renewable energy-based methods</w:t>
      </w:r>
      <w:r w:rsidR="006B0DFC">
        <w:rPr>
          <w:lang w:val="en-US"/>
        </w:rPr>
        <w:t xml:space="preserve"> </w:t>
      </w:r>
      <w:r w:rsidR="006B0DFC">
        <w:rPr>
          <w:lang w:val="en-US"/>
        </w:rPr>
        <w:fldChar w:fldCharType="begin" w:fldLock="1"/>
      </w:r>
      <w:r w:rsidR="008E6BA7">
        <w:rPr>
          <w:lang w:val="en-US"/>
        </w:rPr>
        <w:instrText>ADDIN CSL_CITATION {"citationItems":[{"id":"ITEM-1","itemData":{"DOI":"10.1109/AFRCON.2013.6757649","ISBN":"9781467359405","ISSN":"21530033","abstract":"It is well known fact that the rate of industrial growth of any country is a function of the amount of energy available in that country and the extent to which this energy is utilized. The burning of fossil fuels to generate energy is a dirty process. Greenhouse gas (GHG) emissions result when fossil fuels are produced and consumed and these emissions contribute to climate change. Nigeria as a country is highly vulnerable to the impacts of climate change because its economy is mainly dependent on income generated from the production, processing, export and/or consumption of fossil fuels and its associated energy-intensive products. Hence, it is on this premise that this paper is researched to review the energy sources being used in Nigeria and investigate its impact to climate change. Findings reveal Nigeria's over-dependence on fossil-generated energy with associated adverse environmental effects, among other things. Recommendations for the integration of renewable energy into Nigeria's energy mix, beyond other measures, have been offered, especially with reference to the salient environmental benefits that accrue to it. © 2013 IEEE.","author":[{"dropping-particle":"","family":"Akuru","given":"Udochukwu B.","non-dropping-particle":"","parse-names":false,"suffix":""},{"dropping-particle":"","family":"Okoro","given":"Ogbonnaya I.","non-dropping-particle":"","parse-names":false,"suffix":""},{"dropping-particle":"","family":"Chikuni","given":"E.","non-dropping-particle":"","parse-names":false,"suffix":""}],"container-title":"IEEE AFRICON Conference","id":"ITEM-1","issue":"3","issued":{"date-parts":[["2013"]]},"page":"125-134","title":"Impact of renewable energy deployment on climate change in Nigeria","type":"article-journal","volume":"26"},"uris":["http://www.mendeley.com/documents/?uuid=f6b3cd7e-0d9f-444e-8330-f265f6a18980"]},{"id":"ITEM-2","itemData":{"ISSN":"0921-8009","author":[{"dropping-particle":"","family":"Kopas","given":"Jacob","non-dropping-particle":"","parse-names":false,"suffix":""},{"dropping-particle":"","family":"York","given":"Erin","non-dropping-particle":"","parse-names":false,"suffix":""},{"dropping-particle":"","family":"Jin","given":"Xiaomeng","non-dropping-particle":"","parse-names":false,"suffix":""},{"dropping-particle":"","family":"Harish","given":"S P","non-dropping-particle":"","parse-names":false,"suffix":""},{"dropping-particle":"","family":"Kennedy","given":"Ryan","non-dropping-particle":"","parse-names":false,"suffix":""},{"dropping-particle":"","family":"Shen","given":"Shiran Victoria","non-dropping-particle":"","parse-names":false,"suffix":""},{"dropping-particle":"","family":"Urpelainen","given":"Johannes","non-dropping-particle":"","parse-names":false,"suffix":""}],"container-title":"Ecological Economics","id":"ITEM-2","issued":{"date-parts":[["2020"]]},"page":"106711","publisher":"Elsevier","title":"Environmental justice in India: Incidence of air pollution from coal-fired power plants","type":"article-journal","volume":"176"},"uris":["http://www.mendeley.com/documents/?uuid=0eedd3f1-5378-4e21-a19a-346749841422"]}],"mendeley":{"formattedCitation":"(Akuru et al., 2013; Kopas et al., 2020)","plainTextFormattedCitation":"(Akuru et al., 2013; Kopas et al., 2020)","previouslyFormattedCitation":"(Akuru et al., 2013; Kopas et al., 2020)"},"properties":{"noteIndex":0},"schema":"https://github.com/citation-style-language/schema/raw/master/csl-citation.json"}</w:instrText>
      </w:r>
      <w:r w:rsidR="006B0DFC">
        <w:rPr>
          <w:lang w:val="en-US"/>
        </w:rPr>
        <w:fldChar w:fldCharType="separate"/>
      </w:r>
      <w:r w:rsidR="00A97D34" w:rsidRPr="00A97D34">
        <w:rPr>
          <w:noProof/>
          <w:lang w:val="en-US"/>
        </w:rPr>
        <w:t>(Akuru et al., 2013; Kopas et al., 2020)</w:t>
      </w:r>
      <w:r w:rsidR="006B0DFC">
        <w:rPr>
          <w:lang w:val="en-US"/>
        </w:rPr>
        <w:fldChar w:fldCharType="end"/>
      </w:r>
      <w:r w:rsidR="00A521B8">
        <w:rPr>
          <w:lang w:val="en-US"/>
        </w:rPr>
        <w:t xml:space="preserve">. In addition, transportation costs for fuel and reliance on other countries for </w:t>
      </w:r>
      <w:r w:rsidR="009861F9">
        <w:rPr>
          <w:lang w:val="en-US"/>
        </w:rPr>
        <w:t xml:space="preserve">the </w:t>
      </w:r>
      <w:r w:rsidR="00A521B8">
        <w:rPr>
          <w:lang w:val="en-US"/>
        </w:rPr>
        <w:t>supply of a critical resource such as energy</w:t>
      </w:r>
      <w:r w:rsidR="001B3CE5">
        <w:rPr>
          <w:lang w:val="en-US"/>
        </w:rPr>
        <w:t xml:space="preserve"> ha</w:t>
      </w:r>
      <w:r w:rsidR="009861F9">
        <w:rPr>
          <w:lang w:val="en-US"/>
        </w:rPr>
        <w:t>ve</w:t>
      </w:r>
      <w:r w:rsidR="001B3CE5">
        <w:rPr>
          <w:lang w:val="en-US"/>
        </w:rPr>
        <w:t xml:space="preserve"> become a sensitive scene</w:t>
      </w:r>
      <w:r w:rsidR="00A521B8">
        <w:rPr>
          <w:lang w:val="en-US"/>
        </w:rPr>
        <w:t xml:space="preserve"> in the light of international relations in recent times</w:t>
      </w:r>
      <w:r w:rsidR="006B0DFC">
        <w:rPr>
          <w:lang w:val="en-US"/>
        </w:rPr>
        <w:t xml:space="preserve"> </w:t>
      </w:r>
      <w:r w:rsidR="006B0DFC">
        <w:rPr>
          <w:lang w:val="en-US"/>
        </w:rPr>
        <w:fldChar w:fldCharType="begin" w:fldLock="1"/>
      </w:r>
      <w:r w:rsidR="008E6BA7">
        <w:rPr>
          <w:lang w:val="en-US"/>
        </w:rPr>
        <w:instrText>ADDIN CSL_CITATION {"citationItems":[{"id":"ITEM-1","itemData":{"DOI":"10.1016/j.rser.2015.03.098","ISSN":"18790690","abstract":"Nigeria is faced with chronic electricity crisis that has resulted in the crippling of most sectors of the economy. It is estimated that only 40% of Nigerians are connected to the national grid and the connected population are exposed to frequent power outages. Nigeria's electricity grid is mainly powered by large hydropower and depleting hydrocarbon resources. Fossil-based electricity generation contributes not only to increase in carbon footprints, but also exposes the country to changes in price of petroleum resources and political instability from the oil producing region of the country. The country is blessed with abundant Renewable Energy (RE) resources that have not been fully exploited; these renewable resources have the potentials to change the status quo of power generation and consumption in the country. Availability of Renewable Energy Sources (RESs) in all parts of Nigeria has been demonstrated in several studies. However, there is presently no comprehensive review of RE development in Nigeria. This contribution aims to fill this gap by focusing on the current status and future prospects of RE in Nigeria as well as identifying the key challenges confronting full scale RE development in the country. We discussed the existing government policies and legislations, and proposed others that can help speed up the adoption of RE in Nigeria. We also compared RE development in Nigeria with four other sub-Sahara African countries. We hope that this paper will stimulate further research on how to address the energy crisis in Nigeria using the RESs.","author":[{"dropping-particle":"","family":"Aliyu","given":"Abubakar Sadiq","non-dropping-particle":"","parse-names":false,"suffix":""},{"dropping-particle":"","family":"Dada","given":"Joseph O.","non-dropping-particle":"","parse-names":false,"suffix":""},{"dropping-particle":"","family":"Adam","given":"Ibrahim Khalil","non-dropping-particle":"","parse-names":false,"suffix":""}],"container-title":"Renewable and Sustainable Energy Reviews","id":"ITEM-1","issued":{"date-parts":[["2015","8","1"]]},"page":"336-346","publisher":"Elsevier Ltd","title":"Current status and future prospects of renewable energy in Nigeria","type":"article-journal","volume":"48"},"uris":["http://www.mendeley.com/documents/?uuid=76488d9f-4b31-30b0-9a80-36ad0ebe9ab4"]},{"id":"ITEM-2","itemData":{"DOI":"10.3390/en9050378","ISSN":"19961073","abstract":"The renewable energy-based distributed generation (DG) implementation in power systems has been an active research area during the last few decades due to several environmental, economic and political factors. Although the integration of DG offers many advantages, several concerns, including protection schemes in systems with the possibility of bi-directional power flow, are raised. Thus, new protection schemes are strongly required in power systems with a significant presence of DG. In this study, an adaptive protection strategy for a distribution system with DG integration is proposed. The proposed strategy considers both grid-connected and islanded operating modes, while the adaptive operation of the protection is dynamically realized considering the availability of DG power production (related to faults or meteorological conditions) in each time step. Besides, the modular structure and fast response of the proposed strategy is validated via simulations conducted on the IEEE 13-node test system.","author":[{"dropping-particle":"","family":"Ates","given":"Yavuz","non-dropping-particle":"","parse-names":false,"suffix":""},{"dropping-particle":"","family":"Boynuegri","given":"Ali Rifat","non-dropping-particle":"","parse-names":false,"suffix":""},{"dropping-particle":"","family":"Uzunoglu","given":"Mehmet","non-dropping-particle":"","parse-names":false,"suffix":""},{"dropping-particle":"","family":"Nadar","given":"Abdullah","non-dropping-particle":"","parse-names":false,"suffix":""},{"dropping-particle":"","family":"Yumurtacı","given":"Recep","non-dropping-particle":"","parse-names":false,"suffix":""},{"dropping-particle":"","family":"Erdinc","given":"Ozan","non-dropping-particle":"","parse-names":false,"suffix":""},{"dropping-particle":"","family":"Paterakis","given":"Nikolaos G.","non-dropping-particle":"","parse-names":false,"suffix":""},{"dropping-particle":"","family":"Catalão","given":"João P.S.","non-dropping-particle":"","parse-names":false,"suffix":""}],"container-title":"Energies","id":"ITEM-2","issue":"5","issued":{"date-parts":[["2016"]]},"title":"Adaptive protection scheme for a distribution system considering grid-connected and islanded modes of operation","type":"article-journal","volume":"9"},"uris":["http://www.mendeley.com/documents/?uuid=ae001b4e-561a-49ac-8acd-b582944db24b"]}],"mendeley":{"formattedCitation":"(A. S. Aliyu et al., 2015; Ates et al., 2016)","plainTextFormattedCitation":"(A. S. Aliyu et al., 2015; Ates et al., 2016)","previouslyFormattedCitation":"(A. S. Aliyu et al., 2015; Ates et al., 2016)"},"properties":{"noteIndex":0},"schema":"https://github.com/citation-style-language/schema/raw/master/csl-citation.json"}</w:instrText>
      </w:r>
      <w:r w:rsidR="006B0DFC">
        <w:rPr>
          <w:lang w:val="en-US"/>
        </w:rPr>
        <w:fldChar w:fldCharType="separate"/>
      </w:r>
      <w:r w:rsidR="00A97D34" w:rsidRPr="00A97D34">
        <w:rPr>
          <w:noProof/>
          <w:lang w:val="en-US"/>
        </w:rPr>
        <w:t>(A. S. Aliyu et al., 2015; Ates et al., 2016)</w:t>
      </w:r>
      <w:r w:rsidR="006B0DFC">
        <w:rPr>
          <w:lang w:val="en-US"/>
        </w:rPr>
        <w:fldChar w:fldCharType="end"/>
      </w:r>
      <w:r w:rsidR="00A521B8">
        <w:rPr>
          <w:lang w:val="en-US"/>
        </w:rPr>
        <w:t>.</w:t>
      </w:r>
    </w:p>
    <w:p w14:paraId="69C34061" w14:textId="596064B1" w:rsidR="00C46499" w:rsidRDefault="00A521B8" w:rsidP="00F03645">
      <w:pPr>
        <w:spacing w:line="480" w:lineRule="auto"/>
        <w:rPr>
          <w:lang w:val="en-US"/>
        </w:rPr>
      </w:pPr>
      <w:r>
        <w:rPr>
          <w:lang w:val="en-US"/>
        </w:rPr>
        <w:t xml:space="preserve">In the light of the </w:t>
      </w:r>
      <w:r w:rsidR="00C46499">
        <w:rPr>
          <w:lang w:val="en-US"/>
        </w:rPr>
        <w:t xml:space="preserve">aforementioned </w:t>
      </w:r>
      <w:r>
        <w:rPr>
          <w:lang w:val="en-US"/>
        </w:rPr>
        <w:t xml:space="preserve">factors, </w:t>
      </w:r>
      <w:r w:rsidR="00D4146B">
        <w:rPr>
          <w:lang w:val="en-US"/>
        </w:rPr>
        <w:t xml:space="preserve">development </w:t>
      </w:r>
      <w:r w:rsidR="00704EB5">
        <w:rPr>
          <w:lang w:val="en-US"/>
        </w:rPr>
        <w:t xml:space="preserve">and research toward </w:t>
      </w:r>
      <w:r w:rsidR="00D4146B">
        <w:rPr>
          <w:lang w:val="en-US"/>
        </w:rPr>
        <w:t>power systems that integrate high proportions of renewable energy resources ha</w:t>
      </w:r>
      <w:r w:rsidR="00704EB5">
        <w:rPr>
          <w:lang w:val="en-US"/>
        </w:rPr>
        <w:t>ve drawn increasing attention</w:t>
      </w:r>
      <w:r w:rsidR="00D4146B">
        <w:rPr>
          <w:lang w:val="en-US"/>
        </w:rPr>
        <w:t xml:space="preserve"> </w:t>
      </w:r>
      <w:r w:rsidR="00704EB5">
        <w:rPr>
          <w:lang w:val="en-US"/>
        </w:rPr>
        <w:t>in the past and recent years</w:t>
      </w:r>
      <w:r w:rsidR="006B0DFC">
        <w:rPr>
          <w:lang w:val="en-US"/>
        </w:rPr>
        <w:t xml:space="preserve"> </w:t>
      </w:r>
      <w:r w:rsidR="006B0DFC">
        <w:rPr>
          <w:lang w:val="en-US"/>
        </w:rPr>
        <w:fldChar w:fldCharType="begin" w:fldLock="1"/>
      </w:r>
      <w:r w:rsidR="008E6BA7">
        <w:rPr>
          <w:lang w:val="en-US"/>
        </w:rPr>
        <w:instrText>ADDIN CSL_CITATION {"citationItems":[{"id":"ITEM-1","itemData":{"DOI":"10.1016/J.JCLEPRO.2018.12.081","ISSN":"0959-6526","abstract":"This study disaggregates energy, i.e. non-renewable and renewable energy consumption, and investigates its effect on economic growth. The period of 1990–2015 is used to examine Asia-Pacific Economic Cooperation (APEC) countries. This paper determines the cross-sectional dependence and employs a second-generation panel unit root test for precise estimation. Westerlund cointegration test is used to examine the long-run equilibrium relationship between the variables and confirm the presence of cointegration in the long run. The Continuously Updated Fully Modified Ordinary Least Square (CUP-FM) approaches are applied to investigate long-term output elasticities between the variables. The results show the stimulating role of energy (renewable and nonrenewable) consumption in economic growth. Research and development expenditures and trade openness have a positive effect on economic growth. Moreover, the time series individual country analysis also confirms that renewable energy has a positive impact on economic growth. The heterogenous causality analysis reveals the feedback effect, i.e., bidirectional causal associations among economic growth, renewable energy consumption, and nonrenewable energy consumption. This empirical evidence suggests that countries should increase investment in renewable energy sectors and plan for development in renewable energy for sustainable energy growth.","author":[{"dropping-particle":"","family":"Zafar","given":"Muhammad Wasif","non-dropping-particle":"","parse-names":false,"suffix":""},{"dropping-particle":"","family":"Shahbaz","given":"Muhammad","non-dropping-particle":"","parse-names":false,"suffix":""},{"dropping-particle":"","family":"Hou","given":"Fujun","non-dropping-particle":"","parse-names":false,"suffix":""},{"dropping-particle":"","family":"Sinha","given":"Avik","non-dropping-particle":"","parse-names":false,"suffix":""}],"container-title":"Journal of Cleaner Production","id":"ITEM-1","issued":{"date-parts":[["2019","3","1"]]},"page":"1166-1178","publisher":"Elsevier","title":"From nonrenewable to renewable energy and its impact on economic growth: The role of research &amp; development expenditures in Asia-Pacific Economic Cooperation countries","type":"article-journal","volume":"212"},"uris":["http://www.mendeley.com/documents/?uuid=ce8167a1-3751-3079-8b4c-5453063f7cec"]},{"id":"ITEM-2","itemData":{"DOI":"10.1016/J.APENERGY.2019.113429","ISSN":"0306-2619","abstract":"Aspects of sustainability and social justice deserve special attention in the research and innovation landscape in Europe. In this vein, the inclusion of innovative research and innovation policies, such as Responsible Research and Innovation, devoted to mainstream social outcomes, to deploy democratic governance of science, and to drive innovation into a direction that is ethically acceptable, societally desirable and sustainable are noteworthy. However, substantial efforts are required when it comes to integrate the interactions between renewable energy research and energy and climate policies within responsible approaches. In order to adapt responsible research and innovation approach for the purpose of building an alternative context and assessment approach for sustainable transitions, this paper presents a review of approaches around sustainability and social justice dimensions. The thresholds of this endeavour are detailed in terms of the challenges for the integration, the identification of the inhibitors and facilitators of policy integration and the proposal of the levels for a methodology for this integration. The results show that the different readings and understanding of the contexts and dimensions and the existence of knowledge gaps between policy targets and the outcomes of research and innovation can be considered inhibitors for the integration. In contrast the interlinks between dimensional concepts, backgrounds and rationales appear as facilitators. The innovative contribution of this paper is focused on the contextualization of the dimensions through the use of socio-technical and multi/inter/trans and cross-disciplinary approaches. The authors conclude that the process of introducing a more holistic and alternative approach opens the re-envision of policy elements. Moreover, RRI offers an innovative perspective to the transition approach as well as tools for decision-making and policy processes assessment, in an arena where constant innovation is taking place and new structures, processes and metrics are necessary to guide this process.","author":[{"dropping-particle":"","family":"Carbajo","given":"Ruth","non-dropping-particle":"","parse-names":false,"suffix":""},{"dropping-particle":"","family":"Cabeza","given":"Luisa F.","non-dropping-particle":"","parse-names":false,"suffix":""}],"container-title":"Applied Energy","id":"ITEM-2","issued":{"date-parts":[["2019","10","15"]]},"page":"113429","publisher":"Elsevier","title":"Sustainability and social justice dimension indicators for applied renewable energy research: A responsible approach proposal","type":"article-journal","volume":"252"},"uris":["http://www.mendeley.com/documents/?uuid=cc890806-acbf-3e93-bb1a-6ecbb1faae35"]},{"id":"ITEM-3","itemData":{"DOI":"10.1016/J.SOLENER.2019.11.087","ISSN":"0038-092X","abstract":"Global and regional trends indicate that energy demand will soon be covered by a widespread deployment of renewable energy sources. However, the weather and climate driven energy sources are characterized by a significant spatial and temporal variability. One of the commonly mentioned solutions to overcome the mismatch between demand and supply provided by renewable generation is a hybridization of two or more energy sources into a single power station (like wind-solar, solar-hydro or solar-wind-hydro). The operation of hybrid energy sources is based on the complementary nature of renewable sources. Considering the growing importance of such systems and increasing number of research activities in this area this paper presents a comprehensive review of studies which investigated, analyzed, quantified and utilized the effect of temporal, spatial and spatiotemporal complementarity between renewable energy sources. The review starts with a brief overview of available research papers, formulates detailed definition of major concepts, summarizes current research directions and ends with prospective future research activities. The review provides a chronological and spatial information with regard to the studies on the complementarity concept.","author":[{"dropping-particle":"","family":"Jurasz","given":"J.","non-dropping-particle":"","parse-names":false,"suffix":""},{"dropping-particle":"","family":"Canales","given":"F. A.","non-dropping-particle":"","parse-names":false,"suffix":""},{"dropping-particle":"","family":"Kies","given":"A.","non-dropping-particle":"","parse-names":false,"suffix":""},{"dropping-particle":"","family":"Guezgouz","given":"M.","non-dropping-particle":"","parse-names":false,"suffix":""},{"dropping-particle":"","family":"Beluco","given":"A.","non-dropping-particle":"","parse-names":false,"suffix":""}],"container-title":"Solar Energy","id":"ITEM-3","issued":{"date-parts":[["2020","1","1"]]},"page":"703-724","publisher":"Pergamon","title":"A review on the complementarity of renewable energy sources: Concept, metrics, application and future research directions","type":"article-journal","volume":"195"},"uris":["http://www.mendeley.com/documents/?uuid=fe2c8db7-a9cd-352d-868a-c26cdcdf1a86"]},{"id":"ITEM-4","itemData":{"DOI":"10.1016/J.RENENE.2020.06.015","ISSN":"0960-1481","abstract":"In recent times, physical-capital investment has been outweighed by research and development expenditure in terms of their growth impact. However, how such expenditure affect economic expansion in the presence of energy consumption is yet to be given thorough attention in the literature. Consequently, this study used data from 1997 to 2015 for 16 EU countries to demonstrate how expenditure on research and development drives growth in the presence of renewable and nonrenewable energy consumption. Empirical results from the Pool Mean Group Autoregressive distributive lag model (PMG-ARDL) revealed that in the short run, investment in research and development adversely affect growth prospect in the EU. However, in the long run, research-led growth is evident alongside energy consumption, although the latter outweighs the former. Additionally, result from Dumitrescu and Hurlin Panel Causality tests showed a feedback causality between energy consumption, research and expenditure and economic growth. The findings of this study make it essential for EU countries to boost spending on renewable energy sources. Additionally, EU countries should pay closer attention to investment in research and development in order to sustain the plan for long term advancement in sustainable power sources for feasible energy and economic development.","author":[{"dropping-particle":"","family":"Adedoyin","given":"Festus Fatai","non-dropping-particle":"","parse-names":false,"suffix":""},{"dropping-particle":"","family":"Bekun","given":"Festus Victor","non-dropping-particle":"","parse-names":false,"suffix":""},{"dropping-particle":"","family":"Alola","given":"Andrew Adewale","non-dropping-particle":"","parse-names":false,"suffix":""}],"container-title":"Renewable Energy","id":"ITEM-4","issued":{"date-parts":[["2020","10","1"]]},"page":"1139-1145","publisher":"Pergamon","title":"Growth impact of transition from non-renewable to renewable energy in the EU: The role of research and development expenditure","type":"article-journal","volume":"159"},"uris":["http://www.mendeley.com/documents/?uuid=d3d3b082-6a2f-35cd-844f-0732a0589f64"]},{"id":"ITEM-5","itemData":{"DOI":"10.1016/J.ERSS.2020.101544","ISSN":"2214-6296","abstract":"Social sciences have been very prolific in the last decades in publishing research that attempts to better understand the social acceptance of renewable energy technologies and associated infrastructures (RET) – such as high voltage power lines – and processes – such as communities’ participation in related decision-making processes. This Perspective proposes that this might be a good point in time, roughly 30 years after social sciences begun looking at the social side of RET, to offer a (over)view on that research, if and how it has changed over time and where it leaves us currently or, in other words, which directions we should follow in the future. I first provide an overview of research on the social acceptance of RET, suggesting that it can be roughly organized around three waves - normative, criticism and critical -; for then identifying and discussing some avenues for future research.","author":[{"dropping-particle":"","family":"Batel","given":"Susana","non-dropping-particle":"","parse-names":false,"suffix":""}],"container-title":"Energy Research &amp; Social Science","id":"ITEM-5","issued":{"date-parts":[["2020","10","1"]]},"page":"101544","publisher":"Elsevier","title":"Research on the social acceptance of renewable energy technologies: Past, present and future","type":"article-journal","volume":"68"},"uris":["http://www.mendeley.com/documents/?uuid=7144aa40-6393-3881-b62f-c5f967ba96ab"]}],"mendeley":{"formattedCitation":"(Adedoyin et al., 2020; Batel, 2020; Carbajo &amp; Cabeza, 2019; Jurasz et al., 2020; Zafar et al., 2019)","plainTextFormattedCitation":"(Adedoyin et al., 2020; Batel, 2020; Carbajo &amp; Cabeza, 2019; Jurasz et al., 2020; Zafar et al., 2019)","previouslyFormattedCitation":"(Adedoyin et al., 2020; Batel, 2020; Carbajo &amp; Cabeza, 2019; Jurasz et al., 2020; Zafar et al., 2019)"},"properties":{"noteIndex":0},"schema":"https://github.com/citation-style-language/schema/raw/master/csl-citation.json"}</w:instrText>
      </w:r>
      <w:r w:rsidR="006B0DFC">
        <w:rPr>
          <w:lang w:val="en-US"/>
        </w:rPr>
        <w:fldChar w:fldCharType="separate"/>
      </w:r>
      <w:r w:rsidR="00A97D34" w:rsidRPr="00A97D34">
        <w:rPr>
          <w:noProof/>
          <w:lang w:val="en-US"/>
        </w:rPr>
        <w:t>(Adedoyin et al., 2020; Batel, 2020; Carbajo &amp; Cabeza, 2019; Jurasz et al., 2020; Zafar et al., 2019)</w:t>
      </w:r>
      <w:r w:rsidR="006B0DFC">
        <w:rPr>
          <w:lang w:val="en-US"/>
        </w:rPr>
        <w:fldChar w:fldCharType="end"/>
      </w:r>
      <w:r w:rsidR="00DF4E22">
        <w:rPr>
          <w:lang w:val="en-US"/>
        </w:rPr>
        <w:t xml:space="preserve">. </w:t>
      </w:r>
      <w:r w:rsidR="00B94B06">
        <w:rPr>
          <w:lang w:val="en-US"/>
        </w:rPr>
        <w:t>M</w:t>
      </w:r>
      <w:r w:rsidR="00DF4E22">
        <w:rPr>
          <w:lang w:val="en-US"/>
        </w:rPr>
        <w:t>any renewable energy technologies hav</w:t>
      </w:r>
      <w:r w:rsidR="00B94B06">
        <w:rPr>
          <w:lang w:val="en-US"/>
        </w:rPr>
        <w:t>e</w:t>
      </w:r>
      <w:r w:rsidR="00DF4E22">
        <w:rPr>
          <w:lang w:val="en-US"/>
        </w:rPr>
        <w:t xml:space="preserve"> fewer separate</w:t>
      </w:r>
      <w:r w:rsidR="00B94B06">
        <w:rPr>
          <w:lang w:val="en-US"/>
        </w:rPr>
        <w:t xml:space="preserve"> physical</w:t>
      </w:r>
      <w:r w:rsidR="00DF4E22">
        <w:rPr>
          <w:lang w:val="en-US"/>
        </w:rPr>
        <w:t xml:space="preserve"> stages of energy conversion between raw material and the pow</w:t>
      </w:r>
      <w:r w:rsidR="00B94B06">
        <w:rPr>
          <w:lang w:val="en-US"/>
        </w:rPr>
        <w:t>er generator compared to fossil-fuel plants</w:t>
      </w:r>
      <w:r w:rsidR="0049397B">
        <w:rPr>
          <w:lang w:val="en-US"/>
        </w:rPr>
        <w:t xml:space="preserve"> </w:t>
      </w:r>
      <w:r w:rsidR="0049397B">
        <w:rPr>
          <w:lang w:val="en-US"/>
        </w:rPr>
        <w:fldChar w:fldCharType="begin" w:fldLock="1"/>
      </w:r>
      <w:r w:rsidR="008E6BA7">
        <w:rPr>
          <w:lang w:val="en-US"/>
        </w:rPr>
        <w:instrText>ADDIN CSL_CITATION {"citationItems":[{"id":"ITEM-1","itemData":{"DOI":"10.1109/ICEE49691.2020.9249780","ISBN":"9781728182926","abstract":"Economic and social development of the country is highly dependent on the use of energy. In Turkey, electricity is mainly generated from thermal plants and Turkey imports fossil fuels from other countries. Turkey produces more than 55 percent of the electricity from thermal power plants. Turkey has several economic and geographical advantages; renewable energy resources are mainly from them. Thermal plants produce air pollution, which contributes to a significant number of environmental and health effects. Due to geographical locational advantages, renewable energy is the best solution for Turkey. Renewable energy just not minimize the dependence of Turkey from other countries but it will be also a great step towards a sustainable future. In an electric power system, smart grids have been successfully applied and distributed energy resources can be used efficiently by using smart grids. The first section in this work provides the distribution of electricity generation in Turkey. This paper also investigates the importance and advantages of renewable energy and the challenges of integrating renewable energy in the smart grid. Renewable energy can be used smartly and efficiently by using smart grids. However, smart technologies and renewable energy resources still need more research to become more efficient.","author":[{"dropping-particle":"","family":"Dawood","given":"Kamran","non-dropping-particle":"","parse-names":false,"suffix":""}],"container-title":"2020 International Conference on Electrical Engineering, ICEE 2020","id":"ITEM-1","issued":{"date-parts":[["2020","9","25"]]},"publisher":"Institute of Electrical and Electronics Engineers Inc.","title":"An overview of renewable energy and challenges of integrating renewable energy in a smart grid system in Turkey","type":"article-journal"},"uris":["http://www.mendeley.com/documents/?uuid=0e8b5bbf-03a6-3441-8c99-322cce019de9"]}],"mendeley":{"formattedCitation":"(Dawood, 2020)","plainTextFormattedCitation":"(Dawood, 2020)","previouslyFormattedCitation":"(Dawood, 2020)"},"properties":{"noteIndex":0},"schema":"https://github.com/citation-style-language/schema/raw/master/csl-citation.json"}</w:instrText>
      </w:r>
      <w:r w:rsidR="0049397B">
        <w:rPr>
          <w:lang w:val="en-US"/>
        </w:rPr>
        <w:fldChar w:fldCharType="separate"/>
      </w:r>
      <w:r w:rsidR="00A97D34" w:rsidRPr="00A97D34">
        <w:rPr>
          <w:noProof/>
          <w:lang w:val="en-US"/>
        </w:rPr>
        <w:t>(Dawood, 2020)</w:t>
      </w:r>
      <w:r w:rsidR="0049397B">
        <w:rPr>
          <w:lang w:val="en-US"/>
        </w:rPr>
        <w:fldChar w:fldCharType="end"/>
      </w:r>
      <w:r w:rsidR="00116EAE">
        <w:rPr>
          <w:lang w:val="en-US"/>
        </w:rPr>
        <w:t>.</w:t>
      </w:r>
      <w:r w:rsidR="00DF4E22">
        <w:rPr>
          <w:lang w:val="en-US"/>
        </w:rPr>
        <w:t xml:space="preserve"> Most renewable sources also have</w:t>
      </w:r>
      <w:r w:rsidR="00D4146B">
        <w:rPr>
          <w:lang w:val="en-US"/>
        </w:rPr>
        <w:t xml:space="preserve"> </w:t>
      </w:r>
      <w:r w:rsidR="009861F9">
        <w:rPr>
          <w:lang w:val="en-US"/>
        </w:rPr>
        <w:t xml:space="preserve">a </w:t>
      </w:r>
      <w:r w:rsidR="00D4146B">
        <w:rPr>
          <w:lang w:val="en-US"/>
        </w:rPr>
        <w:t xml:space="preserve">lower environmental impact compared to non-renewable energy sources and </w:t>
      </w:r>
      <w:r w:rsidR="009861F9">
        <w:rPr>
          <w:lang w:val="en-US"/>
        </w:rPr>
        <w:t>can</w:t>
      </w:r>
      <w:r w:rsidR="00D4146B">
        <w:rPr>
          <w:lang w:val="en-US"/>
        </w:rPr>
        <w:t xml:space="preserve"> be implemented economically on a wide range of scales, from a few watts to </w:t>
      </w:r>
      <w:r w:rsidR="00C46499">
        <w:rPr>
          <w:lang w:val="en-US"/>
        </w:rPr>
        <w:t>several megawatts of power</w:t>
      </w:r>
      <w:r w:rsidR="0049397B">
        <w:rPr>
          <w:lang w:val="en-US"/>
        </w:rPr>
        <w:t xml:space="preserve"> </w:t>
      </w:r>
      <w:r w:rsidR="0049397B">
        <w:rPr>
          <w:lang w:val="en-US"/>
        </w:rPr>
        <w:fldChar w:fldCharType="begin" w:fldLock="1"/>
      </w:r>
      <w:r w:rsidR="008E6BA7">
        <w:rPr>
          <w:lang w:val="en-US"/>
        </w:rPr>
        <w:instrText>ADDIN CSL_CITATION {"citationItems":[{"id":"ITEM-1","itemData":{"ISBN":"978-3-319-14940-0","ISSN":"0885-8993","abstract":"An Introduction to Theory, Modeling with MATLAB/SIMULINK, and the Role of Soft Computing Techniques","author":[{"dropping-particle":"","family":"Sumathi","given":"S.","non-dropping-particle":"","parse-names":false,"suffix":""},{"dropping-particle":"","family":"Ashok Kumar","given":"L.","non-dropping-particle":"","parse-names":false,"suffix":""},{"dropping-particle":"","family":"Surekha","given":"P.","non-dropping-particle":"","parse-names":false,"suffix":""}],"container-title":"Green Energy and Technology","id":"ITEM-1","issued":{"date-parts":[["2015"]]},"number-of-pages":"807","title":"Solar PV and Wind Energy Conversion Systems","type":"book"},"uris":["http://www.mendeley.com/documents/?uuid=79f1d9d7-b9db-47b5-99b5-6b32736b26c5"]}],"mendeley":{"formattedCitation":"(Sumathi et al., 2015)","plainTextFormattedCitation":"(Sumathi et al., 2015)","previouslyFormattedCitation":"(Sumathi et al., 2015)"},"properties":{"noteIndex":0},"schema":"https://github.com/citation-style-language/schema/raw/master/csl-citation.json"}</w:instrText>
      </w:r>
      <w:r w:rsidR="0049397B">
        <w:rPr>
          <w:lang w:val="en-US"/>
        </w:rPr>
        <w:fldChar w:fldCharType="separate"/>
      </w:r>
      <w:r w:rsidR="00A97D34" w:rsidRPr="00A97D34">
        <w:rPr>
          <w:noProof/>
          <w:lang w:val="en-US"/>
        </w:rPr>
        <w:t>(Sumathi et al., 2015)</w:t>
      </w:r>
      <w:r w:rsidR="0049397B">
        <w:rPr>
          <w:lang w:val="en-US"/>
        </w:rPr>
        <w:fldChar w:fldCharType="end"/>
      </w:r>
      <w:r w:rsidR="00C46499">
        <w:rPr>
          <w:lang w:val="en-US"/>
        </w:rPr>
        <w:t>.</w:t>
      </w:r>
    </w:p>
    <w:p w14:paraId="0289C4E0" w14:textId="2322AA11" w:rsidR="002A3A18" w:rsidRDefault="00F86580" w:rsidP="00F03645">
      <w:pPr>
        <w:spacing w:line="480" w:lineRule="auto"/>
        <w:rPr>
          <w:lang w:val="en-US"/>
        </w:rPr>
      </w:pPr>
      <w:r>
        <w:rPr>
          <w:lang w:val="en-US"/>
        </w:rPr>
        <w:t xml:space="preserve">Heating, cooling, ventilation, illumination, and mechanical </w:t>
      </w:r>
      <w:r w:rsidR="00F561BD">
        <w:rPr>
          <w:lang w:val="en-US"/>
        </w:rPr>
        <w:t xml:space="preserve">systems in </w:t>
      </w:r>
      <w:r>
        <w:rPr>
          <w:lang w:val="en-US"/>
        </w:rPr>
        <w:t xml:space="preserve">modern </w:t>
      </w:r>
      <w:r w:rsidR="00F561BD">
        <w:rPr>
          <w:lang w:val="en-US"/>
        </w:rPr>
        <w:t xml:space="preserve">commercial, industrial, recreational, and residential buildings have relied on electricity as the </w:t>
      </w:r>
      <w:r w:rsidR="002A3A18">
        <w:rPr>
          <w:lang w:val="en-US"/>
        </w:rPr>
        <w:t xml:space="preserve">major </w:t>
      </w:r>
      <w:r w:rsidR="00702FEB">
        <w:rPr>
          <w:lang w:val="en-US"/>
        </w:rPr>
        <w:t>source</w:t>
      </w:r>
      <w:r w:rsidR="002A3A18">
        <w:rPr>
          <w:lang w:val="en-US"/>
        </w:rPr>
        <w:t xml:space="preserve"> of energy input for decades</w:t>
      </w:r>
      <w:r w:rsidR="00BA4F0B">
        <w:rPr>
          <w:lang w:val="en-US"/>
        </w:rPr>
        <w:t xml:space="preserve"> </w:t>
      </w:r>
      <w:r w:rsidR="003579F5">
        <w:rPr>
          <w:lang w:val="en-US"/>
        </w:rPr>
        <w:fldChar w:fldCharType="begin" w:fldLock="1"/>
      </w:r>
      <w:r w:rsidR="008E6BA7">
        <w:rPr>
          <w:lang w:val="en-US"/>
        </w:rPr>
        <w:instrText>ADDIN CSL_CITATION {"citationItems":[{"id":"ITEM-1","itemData":{"DOI":"10.1016/J.RSER.2017.04.095","ISSN":"1364-0321","abstract":"Energy is the lifeblood of modern societies. In the past decades, the world's energy consumption and associated CO2 emissions increased rapidly due to the increases in population and comfort demands of people. Building energy consumption prediction is essential for energy planning, management, and conservation. Data-driven models provide a practical approach to energy consumption prediction. This paper offers a review of the studies that developed data-driven building energy consumption prediction models, with a particular focus on reviewing the scopes of prediction, the data properties and the data preprocessing methods used, the machine learning algorithms utilized for prediction, and the performance measures used for evaluation. Based on this review, existing research gaps are identified and future research directions in the area of data-driven building energy consumption prediction are highlighted.","author":[{"dropping-particle":"","family":"Amasyali","given":"Kadir","non-dropping-particle":"","parse-names":false,"suffix":""},{"dropping-particle":"","family":"El-Gohary","given":"Nora M.","non-dropping-particle":"","parse-names":false,"suffix":""}],"container-title":"Renewable and Sustainable Energy Reviews","id":"ITEM-1","issued":{"date-parts":[["2018","1","1"]]},"page":"1192-1205","publisher":"Pergamon","title":"A review of data-driven building energy consumption prediction studies","type":"article-journal","volume":"81"},"uris":["http://www.mendeley.com/documents/?uuid=6ac72593-8c26-3350-8d07-db7dcc3a74e3"]},{"id":"ITEM-2","itemData":{"DOI":"10.1016/J.ENBUILD.2018.01.017","ISSN":"0378-7788","abstract":"Energy consumption models play an integral part in energy management and conservation, as it pertains to buildings. It can assist in evaluating building energy efficiency, in carrying out building commissioning, and in identifying and diagnosing building system faults. This review takes an in-depth look at energy-demand prediction models for buildings in that it delves into recent developments in building energy approaches used to predict energy usage. By enlisting current approaches to the modelling of buildings, methods for building energy simulations can be categorized into four level classes as follows: (i) data-driven approaches; (ii) physics-based approaches; (iii) large scale building energy forecasting approaches; and (iv) hybrid approaches. The focus of this review is to target the data-driven approach and large-scale building energy predicting-based approaches. Here the data driven approaches can be categorized by (1) artificial neural network based approaches; (2) clustering based approaches; (3) statistical and machine learning-based approaches; and (4) support vector machine based approaches. From there, the type of data-driven based approach is further grouped by (a) benchmarking models; (b) energy-mapping models; (c) energy forecasting models; and (d) energy profiling models. Large-scale building-energy prediction techniques is then categorized as follows: (1) white-box based approaches; (2) black-box based approaches, and (3) grey-box based approaches. The current study explores first-rate data-driven based approaches about building energy analysis for industrial, commercial, domestic, etc., within a rural and urban setting. This review paper is based on the necessity of identifying points of departure and research opportunities for urban and rural-level analyses of building level energy performance. A variety of issues are explored which include: energy performance metrics; end-use of different building types; multiple levels of granularity; and urban and rural scales. Each technique encompasses a variety of input information as well as varying calculations or simulation models along with furnishing contrasting outcomes that suggest a variety of usages. A thorough review of each technique is presented in this study. This review highlights strengths, shortcomings, and purpose of the methods of numerous data-mining based approaches. A comprehensive review of energy forecasting models that are specified in the literature part is also provi…","author":[{"dropping-particle":"","family":"Ahmad","given":"Tanveer","non-dropping-particle":"","parse-names":false,"suffix":""},{"dropping-particle":"","family":"Chen","given":"Huanxin","non-dropping-particle":"","parse-names":false,"suffix":""},{"dropping-particle":"","family":"Guo","given":"Yabin","non-dropping-particle":"","parse-names":false,"suffix":""},{"dropping-particle":"","family":"Wang","given":"Jiangyu","non-dropping-particle":"","parse-names":false,"suffix":""}],"container-title":"Energy and Buildings","id":"ITEM-2","issued":{"date-parts":[["2018","4","15"]]},"page":"301-320","publisher":"Elsevier","title":"A comprehensive overview on the data driven and large scale based approaches for forecasting of building energy demand: A review","type":"article-journal","volume":"165"},"uris":["http://www.mendeley.com/documents/?uuid=04969e18-0b34-3577-8ee0-37fbdd0faa11"]},{"id":"ITEM-3","itemData":{"DOI":"10.1016/J.RSER.2018.05.029","ISSN":"1364-0321","abstract":"Uncertainty analysis in building energy assessment has become an active research field because a number of factors influencing energy use in buildings are inherently uncertain. This paper provides a systematic review on the latest research progress of uncertainty analysis in building energy assessment from four perspectives: uncertainty data sources, forward and inverse methods, application of uncertainty analysis, and available software. First, this paper describes the data sources of uncertainty in building performance analysis to provide a firm foundation for specifying variations of uncertainty factors affecting building energy. The next two sections focus on the forward and inverse methods. Forward uncertainty analysis propagates input uncertainty through building energy models to obtain variations of energy use, whereas inverse uncertainty analysis infers unknown input factors through building energy models based on energy data and prior information. For forward analysis, three types of approaches (Monte Carlo, non-sampling, and non-probabilistic) are discussed to provide sufficient choices of uncertainty methods depending on the purpose and specific application of a building project. For inverse analysis, recent research has concentrated more on Bayesian computation because Bayesian inverse methods can make full use of prior information on unknown variables. Fourth, several applications of uncertainty analysis in building energy assessment are discussed, including building stock analysis, HVAC system sizing, variations of sensitivity indicators, and optimization under uncertainty. Moreover, the software for uncertainty analysis is described to provide flexible computational environments for implementing uncertainty methods described in this review. This paper concludes with the trends and recommendations for further research to provide more convenient and robust uncertainty analysis of building energy. Uncertainty analysis has been ready to become the mainstream approach in building energy assessment although a number of issues still need to be addressed.","author":[{"dropping-particle":"","family":"Tian","given":"Wei","non-dropping-particle":"","parse-names":false,"suffix":""},{"dropping-particle":"","family":"Heo","given":"Yeonsook","non-dropping-particle":"","parse-names":false,"suffix":""},{"dropping-particle":"","family":"Wilde","given":"Pieter","non-dropping-particle":"de","parse-names":false,"suffix":""},{"dropping-particle":"","family":"Li","given":"Zhanyong","non-dropping-particle":"","parse-names":false,"suffix":""},{"dropping-particle":"","family":"Yan","given":"Da","non-dropping-particle":"","parse-names":false,"suffix":""},{"dropping-particle":"","family":"Park","given":"Cheol Soo","non-dropping-particle":"","parse-names":false,"suffix":""},{"dropping-particle":"","family":"Feng","given":"Xiaohang","non-dropping-particle":"","parse-names":false,"suffix":""},{"dropping-particle":"","family":"Augenbroe","given":"Godfried","non-dropping-particle":"","parse-names":false,"suffix":""}],"container-title":"Renewable and Sustainable Energy Reviews","id":"ITEM-3","issued":{"date-parts":[["2018","10","1"]]},"page":"285-301","publisher":"Pergamon","title":"A review of uncertainty analysis in building energy assessment","type":"article-journal","volume":"93"},"uris":["http://www.mendeley.com/documents/?uuid=0e475a9f-2b1d-3f6d-a279-802d22dee223"]},{"id":"ITEM-4","itemData":{"DOI":"10.1016/J.APENERGY.2018.12.042","ISSN":"0306-2619","abstract":"Load forecasting problems have traditionally been addressed using various statistical methods, among which autoregressive integrated moving average with exogenous inputs (ARIMAX) has gained the most attention as a classical time-series modeling method. Recently, the booming development of deep learning techniques make them promising alternatives to conventional data-driven approaches. While deep learning offers exceptional capability in handling complex non-linear relationships, model complexity and computation efficiency are of concern. A few papers have explored the possibility of applying deep neural networks to forecast time-series load data but only limited to system-level or single-step building-level forecasting. This study, however, aims at filling in the knowledge gap of deep learning-based techniques for day-ahead multi-step load forecasting in commercial buildings. Two classical deep neural network models, namely recurrent neural network (RNN) and convolutional neural network (CNN), have been proposed and formulated under both recursive and direct multi-step manners. Their performances are compared with the Seasonal ARIMAX model with regard to accuracy, computational efficiency, generalizability and robustness. Among all of the investigated deep learning techniques, the gated 24-h CNN model, performed in a direct multi-step manner, proves itself to have the best performance, improving the forecasting accuracy by 22.6% compared to that of the seasonal ARIMAX.","author":[{"dropping-particle":"","family":"Cai","given":"Mengmeng","non-dropping-particle":"","parse-names":false,"suffix":""},{"dropping-particle":"","family":"Pipattanasomporn","given":"Manisa","non-dropping-particle":"","parse-names":false,"suffix":""},{"dropping-particle":"","family":"Rahman","given":"Saifur","non-dropping-particle":"","parse-names":false,"suffix":""}],"container-title":"Applied Energy","id":"ITEM-4","issued":{"date-parts":[["2019","2","15"]]},"page":"1078-1088","publisher":"Elsevier","title":"Day-ahead building-level load forecasts using deep learning vs. traditional time-series techniques","type":"article-journal","volume":"236"},"uris":["http://www.mendeley.com/documents/?uuid=744f644b-618d-378d-9949-7aac3ecbabd0"]}],"mendeley":{"formattedCitation":"(Ahmad et al., 2018; Amasyali &amp; El-Gohary, 2018; Cai et al., 2019; Tian et al., 2018)","plainTextFormattedCitation":"(Ahmad et al., 2018; Amasyali &amp; El-Gohary, 2018; Cai et al., 2019; Tian et al., 2018)","previouslyFormattedCitation":"(Ahmad et al., 2018; Amasyali &amp; El-Gohary, 2018; Cai et al., 2019; Tian et al., 2018)"},"properties":{"noteIndex":0},"schema":"https://github.com/citation-style-language/schema/raw/master/csl-citation.json"}</w:instrText>
      </w:r>
      <w:r w:rsidR="003579F5">
        <w:rPr>
          <w:lang w:val="en-US"/>
        </w:rPr>
        <w:fldChar w:fldCharType="separate"/>
      </w:r>
      <w:r w:rsidR="00A97D34" w:rsidRPr="00A97D34">
        <w:rPr>
          <w:noProof/>
          <w:lang w:val="en-US"/>
        </w:rPr>
        <w:t>(Ahmad et al., 2018; Amasyali &amp; El-Gohary, 2018; Cai et al., 2019; Tian et al., 2018)</w:t>
      </w:r>
      <w:r w:rsidR="003579F5">
        <w:rPr>
          <w:lang w:val="en-US"/>
        </w:rPr>
        <w:fldChar w:fldCharType="end"/>
      </w:r>
      <w:r w:rsidR="00F561BD">
        <w:rPr>
          <w:lang w:val="en-US"/>
        </w:rPr>
        <w:t>. Transportation</w:t>
      </w:r>
      <w:r w:rsidR="002A3A18">
        <w:rPr>
          <w:lang w:val="en-US"/>
        </w:rPr>
        <w:t>, however</w:t>
      </w:r>
      <w:r>
        <w:rPr>
          <w:lang w:val="en-US"/>
        </w:rPr>
        <w:t>,</w:t>
      </w:r>
      <w:r w:rsidR="00F561BD">
        <w:rPr>
          <w:lang w:val="en-US"/>
        </w:rPr>
        <w:t xml:space="preserve"> has been a sector relying mainly on fossil fuel combustion for its energy. </w:t>
      </w:r>
      <w:r w:rsidR="002A3A18">
        <w:rPr>
          <w:lang w:val="en-US"/>
        </w:rPr>
        <w:t>Nevertheless</w:t>
      </w:r>
      <w:r w:rsidR="00F561BD">
        <w:rPr>
          <w:lang w:val="en-US"/>
        </w:rPr>
        <w:t>, recently, the trends in the electric transport industry have produced disruptive technologies such as electric trains, electric vehicles, and even aircraft and seacraft</w:t>
      </w:r>
      <w:r w:rsidR="009861F9">
        <w:rPr>
          <w:lang w:val="en-US"/>
        </w:rPr>
        <w:t>s</w:t>
      </w:r>
      <w:r w:rsidR="00F561BD">
        <w:rPr>
          <w:lang w:val="en-US"/>
        </w:rPr>
        <w:t xml:space="preserve"> that do not rely on</w:t>
      </w:r>
      <w:r w:rsidR="002A3A18">
        <w:rPr>
          <w:lang w:val="en-US"/>
        </w:rPr>
        <w:t xml:space="preserve"> combustion engines but electric engines</w:t>
      </w:r>
      <w:r w:rsidR="00681866">
        <w:rPr>
          <w:lang w:val="en-US"/>
        </w:rPr>
        <w:t xml:space="preserve"> </w:t>
      </w:r>
      <w:r w:rsidR="00AB458C">
        <w:rPr>
          <w:lang w:val="en-US"/>
        </w:rPr>
        <w:fldChar w:fldCharType="begin" w:fldLock="1"/>
      </w:r>
      <w:r w:rsidR="008E6BA7">
        <w:rPr>
          <w:lang w:val="en-US"/>
        </w:rPr>
        <w:instrText>ADDIN CSL_CITATION {"citationItems":[{"id":"ITEM-1","itemData":{"ISBN":"VO  -","author":[{"dropping-particle":"","family":"Anderson","given":"A D","non-dropping-particle":"","parse-names":false,"suffix":""},{"dropping-particle":"","family":"Renner","given":"N J","non-dropping-particle":"","parse-names":false,"suffix":""},{"dropping-particle":"","family":"Wang","given":"Y","non-dropping-particle":"","parse-names":false,"suffix":""},{"dropping-particle":"","family":"Agrawal","given":"S","non-dropping-particle":"","parse-names":false,"suffix":""},{"dropping-particle":"","family":"Sirimanna","given":"S","non-dropping-particle":"","parse-names":false,"suffix":""},{"dropping-particle":"","family":"Lee","given":"D","non-dropping-particle":"","parse-names":false,"suffix":""},{"dropping-particle":"","family":"Banerjee","given":"A","non-dropping-particle":"","parse-names":false,"suffix":""},{"dropping-particle":"","family":"Haran","given":"K","non-dropping-particle":"","parse-names":false,"suffix":""},{"dropping-particle":"","family":"Starr","given":"M J","non-dropping-particle":"","parse-names":false,"suffix":""},{"dropping-particle":"","family":"Felder","given":"J L","non-dropping-particle":"","parse-names":false,"suffix":""}],"container-title":"2018 AIAA/IEEE Electric Aircraft Technologies Symposium (EATS)","id":"ITEM-1","issued":{"date-parts":[["2018"]]},"page":"1-16","title":"System Weight Comparison of Electric Machine Topologies for Electric Aircraft Propulsion","type":"paper-conference"},"uris":["http://www.mendeley.com/documents/?uuid=a83c209d-e319-428c-bcca-e7129c187220"]},{"id":"ITEM-2","itemData":{"DOI":"10.1016/J.ISATRA.2020.01.011","ISSN":"0019-0578","PMID":"32014242","abstract":"This article presents a supervisory model predictive control system to track the desired speed profile and simultaneously prevent the wheels from slipping in acceleration mode of electrical trains. The proposed control strategy employs field-oriented control (FOC) to control the angular speed of the wheel. Model predictive control (MPC) is used to control the longitudinal velocity of the train to track the desired speed profile and prevent the wheels from slipping by generating the desired angular velocity for the FOC. Since, it is not possible to control the longitudinal velocity and slip ratio independently, a fuzzy supervisor system is proposed to control the train dynamics at the appropriate operating point. A method is presented to estimate train longitudinal velocity and the adhesion coefficient between the wheels and rail surface. These components are vital to implement the proposed method in a real train control system. The closed loop stability of the control system has been studied. Simulations were run under different friction coefficients corresponding to real train parameters to verify the effectiveness of the proposed re-adhesion control system. The simulation results have been compared with the results of other researches to show the feasibility and validity of the presented approach.","author":[{"dropping-particle":"","family":"Moaveni","given":"Bijan","non-dropping-particle":"","parse-names":false,"suffix":""},{"dropping-particle":"","family":"Fathabadi","given":"Fatemeh Rashidi","non-dropping-particle":"","parse-names":false,"suffix":""},{"dropping-particle":"","family":"Molavi","given":"Ali","non-dropping-particle":"","parse-names":false,"suffix":""}],"container-title":"ISA Transactions","id":"ITEM-2","issued":{"date-parts":[["2020","6","1"]]},"page":"102-115","publisher":"Elsevier","title":"Supervisory predictive control for wheel slip prevention and tracking of desired speed profile in electric trains","type":"article-journal","volume":"101"},"uris":["http://www.mendeley.com/documents/?uuid=3e4603c1-d86f-3f49-8e20-71244dd2722e"]},{"id":"ITEM-3","itemData":{"DOI":"10.1016/J.JCLEPRO.2020.121703","ISSN":"0959-6526","abstract":"To deal with severe energy and environmental problems, the development of electric vehicles has become a global consensus. Faced with the challenges of the future development of electric vehicles in China, the government has been continuously introducing policies promoting electric vehicle industry. This paper uses the NW (Newman and Watts) ‘small world’ network model to explore the dynamic effects of different policies on the diffusion of electric vehicles. The results show that the government's purchase subsidy policy and restricted travel policy can promote the diffusion rate of automobiles to 60%, and the short-term effect is remarkable. Production subsidies and infrastructure construction policies can promote the diffusion rate of electric vehicles to 70%. Manufacturers’ production subsidies have a greater impact on electric vehicles than consumers’ purchase subsidies. At the same time, low electricity prices and high oil prices will drive the diffusion rate of electric vehicles to 60% and 70% respectively. Finally, combined with the current policy and industry development status, the future development prospects are proposed.","author":[{"dropping-particle":"","family":"Hu","given":"Yi","non-dropping-particle":"","parse-names":false,"suffix":""},{"dropping-particle":"","family":"Wang","given":"Ziyi","non-dropping-particle":"","parse-names":false,"suffix":""},{"dropping-particle":"","family":"Li","given":"Xuerong","non-dropping-particle":"","parse-names":false,"suffix":""}],"container-title":"Journal of Cleaner Production","id":"ITEM-3","issued":{"date-parts":[["2020","8","20"]]},"page":"121703","publisher":"Elsevier","title":"Impact of policies on electric vehicle diffusion: An evolutionary game of small world network analysis","type":"article-journal","volume":"265"},"uris":["http://www.mendeley.com/documents/?uuid=0a91bbb5-ba70-365a-a675-b4fe459127ec"]},{"id":"ITEM-4","itemData":{"DOI":"10.3390/APP11167178","ISSN":"20763417","abstract":"With the dynamic growth in both the global hunger for electrical energy and the share of variable renewable energy sources in the energy mix, distribution networks are facing new challenges where conventional solutions may not be the best ones. The increase in load in distribution grids is routinely countered by network development and expansion, in a great part to supply for on-peak load demand, which could also be done by utilizing supplementary technologies to lessen the need for or defer such expansion. Vehicle-to-grid technology could efficiently contribute to handling this issue, as electric vehicles can potentially function as storage capacities to mitigate the fluctuations of power generation. The battery energy storage systems of hybrid or completely electric watercraft, which are becoming increasingly popular, are no exception, either. These vehicles represent a considerable potential to create more complex vehicle-to-grid solutions for countries with significant inland or seaport networks, for example, Hungary, with the largest lake of Central Europe. Since there is only deficient information on the topic, the main goal of this study was to explore the energy storage capacities of small electric boats in the context of Lake Balaton, Hungary. By this example, the paper presents the potential utilization of Europe’s significant network of sea and inland recreational ports for the purpose of energy storage. Similarly to other European countries, Hungary’s energy strategy for 2030 also includes the promotion of virtual production integration, local energy communities and micro-grid solutions. At the beginning of 2021, the small electric boats in the sailing marinas of Lake Balaton represented a cumulative energy storage capacity of 4.8 MWh, which may reach even 15.6 MWh by 2030, by the promotion of micro-grid solutions. The innovative novelty of this study is that it regards small fully electric boats not just as vehicles, but also explores their energy storage potentials. The novel goal of these examinations is to explore the volume of the energy storage potentials of the small fully electric boats around Lake Balaton, the knowledge of which may facilitate the creation of new types of flexibility services related to energy storage.","author":[{"dropping-particle":"","family":"Pintér","given":"Gábor","non-dropping-particle":"","parse-names":false,"suffix":""},{"dropping-particle":"","family":"Vincze","given":"András","non-dropping-particle":"","parse-names":false,"suffix":""},{"dropping-particle":"","family":"Baranyai","given":"Nóra Hegedűsné","non-dropping-particle":"","parse-names":false,"suffix":""},{"dropping-particle":"","family":"Zsiborács","given":"Henrik","non-dropping-particle":"","parse-names":false,"suffix":""}],"container-title":"Applied Sciences 2021, Vol. 11, Page 7178","id":"ITEM-4","issue":"16","issued":{"date-parts":[["2021","8","4"]]},"page":"7178","publisher":"Multidisciplinary Digital Publishing Institute","title":"Boat-to-Grid Electrical Energy Storage Potentials around the Largest Lake in Central Europe","type":"article-journal","volume":"11"},"uris":["http://www.mendeley.com/documents/?uuid=c46833d2-7836-3ebe-a51a-65f5266a49ed"]}],"mendeley":{"formattedCitation":"(Anderson et al., 2018; Hu et al., 2020; Moaveni et al., 2020; Pintér et al., 2021)","plainTextFormattedCitation":"(Anderson et al., 2018; Hu et al., 2020; Moaveni et al., 2020; Pintér et al., 2021)","previouslyFormattedCitation":"(Anderson et al., 2018; Hu et al., 2020; Moaveni et al., 2020; Pintér et al., 2021)"},"properties":{"noteIndex":0},"schema":"https://github.com/citation-style-language/schema/raw/master/csl-citation.json"}</w:instrText>
      </w:r>
      <w:r w:rsidR="00AB458C">
        <w:rPr>
          <w:lang w:val="en-US"/>
        </w:rPr>
        <w:fldChar w:fldCharType="separate"/>
      </w:r>
      <w:r w:rsidR="00A97D34" w:rsidRPr="00A97D34">
        <w:rPr>
          <w:noProof/>
          <w:lang w:val="en-US"/>
        </w:rPr>
        <w:t>(Anderson et al., 2018; Hu et al., 2020; Moaveni et al., 2020; Pintér et al., 2021)</w:t>
      </w:r>
      <w:r w:rsidR="00AB458C">
        <w:rPr>
          <w:lang w:val="en-US"/>
        </w:rPr>
        <w:fldChar w:fldCharType="end"/>
      </w:r>
      <w:r w:rsidR="002A3A18">
        <w:rPr>
          <w:lang w:val="en-US"/>
        </w:rPr>
        <w:t>.</w:t>
      </w:r>
    </w:p>
    <w:p w14:paraId="7A526D9C" w14:textId="7CB53BE5" w:rsidR="00C46499" w:rsidRDefault="002A3A18" w:rsidP="00F03645">
      <w:pPr>
        <w:spacing w:line="480" w:lineRule="auto"/>
        <w:rPr>
          <w:lang w:val="en-US"/>
        </w:rPr>
      </w:pPr>
      <w:r>
        <w:rPr>
          <w:lang w:val="en-US"/>
        </w:rPr>
        <w:t>Th</w:t>
      </w:r>
      <w:r w:rsidR="00F86580">
        <w:rPr>
          <w:lang w:val="en-US"/>
        </w:rPr>
        <w:t>e</w:t>
      </w:r>
      <w:r>
        <w:rPr>
          <w:lang w:val="en-US"/>
        </w:rPr>
        <w:t>s</w:t>
      </w:r>
      <w:r w:rsidR="00F86580">
        <w:rPr>
          <w:lang w:val="en-US"/>
        </w:rPr>
        <w:t>e trends</w:t>
      </w:r>
      <w:r>
        <w:rPr>
          <w:lang w:val="en-US"/>
        </w:rPr>
        <w:t xml:space="preserve"> </w:t>
      </w:r>
      <w:r w:rsidR="00F86580">
        <w:rPr>
          <w:lang w:val="en-US"/>
        </w:rPr>
        <w:t>show</w:t>
      </w:r>
      <w:r>
        <w:rPr>
          <w:lang w:val="en-US"/>
        </w:rPr>
        <w:t xml:space="preserve"> that, increasingly, electricit</w:t>
      </w:r>
      <w:r w:rsidR="00F7614E">
        <w:rPr>
          <w:lang w:val="en-US"/>
        </w:rPr>
        <w:t>y is the form of energy being</w:t>
      </w:r>
      <w:r>
        <w:rPr>
          <w:lang w:val="en-US"/>
        </w:rPr>
        <w:t xml:space="preserve"> used in consumer applications. In other words, </w:t>
      </w:r>
      <w:r w:rsidR="00F86580">
        <w:rPr>
          <w:lang w:val="en-US"/>
        </w:rPr>
        <w:t xml:space="preserve">hypothetically, </w:t>
      </w:r>
      <w:r>
        <w:rPr>
          <w:lang w:val="en-US"/>
        </w:rPr>
        <w:t>if en</w:t>
      </w:r>
      <w:r w:rsidR="00F86580">
        <w:rPr>
          <w:lang w:val="en-US"/>
        </w:rPr>
        <w:t>ough electricity is</w:t>
      </w:r>
      <w:r w:rsidR="00F7614E">
        <w:rPr>
          <w:lang w:val="en-US"/>
        </w:rPr>
        <w:t xml:space="preserve"> provided at all points of use and </w:t>
      </w:r>
      <w:r>
        <w:rPr>
          <w:lang w:val="en-US"/>
        </w:rPr>
        <w:t>on time</w:t>
      </w:r>
      <w:r w:rsidR="00F86580">
        <w:rPr>
          <w:lang w:val="en-US"/>
        </w:rPr>
        <w:t xml:space="preserve"> as needed</w:t>
      </w:r>
      <w:r>
        <w:rPr>
          <w:lang w:val="en-US"/>
        </w:rPr>
        <w:t xml:space="preserve">, </w:t>
      </w:r>
      <w:r w:rsidR="00F86580">
        <w:rPr>
          <w:lang w:val="en-US"/>
        </w:rPr>
        <w:t xml:space="preserve">given the current level of human technological advancement, </w:t>
      </w:r>
      <w:r>
        <w:rPr>
          <w:lang w:val="en-US"/>
        </w:rPr>
        <w:t>the only use of fossil fuels will</w:t>
      </w:r>
      <w:r w:rsidR="00F86580">
        <w:rPr>
          <w:lang w:val="en-US"/>
        </w:rPr>
        <w:t xml:space="preserve"> be at</w:t>
      </w:r>
      <w:r>
        <w:rPr>
          <w:lang w:val="en-US"/>
        </w:rPr>
        <w:t xml:space="preserve"> the </w:t>
      </w:r>
      <w:r w:rsidR="00F86580">
        <w:rPr>
          <w:lang w:val="en-US"/>
        </w:rPr>
        <w:t xml:space="preserve">electric </w:t>
      </w:r>
      <w:r>
        <w:rPr>
          <w:lang w:val="en-US"/>
        </w:rPr>
        <w:t>power plants themselves. Thus, one of the most effective measures in making for a smooth transition to clean energy</w:t>
      </w:r>
      <w:r w:rsidR="009861F9">
        <w:rPr>
          <w:lang w:val="en-US"/>
        </w:rPr>
        <w:t>, in general,</w:t>
      </w:r>
      <w:r>
        <w:rPr>
          <w:lang w:val="en-US"/>
        </w:rPr>
        <w:t xml:space="preserve"> is</w:t>
      </w:r>
      <w:r w:rsidR="00F86580">
        <w:rPr>
          <w:lang w:val="en-US"/>
        </w:rPr>
        <w:t xml:space="preserve"> the</w:t>
      </w:r>
      <w:r>
        <w:rPr>
          <w:lang w:val="en-US"/>
        </w:rPr>
        <w:t xml:space="preserve"> provision of </w:t>
      </w:r>
      <w:r w:rsidR="00FD1B63">
        <w:rPr>
          <w:lang w:val="en-US"/>
        </w:rPr>
        <w:t xml:space="preserve">high amounts of </w:t>
      </w:r>
      <w:r>
        <w:rPr>
          <w:lang w:val="en-US"/>
        </w:rPr>
        <w:t>secure</w:t>
      </w:r>
      <w:r w:rsidR="00F86580">
        <w:rPr>
          <w:lang w:val="en-US"/>
        </w:rPr>
        <w:t xml:space="preserve"> and adequate</w:t>
      </w:r>
      <w:r>
        <w:rPr>
          <w:lang w:val="en-US"/>
        </w:rPr>
        <w:t xml:space="preserve"> renewable-based </w:t>
      </w:r>
      <w:r w:rsidR="00FD1B63">
        <w:rPr>
          <w:lang w:val="en-US"/>
        </w:rPr>
        <w:t>electrical energy</w:t>
      </w:r>
      <w:r>
        <w:rPr>
          <w:lang w:val="en-US"/>
        </w:rPr>
        <w:t xml:space="preserve"> to human communities</w:t>
      </w:r>
      <w:r w:rsidR="00FD1B63">
        <w:rPr>
          <w:lang w:val="en-US"/>
        </w:rPr>
        <w:t xml:space="preserve"> on demand</w:t>
      </w:r>
      <w:r w:rsidR="00F86580">
        <w:rPr>
          <w:lang w:val="en-US"/>
        </w:rPr>
        <w:t>.</w:t>
      </w:r>
    </w:p>
    <w:p w14:paraId="4743E845" w14:textId="28CAB589" w:rsidR="007B0416" w:rsidRDefault="007B0416" w:rsidP="00F03645">
      <w:pPr>
        <w:spacing w:line="480" w:lineRule="auto"/>
        <w:rPr>
          <w:lang w:val="en-US"/>
        </w:rPr>
      </w:pPr>
      <w:r>
        <w:rPr>
          <w:lang w:val="en-US"/>
        </w:rPr>
        <w:t xml:space="preserve">However, the use of renewable sources in the </w:t>
      </w:r>
      <w:r w:rsidR="00DF1E27">
        <w:rPr>
          <w:lang w:val="en-US"/>
        </w:rPr>
        <w:t xml:space="preserve">existing </w:t>
      </w:r>
      <w:r>
        <w:rPr>
          <w:lang w:val="en-US"/>
        </w:rPr>
        <w:t>electricity grid</w:t>
      </w:r>
      <w:r w:rsidR="00DF1E27">
        <w:rPr>
          <w:lang w:val="en-US"/>
        </w:rPr>
        <w:t>s</w:t>
      </w:r>
      <w:r>
        <w:rPr>
          <w:lang w:val="en-US"/>
        </w:rPr>
        <w:t xml:space="preserve"> presents a </w:t>
      </w:r>
      <w:r w:rsidR="00DF1E27">
        <w:rPr>
          <w:lang w:val="en-US"/>
        </w:rPr>
        <w:t xml:space="preserve">myriad of </w:t>
      </w:r>
      <w:r>
        <w:rPr>
          <w:lang w:val="en-US"/>
        </w:rPr>
        <w:t>engineering challenge</w:t>
      </w:r>
      <w:r w:rsidR="00DF1E27">
        <w:rPr>
          <w:lang w:val="en-US"/>
        </w:rPr>
        <w:t>s</w:t>
      </w:r>
      <w:r w:rsidR="00681866">
        <w:rPr>
          <w:lang w:val="en-US"/>
        </w:rPr>
        <w:t xml:space="preserve"> </w:t>
      </w:r>
      <w:r w:rsidR="002769DD">
        <w:rPr>
          <w:lang w:val="en-US"/>
        </w:rPr>
        <w:fldChar w:fldCharType="begin" w:fldLock="1"/>
      </w:r>
      <w:r w:rsidR="008E6BA7">
        <w:rPr>
          <w:lang w:val="en-US"/>
        </w:rPr>
        <w:instrText>ADDIN CSL_CITATION {"citationItems":[{"id":"ITEM-1","itemData":{"DOI":"10.3390/en9090739","ISSN":"19961073","abstract":"Photovoltaic (PV) generation systems have been increasingly used to generate electricity from renewable sources, attracting a growing interest. Recently, grid connected PV micro-generation facilities in individual homes have increased due to governmental policies as well as greater attention by industry. As low voltage (LV) distribution systems were built to make energy flow in one direction, the power feed-in of PV generation in rural low-voltage grids can influence power quality (PQ) as well as facility operation and reliability. This paper presents results on PQ analysis of a real PV generation facility connected to a rural low-voltage grid. Voltage fluctuations and voltage harmonic contents were observed. Statistical analysis shows a negative impact on PQ produced by this PV facility and also that only a small fraction of the energy available during a sunny day is converted, provoking losses of revenue and forcing the converter to work in an undesirable operating mode. We discuss the disturbances imposed upon the grid and their outcome regarding technical and economic viability of the PV system, as well as possible solutions. A low-voltage grid strengthening has been suggested and implemented. After that a new PQ analysis shows an improvement in the impact upon PQ, making this facility economically viable.","author":[{"dropping-particle":"","family":"Pinto","given":"Rita","non-dropping-particle":"","parse-names":false,"suffix":""},{"dropping-particle":"","family":"Mariano","given":"Sílvio","non-dropping-particle":"","parse-names":false,"suffix":""},{"dropping-particle":"","family":"Calado","given":"Maria Do Rosário","non-dropping-particle":"","parse-names":false,"suffix":""},{"dropping-particle":"","family":"Souza","given":"José Felippe","non-dropping-particle":"De","parse-names":false,"suffix":""}],"container-title":"Energies","id":"ITEM-1","issue":"9","issued":{"date-parts":[["2016"]]},"page":"1-15","title":"Impact of rural grid-connected photovoltaic generation systems on power quality","type":"article-journal","volume":"9"},"uris":["http://www.mendeley.com/documents/?uuid=db104f03-bd4c-4b08-9485-2e9f6c5c77a7"]},{"id":"ITEM-2","itemData":{"DOI":"10.1109/SIELMEN.2017.8123336","ISBN":"9781538618462","abstract":"Nowadays, fossil fuels are depleted more and more. Renewable energy is one of the best solutions to replace conventional energy. The significant growth of Renewable energy sources indicates that it plays an important role in national energy system in near future. Distributed Generation (DG) technology is one of the technologies that gains more and more attention all around the world. According to International Renewable Energy Agency (IRENA), the number of countries ratifying renewable energy targets has risen to 180. These countries aim to synchronize the Distributed Generation to grid, including small scale of PVs (Photovoltaics) power plants and WPPs (wind power plants). The aim of this paper is to survey the impact level of DG penetration into the grid. To investigate these impacts, this paper uses a test system 9-BUS provided by IEEE to model the integration of DG into the grid, by using ETAP software. Three penetration levels are simulated to examine the influence of DG plants into the electrical grid. Four scenarios have been considered to check frequency, voltage and fault levels of DG. The results show that the system performs well while penetration is under 30% of the electrical grid. The higher is the penetration of DG, the lower is the stability of the system. This requires analysis and solutions to develop a more stable system.","author":[{"dropping-particle":"","family":"Duong","given":"Minh Quan","non-dropping-particle":"","parse-names":false,"suffix":""},{"dropping-particle":"","family":"Tran","given":"Ngoc Thien Nam","non-dropping-particle":"","parse-names":false,"suffix":""},{"dropping-particle":"","family":"Sava","given":"Gabriela Nicoleta","non-dropping-particle":"","parse-names":false,"suffix":""},{"dropping-particle":"","family":"Scripcariu","given":"Mircea","non-dropping-particle":"","parse-names":false,"suffix":""}],"container-title":"2017 11th International Conference on Electromechanical and Power Systems, SIELMEN 2017 - Proceedings","id":"ITEM-2","issued":{"date-parts":[["2017"]]},"page":"295-301","title":"The impacts of distributed generation penetration into the power system","type":"article-journal","volume":"2017-Janua"},"uris":["http://www.mendeley.com/documents/?uuid=bbe91302-7177-47b3-a133-50e700f4dad7"]},{"id":"ITEM-3","itemData":{"DOI":"10.1109/ACCESS.2017.2747086","ISSN":"21693536","abstract":"Photovoltaic embedded generation in low-voltage ac networks is quite popular; however, despite its benefits, there are some problems especially when photovoltaic (PV) penetration exceeds certain thresholds. Among others, voltage violation is of prime importance. Our review of the literature focused on PV penetration limits due to voltage violations in low-voltage (LV) networks. The review revealed that voltage violations can occur at a penetration level as low as 2.5% when a large distributed generator (DG) is installed at a single point. Alternatively, a LV network can host a large number of photovoltaic distributed generators (PVDGs), with a penetration level up to 110% if evenly distributed over shorter lengths. However, an LV network has no rules of thumb for safe penetration limits. Penetration-level calculations have been found that they used numerous approaches, which we have analyzed and discussed to adopt a more rational and unified approach. Our literature review revealed that, in LVs, a very high penetration level can be achieved as compared with medium-voltage (MV) networks. However, MV voltage-level control problems impose a limit for PV hosting in LV networks. There is a need to evolve strategies for robust voltage control at the MV level and to develop certain rules of thumb for PV penetration limits in LV networks independent of the MV level, to increase the PV hosting capacity.","author":[{"dropping-particle":"","family":"Aziz","given":"Tariq","non-dropping-particle":"","parse-names":false,"suffix":""},{"dropping-particle":"","family":"Ketjoy","given":"Nipon","non-dropping-particle":"","parse-names":false,"suffix":""}],"container-title":"IEEE Access","id":"ITEM-3","issued":{"date-parts":[["2017"]]},"page":"16784-16792","title":"PV Penetration Limits in Low Voltage Networks and Voltage Variations","type":"article-journal","volume":"5"},"uris":["http://www.mendeley.com/documents/?uuid=1a372595-ce2d-49d5-b596-f19f1a3ea8d4"]},{"id":"ITEM-4","itemData":{"DOI":"10.1002/er.5033","ISSN":"1099114X","abstract":"In the modern world, only conventional energy resources cannot fulfil the growing energy demand. Electricity is a fundamental building block of a technological revolution. Today, most of the electricity demand is met by the burning of fossil fuels but at the cost of adverse environmental impact. In order to bridge the gap between electricity demand and supply, nonconventional and eco-friendly means of energy generation are considered. Renewable energy systems (RESs) offer an adequate solution to mitigate the challenges originated due to greenhouse gasses (GHG). However, they have an unpredictable power generation with specific site requirements. Grid integration of RESs may lead to new challenges related to power quality, reliability, power system stability, harmonics, subsynchronous oscillations (SSOs), power quality, and reactive power compensation. The integration with energy storage systems (ESSs) can reduce these complexities that arise due to the intermittent nature of RESs. In this paper, a comprehensive review of renewable energy sources has been presented. Application of ESSs in RESs and their development phase has been discussed. Role of ESSs in increasing lifetime, efficiency, and energy density of power system having RESs has been reviewed. Moreover, different techniques to solve the critical issues like low efficiency, harmonics, and inertia reduction in photovoltaic (PV) systems have been presented. Unlike most of the available review papers, this article also investigates the impact of FACTS technology in RESs-based power system using multitype flexible AC transmission system (FACTS) controllers. Three simulation models have been developed in MATLAB/Simulink. The results show that FACTS devices help to maintain the stability of RESs integrated power system. This review paper is believed to be of potential benefit for researchers from both the industry and academia to develop better understanding of challenges and solution techniques for REs-based power systems and future research dimensions in this area.","author":[{"dropping-particle":"","family":"Basit","given":"Muhammad Abdul","non-dropping-particle":"","parse-names":false,"suffix":""},{"dropping-particle":"","family":"Dilshad","given":"Saad","non-dropping-particle":"","parse-names":false,"suffix":""},{"dropping-particle":"","family":"Badar","given":"Rabiah","non-dropping-particle":"","parse-names":false,"suffix":""},{"dropping-particle":"","family":"Sami ur Rehman","given":"Syed Muhammad","non-dropping-particle":"","parse-names":false,"suffix":""}],"container-title":"International Journal of Energy Research","id":"ITEM-4","issue":"6","issued":{"date-parts":[["2020"]]},"page":"4132-4162","title":"Limitations, challenges, and solution approaches in grid-connected renewable energy systems","type":"article-journal","volume":"44"},"uris":["http://www.mendeley.com/documents/?uuid=0e0fd0ba-ffbe-4d78-a7d3-2fe74d86700e"]}],"mendeley":{"formattedCitation":"(Aziz &amp; Ketjoy, 2017; Basit et al., 2020; Duong et al., 2017; Pinto et al., 2016)","plainTextFormattedCitation":"(Aziz &amp; Ketjoy, 2017; Basit et al., 2020; Duong et al., 2017; Pinto et al., 2016)","previouslyFormattedCitation":"(Aziz &amp; Ketjoy, 2017; Basit et al., 2020; Duong et al., 2017; Pinto et al., 2016)"},"properties":{"noteIndex":0},"schema":"https://github.com/citation-style-language/schema/raw/master/csl-citation.json"}</w:instrText>
      </w:r>
      <w:r w:rsidR="002769DD">
        <w:rPr>
          <w:lang w:val="en-US"/>
        </w:rPr>
        <w:fldChar w:fldCharType="separate"/>
      </w:r>
      <w:r w:rsidR="00A97D34" w:rsidRPr="00A97D34">
        <w:rPr>
          <w:noProof/>
          <w:lang w:val="en-US"/>
        </w:rPr>
        <w:t>(Aziz &amp; Ketjoy, 2017; Basit et al., 2020; Duong et al., 2017; Pinto et al., 2016)</w:t>
      </w:r>
      <w:r w:rsidR="002769DD">
        <w:rPr>
          <w:lang w:val="en-US"/>
        </w:rPr>
        <w:fldChar w:fldCharType="end"/>
      </w:r>
      <w:r w:rsidR="00DF1E27">
        <w:rPr>
          <w:lang w:val="en-US"/>
        </w:rPr>
        <w:t>.</w:t>
      </w:r>
      <w:r>
        <w:rPr>
          <w:lang w:val="en-US"/>
        </w:rPr>
        <w:t xml:space="preserve"> </w:t>
      </w:r>
      <w:r w:rsidR="00DF1E27">
        <w:rPr>
          <w:lang w:val="en-US"/>
        </w:rPr>
        <w:t xml:space="preserve">This is </w:t>
      </w:r>
      <w:r>
        <w:rPr>
          <w:lang w:val="en-US"/>
        </w:rPr>
        <w:t>due</w:t>
      </w:r>
      <w:r w:rsidR="00DF1E27">
        <w:rPr>
          <w:lang w:val="en-US"/>
        </w:rPr>
        <w:t>, firstly,</w:t>
      </w:r>
      <w:r>
        <w:rPr>
          <w:lang w:val="en-US"/>
        </w:rPr>
        <w:t xml:space="preserve"> to the fact that there are different technologies used for energy conversion for different forms of renewable energy, each with </w:t>
      </w:r>
      <w:r w:rsidR="009861F9">
        <w:rPr>
          <w:lang w:val="en-US"/>
        </w:rPr>
        <w:t>its</w:t>
      </w:r>
      <w:r>
        <w:rPr>
          <w:lang w:val="en-US"/>
        </w:rPr>
        <w:t xml:space="preserve"> own</w:t>
      </w:r>
      <w:r w:rsidR="00DF1E27">
        <w:rPr>
          <w:lang w:val="en-US"/>
        </w:rPr>
        <w:t xml:space="preserve"> physical and electrical</w:t>
      </w:r>
      <w:r>
        <w:rPr>
          <w:lang w:val="en-US"/>
        </w:rPr>
        <w:t xml:space="preserve"> properties,</w:t>
      </w:r>
      <w:r w:rsidR="00DF1E27">
        <w:rPr>
          <w:lang w:val="en-US"/>
        </w:rPr>
        <w:t xml:space="preserve"> which</w:t>
      </w:r>
      <w:r>
        <w:rPr>
          <w:lang w:val="en-US"/>
        </w:rPr>
        <w:t xml:space="preserve"> all have to be synergized for stable operation of the power system</w:t>
      </w:r>
      <w:r w:rsidR="00DF1E27">
        <w:rPr>
          <w:lang w:val="en-US"/>
        </w:rPr>
        <w:t>s</w:t>
      </w:r>
      <w:r w:rsidR="00681866">
        <w:rPr>
          <w:lang w:val="en-US"/>
        </w:rPr>
        <w:t xml:space="preserve"> </w:t>
      </w:r>
      <w:r w:rsidR="002769DD">
        <w:rPr>
          <w:lang w:val="en-US"/>
        </w:rPr>
        <w:fldChar w:fldCharType="begin" w:fldLock="1"/>
      </w:r>
      <w:r w:rsidR="008E6BA7">
        <w:rPr>
          <w:lang w:val="en-US"/>
        </w:rPr>
        <w:instrText>ADDIN CSL_CITATION {"citationItems":[{"id":"ITEM-1","itemData":{"DOI":"10.1016/j.solener.2020.05.053","ISSN":"0038092X","abstract":"As power system renewable energy penetrations increase, the ways in which key renewable technologies such as wind and solar photovoltaics (PV) differ from thermal generators become more apparent. Many studies have examined the variability and uncertainty of such generators and described how generation and load can be balanced for a wide variety of annual energy penetrations, at timescales from seconds to years. Another important characteristic of these resources is asynchronicity, the result of using inverters to interface the prime energy source with the power system as opposed to synchronous generators. Unlike synchronous generators, whose frequency of alternating current (AC) injection is physically coupled to the rotation of the machine itself, inverter based asynchronous generators do not share the same physical coupling with the generated frequency. These subtle differences impact the operations of power systems developed around the characteristics of synchronous generators. In this paper we review current knowledge and open research questions concerning the interplay between asynchronous inverter-based resources (IBRs) and cycle- to second-scale power system dynamics, with a focus on how stability and control may be impacted or need to be achieved differently when there are high instantaneous penetrations of IBRs across an interconnection. This work does not seek to provide a comprehensive review of the latest developments, but is instead intended to be accessible to any reader with an engineering background and an interest in power systems and renewable energy. As such, the paper includes basic material on power electronics, control schemes for IBRs, and power system stability; and uses this background material to describe potential impacts of IBRs on power system stability, operational challenges associated with large amounts of distributed IBR generation, and modern power system simulation trends driven by IBR characteristics.","author":[{"dropping-particle":"","family":"Kenyon","given":"Rick Wallace","non-dropping-particle":"","parse-names":false,"suffix":""},{"dropping-particle":"","family":"Bossart","given":"Matthew","non-dropping-particle":"","parse-names":false,"suffix":""},{"dropping-particle":"","family":"Marković","given":"Marija","non-dropping-particle":"","parse-names":false,"suffix":""},{"dropping-particle":"","family":"Doubleday","given":"Kate","non-dropping-particle":"","parse-names":false,"suffix":""},{"dropping-particle":"","family":"Matsuda-Dunn","given":"Reiko","non-dropping-particle":"","parse-names":false,"suffix":""},{"dropping-particle":"","family":"Mitova","given":"Stefania","non-dropping-particle":"","parse-names":false,"suffix":""},{"dropping-particle":"","family":"Julien","given":"Simon A","non-dropping-particle":"","parse-names":false,"suffix":""},{"dropping-particle":"","family":"Hale","given":"Elaine T","non-dropping-particle":"","parse-names":false,"suffix":""},{"dropping-particle":"","family":"Hodge","given":"Bri Mathias","non-dropping-particle":"","parse-names":false,"suffix":""}],"container-title":"Solar Energy","id":"ITEM-1","issue":"April","issued":{"date-parts":[["2020"]]},"page":"149-168","title":"Stability and control of power systems with high penetrations of inverter-based resources: An accessible review of current knowledge and open questions","type":"article-journal","volume":"210"},"uris":["http://www.mendeley.com/documents/?uuid=f8b28133-c40b-4e30-ae20-bbd1a265d09c"]}],"mendeley":{"formattedCitation":"(Kenyon et al., 2020)","plainTextFormattedCitation":"(Kenyon et al., 2020)","previouslyFormattedCitation":"(Kenyon et al., 2020)"},"properties":{"noteIndex":0},"schema":"https://github.com/citation-style-language/schema/raw/master/csl-citation.json"}</w:instrText>
      </w:r>
      <w:r w:rsidR="002769DD">
        <w:rPr>
          <w:lang w:val="en-US"/>
        </w:rPr>
        <w:fldChar w:fldCharType="separate"/>
      </w:r>
      <w:r w:rsidR="00A97D34" w:rsidRPr="00A97D34">
        <w:rPr>
          <w:noProof/>
          <w:lang w:val="en-US"/>
        </w:rPr>
        <w:t>(Kenyon et al., 2020)</w:t>
      </w:r>
      <w:r w:rsidR="002769DD">
        <w:rPr>
          <w:lang w:val="en-US"/>
        </w:rPr>
        <w:fldChar w:fldCharType="end"/>
      </w:r>
      <w:r>
        <w:rPr>
          <w:lang w:val="en-US"/>
        </w:rPr>
        <w:t>.</w:t>
      </w:r>
      <w:r w:rsidR="00DF1E27">
        <w:rPr>
          <w:lang w:val="en-US"/>
        </w:rPr>
        <w:t xml:space="preserve"> Many renewable technologies, with the notable example of solar photovoltaic (PV), rely on inverters</w:t>
      </w:r>
      <w:r w:rsidR="00B94B06">
        <w:rPr>
          <w:lang w:val="en-US"/>
        </w:rPr>
        <w:t>, sometimes in tandem with storage batteries,</w:t>
      </w:r>
      <w:r w:rsidR="00DF1E27">
        <w:rPr>
          <w:lang w:val="en-US"/>
        </w:rPr>
        <w:t xml:space="preserve"> for conversion into the AC form that is used on existing grids</w:t>
      </w:r>
      <w:r w:rsidR="002769DD">
        <w:rPr>
          <w:lang w:val="en-US"/>
        </w:rPr>
        <w:t xml:space="preserve"> </w:t>
      </w:r>
      <w:r w:rsidR="002769DD">
        <w:rPr>
          <w:lang w:val="en-US"/>
        </w:rPr>
        <w:fldChar w:fldCharType="begin" w:fldLock="1"/>
      </w:r>
      <w:r w:rsidR="008E6BA7">
        <w:rPr>
          <w:lang w:val="en-US"/>
        </w:rPr>
        <w:instrText>ADDIN CSL_CITATION {"citationItems":[{"id":"ITEM-1","itemData":{"ISBN":"1118633490","author":[{"dropping-particle":"","family":"Masters","given":"Gilbert M","non-dropping-particle":"","parse-names":false,"suffix":""}],"edition":"2","id":"ITEM-1","issued":{"date-parts":[["2013"]]},"publisher":"John Wiley &amp; Sons","title":"Renewable and efficient electric power systems","type":"book"},"uris":["http://www.mendeley.com/documents/?uuid=0352a3b8-da7c-4b31-8477-5fa11cdee0b4"]}],"mendeley":{"formattedCitation":"(Masters, 2013)","plainTextFormattedCitation":"(Masters, 2013)","previouslyFormattedCitation":"(Masters, 2013)"},"properties":{"noteIndex":0},"schema":"https://github.com/citation-style-language/schema/raw/master/csl-citation.json"}</w:instrText>
      </w:r>
      <w:r w:rsidR="002769DD">
        <w:rPr>
          <w:lang w:val="en-US"/>
        </w:rPr>
        <w:fldChar w:fldCharType="separate"/>
      </w:r>
      <w:r w:rsidR="00A97D34" w:rsidRPr="00A97D34">
        <w:rPr>
          <w:noProof/>
          <w:lang w:val="en-US"/>
        </w:rPr>
        <w:t>(Masters, 2013)</w:t>
      </w:r>
      <w:r w:rsidR="002769DD">
        <w:rPr>
          <w:lang w:val="en-US"/>
        </w:rPr>
        <w:fldChar w:fldCharType="end"/>
      </w:r>
      <w:r w:rsidR="00DF1E27">
        <w:rPr>
          <w:lang w:val="en-US"/>
        </w:rPr>
        <w:t>. Electrical power systems</w:t>
      </w:r>
      <w:r w:rsidR="009C0B45">
        <w:rPr>
          <w:lang w:val="en-US"/>
        </w:rPr>
        <w:t xml:space="preserve"> are complex, and the </w:t>
      </w:r>
      <w:r w:rsidR="009C0B45" w:rsidRPr="005D3213">
        <w:rPr>
          <w:lang w:val="en-US"/>
        </w:rPr>
        <w:t>inclusion</w:t>
      </w:r>
      <w:r w:rsidR="00DF1E27">
        <w:rPr>
          <w:lang w:val="en-US"/>
        </w:rPr>
        <w:t xml:space="preserve"> of new inverter-based source</w:t>
      </w:r>
      <w:r w:rsidR="009C0B45">
        <w:rPr>
          <w:lang w:val="en-US"/>
        </w:rPr>
        <w:t>s in a plug-and-play manner has</w:t>
      </w:r>
      <w:r w:rsidR="00DF1E27">
        <w:rPr>
          <w:lang w:val="en-US"/>
        </w:rPr>
        <w:t xml:space="preserve"> the potential to destabilize the system if added without careful planning</w:t>
      </w:r>
      <w:r w:rsidR="00145D4F">
        <w:rPr>
          <w:lang w:val="en-US"/>
        </w:rPr>
        <w:t xml:space="preserve"> </w:t>
      </w:r>
      <w:r w:rsidR="002769DD">
        <w:rPr>
          <w:lang w:val="en-US"/>
        </w:rPr>
        <w:fldChar w:fldCharType="begin" w:fldLock="1"/>
      </w:r>
      <w:r w:rsidR="008E6BA7">
        <w:rPr>
          <w:lang w:val="en-US"/>
        </w:rPr>
        <w:instrText>ADDIN CSL_CITATION {"citationItems":[{"id":"ITEM-1","itemData":{"DOI":"10.1016/j.rser.2018.03.040","ISSN":"18790690","abstract":"Microgrids are now emerging from lab benches and pilot demonstration sites into commercial markets, driven by technological improvements, falling costs, a proven track record, and growing recognition of their benefits. They are being used to improve reliability and resilience of electrical grids, to manage the addition of distributed clean energy resources like wind and solar photovoltaic (PV) generation to reduce fossil fuel emissions, and to provide electricity in areas not served by centralized electrical infrastructure. This review article (1) explains what a microgrid is, and (2) provides a multi-disciplinary portrait of today's microgrid drivers, real-world applications, challenges, and future prospects.","author":[{"dropping-particle":"","family":"Hirsch","given":"Adam","non-dropping-particle":"","parse-names":false,"suffix":""},{"dropping-particle":"","family":"Parag","given":"Yael","non-dropping-particle":"","parse-names":false,"suffix":""},{"dropping-particle":"","family":"Guerrero","given":"Josep","non-dropping-particle":"","parse-names":false,"suffix":""}],"container-title":"Renewable and Sustainable Energy Reviews","id":"ITEM-1","issued":{"date-parts":[["2018","7","1"]]},"page":"402-411","publisher":"Pergamon","title":"Microgrids: A review of technologies, key drivers, and outstanding issues","type":"article-journal","volume":"90"},"uris":["http://www.mendeley.com/documents/?uuid=518c920d-4540-3c40-91b7-4f4b4e96ed7d"]}],"mendeley":{"formattedCitation":"(Hirsch et al., 2018)","plainTextFormattedCitation":"(Hirsch et al., 2018)","previouslyFormattedCitation":"(Hirsch et al., 2018)"},"properties":{"noteIndex":0},"schema":"https://github.com/citation-style-language/schema/raw/master/csl-citation.json"}</w:instrText>
      </w:r>
      <w:r w:rsidR="002769DD">
        <w:rPr>
          <w:lang w:val="en-US"/>
        </w:rPr>
        <w:fldChar w:fldCharType="separate"/>
      </w:r>
      <w:r w:rsidR="00A97D34" w:rsidRPr="00A97D34">
        <w:rPr>
          <w:noProof/>
          <w:lang w:val="en-US"/>
        </w:rPr>
        <w:t>(Hirsch et al., 2018)</w:t>
      </w:r>
      <w:r w:rsidR="002769DD">
        <w:rPr>
          <w:lang w:val="en-US"/>
        </w:rPr>
        <w:fldChar w:fldCharType="end"/>
      </w:r>
      <w:r w:rsidR="00DF1E27">
        <w:rPr>
          <w:lang w:val="en-US"/>
        </w:rPr>
        <w:t>. These challenges have been approached by researchers</w:t>
      </w:r>
      <w:r w:rsidR="006031F6">
        <w:rPr>
          <w:lang w:val="en-US"/>
        </w:rPr>
        <w:t>,</w:t>
      </w:r>
      <w:r w:rsidR="00DF1E27">
        <w:rPr>
          <w:lang w:val="en-US"/>
        </w:rPr>
        <w:t xml:space="preserve"> and</w:t>
      </w:r>
      <w:r w:rsidR="00CF33CB">
        <w:rPr>
          <w:lang w:val="en-US"/>
        </w:rPr>
        <w:t xml:space="preserve"> while advances have been made, the</w:t>
      </w:r>
      <w:r w:rsidR="00DF1E27">
        <w:rPr>
          <w:lang w:val="en-US"/>
        </w:rPr>
        <w:t xml:space="preserve"> </w:t>
      </w:r>
      <w:r w:rsidR="0043693B">
        <w:rPr>
          <w:lang w:val="en-US"/>
        </w:rPr>
        <w:t>development of systems that allow for robust operation of the power system with</w:t>
      </w:r>
      <w:r w:rsidR="009C0B45">
        <w:rPr>
          <w:lang w:val="en-US"/>
        </w:rPr>
        <w:t xml:space="preserve"> plug-and-play </w:t>
      </w:r>
      <w:r w:rsidR="009C0B45" w:rsidRPr="005D3213">
        <w:rPr>
          <w:lang w:val="en-US"/>
        </w:rPr>
        <w:t>inclusion</w:t>
      </w:r>
      <w:r w:rsidR="006031F6">
        <w:rPr>
          <w:lang w:val="en-US"/>
        </w:rPr>
        <w:t xml:space="preserve"> of inverter-based resources re</w:t>
      </w:r>
      <w:r w:rsidR="0043693B">
        <w:rPr>
          <w:lang w:val="en-US"/>
        </w:rPr>
        <w:t>mains a</w:t>
      </w:r>
      <w:r w:rsidR="00D143A7">
        <w:rPr>
          <w:lang w:val="en-US"/>
        </w:rPr>
        <w:t>n open area of researc</w:t>
      </w:r>
      <w:r w:rsidR="00CF33CB">
        <w:rPr>
          <w:lang w:val="en-US"/>
        </w:rPr>
        <w:t>h</w:t>
      </w:r>
      <w:r w:rsidR="009C0B45">
        <w:rPr>
          <w:lang w:val="en-US"/>
        </w:rPr>
        <w:t xml:space="preserve"> </w:t>
      </w:r>
      <w:r w:rsidR="00C93B25">
        <w:rPr>
          <w:lang w:val="en-US"/>
        </w:rPr>
        <w:fldChar w:fldCharType="begin" w:fldLock="1"/>
      </w:r>
      <w:r w:rsidR="008E6BA7">
        <w:rPr>
          <w:lang w:val="en-US"/>
        </w:rPr>
        <w:instrText>ADDIN CSL_CITATION {"citationItems":[{"id":"ITEM-1","itemData":{"ISBN":"1728110106","author":[{"dropping-particle":"","family":"Aganah","given":"Kennedy","non-dropping-particle":"","parse-names":false,"suffix":""},{"dropping-particle":"","family":"Chukwuma","given":"James","non-dropping-particle":"","parse-names":false,"suffix":""},{"dropping-particle":"","family":"Ndoye","given":"Mandoye","non-dropping-particle":"","parse-names":false,"suffix":""}],"container-title":"2019 IEEE PES/IAS PowerAfrica","id":"ITEM-1","issued":{"date-parts":[["2019"]]},"page":"182-186","publisher":"IEEE","title":"A Review of Off-Grid Plug-and-Play Solar Power Systems: Toward a New\" I Better Pass My Neighbour\" Generator","type":"paper-conference"},"uris":["http://www.mendeley.com/documents/?uuid=65bc91ba-2234-4306-b269-e510d2e56e14"]}],"mendeley":{"formattedCitation":"(Aganah et al., 2019)","plainTextFormattedCitation":"(Aganah et al., 2019)","previouslyFormattedCitation":"(Aganah et al., 2019)"},"properties":{"noteIndex":0},"schema":"https://github.com/citation-style-language/schema/raw/master/csl-citation.json"}</w:instrText>
      </w:r>
      <w:r w:rsidR="00C93B25">
        <w:rPr>
          <w:lang w:val="en-US"/>
        </w:rPr>
        <w:fldChar w:fldCharType="separate"/>
      </w:r>
      <w:r w:rsidR="00A97D34" w:rsidRPr="00A97D34">
        <w:rPr>
          <w:noProof/>
          <w:lang w:val="en-US"/>
        </w:rPr>
        <w:t>(Aganah et al., 2019)</w:t>
      </w:r>
      <w:r w:rsidR="00C93B25">
        <w:rPr>
          <w:lang w:val="en-US"/>
        </w:rPr>
        <w:fldChar w:fldCharType="end"/>
      </w:r>
      <w:r w:rsidR="00DF1E27">
        <w:rPr>
          <w:lang w:val="en-US"/>
        </w:rPr>
        <w:t>.</w:t>
      </w:r>
    </w:p>
    <w:p w14:paraId="13326D85" w14:textId="7E458727" w:rsidR="00FD1EBC" w:rsidRDefault="00145D4F" w:rsidP="00F03645">
      <w:pPr>
        <w:spacing w:line="480" w:lineRule="auto"/>
        <w:rPr>
          <w:lang w:val="en-US"/>
        </w:rPr>
      </w:pPr>
      <w:r>
        <w:rPr>
          <w:lang w:val="en-US"/>
        </w:rPr>
        <w:t>Equally</w:t>
      </w:r>
      <w:r w:rsidR="009861F9">
        <w:rPr>
          <w:lang w:val="en-US"/>
        </w:rPr>
        <w:t xml:space="preserve"> </w:t>
      </w:r>
      <w:r>
        <w:rPr>
          <w:lang w:val="en-US"/>
        </w:rPr>
        <w:t>concerning is that</w:t>
      </w:r>
      <w:r w:rsidR="00FD1B63">
        <w:rPr>
          <w:lang w:val="en-US"/>
        </w:rPr>
        <w:t xml:space="preserve">, </w:t>
      </w:r>
      <w:r w:rsidR="006031F6">
        <w:rPr>
          <w:lang w:val="en-US"/>
        </w:rPr>
        <w:t>even for the renewable</w:t>
      </w:r>
      <w:r w:rsidR="009861F9">
        <w:rPr>
          <w:lang w:val="en-US"/>
        </w:rPr>
        <w:t xml:space="preserve"> </w:t>
      </w:r>
      <w:r w:rsidR="006031F6">
        <w:rPr>
          <w:lang w:val="en-US"/>
        </w:rPr>
        <w:t>sources that have been successfully integrated into grids by designing for compatibility, such integration</w:t>
      </w:r>
      <w:r w:rsidR="00FD1B63">
        <w:rPr>
          <w:lang w:val="en-US"/>
        </w:rPr>
        <w:t xml:space="preserve"> is accompanied by </w:t>
      </w:r>
      <w:r w:rsidR="009861F9">
        <w:rPr>
          <w:lang w:val="en-US"/>
        </w:rPr>
        <w:t>several</w:t>
      </w:r>
      <w:r w:rsidR="00FD1B63">
        <w:rPr>
          <w:lang w:val="en-US"/>
        </w:rPr>
        <w:t xml:space="preserve"> </w:t>
      </w:r>
      <w:r w:rsidR="007B0416">
        <w:rPr>
          <w:lang w:val="en-US"/>
        </w:rPr>
        <w:t xml:space="preserve">economic and technical </w:t>
      </w:r>
      <w:r w:rsidR="00FD1B63">
        <w:rPr>
          <w:lang w:val="en-US"/>
        </w:rPr>
        <w:t>challenges that make it difficult to achieve security of energy supply. Mainly, unlike conventional generation where the amount of fuel can be predetermined and controlled on</w:t>
      </w:r>
      <w:r w:rsidR="009861F9">
        <w:rPr>
          <w:lang w:val="en-US"/>
        </w:rPr>
        <w:t>-</w:t>
      </w:r>
      <w:r w:rsidR="00FD1B63">
        <w:rPr>
          <w:lang w:val="en-US"/>
        </w:rPr>
        <w:t xml:space="preserve">site, </w:t>
      </w:r>
      <w:r>
        <w:rPr>
          <w:lang w:val="en-US"/>
        </w:rPr>
        <w:t xml:space="preserve">some </w:t>
      </w:r>
      <w:r w:rsidR="00FD1B63">
        <w:rPr>
          <w:lang w:val="en-US"/>
        </w:rPr>
        <w:t xml:space="preserve">renewable energy resources are intermittent and not amenable to control. This introduces undesirable uncertainty into the </w:t>
      </w:r>
      <w:r w:rsidR="007B0416">
        <w:rPr>
          <w:lang w:val="en-US"/>
        </w:rPr>
        <w:t xml:space="preserve">planning and </w:t>
      </w:r>
      <w:r w:rsidR="00FD1B63">
        <w:rPr>
          <w:lang w:val="en-US"/>
        </w:rPr>
        <w:t>operation of renewable-based systems</w:t>
      </w:r>
      <w:r w:rsidR="0065199C">
        <w:rPr>
          <w:lang w:val="en-US"/>
        </w:rPr>
        <w:t xml:space="preserve"> that are based on intermittent resources</w:t>
      </w:r>
      <w:r w:rsidR="005A0E81">
        <w:rPr>
          <w:lang w:val="en-US"/>
        </w:rPr>
        <w:t xml:space="preserve"> such as wind, solar </w:t>
      </w:r>
      <w:r w:rsidR="00B94B06">
        <w:rPr>
          <w:lang w:val="en-US"/>
        </w:rPr>
        <w:t>irradiation</w:t>
      </w:r>
      <w:r w:rsidR="005A0E81">
        <w:rPr>
          <w:lang w:val="en-US"/>
        </w:rPr>
        <w:t xml:space="preserve">, and </w:t>
      </w:r>
      <w:r w:rsidR="00B94B06">
        <w:rPr>
          <w:lang w:val="en-US"/>
        </w:rPr>
        <w:t>river or stream flow</w:t>
      </w:r>
      <w:r w:rsidR="0065199C">
        <w:rPr>
          <w:lang w:val="en-US"/>
        </w:rPr>
        <w:t xml:space="preserve">. </w:t>
      </w:r>
      <w:r w:rsidR="0065199C" w:rsidRPr="005D3213">
        <w:rPr>
          <w:lang w:val="en-US"/>
        </w:rPr>
        <w:t xml:space="preserve">Hydropower </w:t>
      </w:r>
      <w:r w:rsidR="00CF2D48" w:rsidRPr="005D3213">
        <w:rPr>
          <w:lang w:val="en-US"/>
        </w:rPr>
        <w:t>that is based on impoundment</w:t>
      </w:r>
      <w:r w:rsidR="0055720E" w:rsidRPr="005D3213">
        <w:rPr>
          <w:lang w:val="en-US"/>
        </w:rPr>
        <w:t xml:space="preserve"> (such as dammed rivers and lakes)</w:t>
      </w:r>
      <w:r w:rsidR="00572684" w:rsidRPr="005D3213">
        <w:rPr>
          <w:lang w:val="en-US"/>
        </w:rPr>
        <w:t xml:space="preserve"> is</w:t>
      </w:r>
      <w:r w:rsidR="0055720E" w:rsidRPr="005D3213">
        <w:rPr>
          <w:lang w:val="en-US"/>
        </w:rPr>
        <w:t xml:space="preserve"> more</w:t>
      </w:r>
      <w:r w:rsidR="0065199C" w:rsidRPr="005D3213">
        <w:rPr>
          <w:lang w:val="en-US"/>
        </w:rPr>
        <w:t xml:space="preserve"> stable </w:t>
      </w:r>
      <w:r w:rsidR="00572684" w:rsidRPr="005D3213">
        <w:rPr>
          <w:lang w:val="en-US"/>
        </w:rPr>
        <w:t xml:space="preserve">but still relatively subject to variation </w:t>
      </w:r>
      <w:r w:rsidR="0065199C" w:rsidRPr="005D3213">
        <w:rPr>
          <w:lang w:val="en-US"/>
        </w:rPr>
        <w:t>while solar and wind are highly variable and subject to uncertainty</w:t>
      </w:r>
      <w:r w:rsidR="00C71CF6" w:rsidRPr="005D3213">
        <w:rPr>
          <w:lang w:val="en-US"/>
        </w:rPr>
        <w:t xml:space="preserve"> </w:t>
      </w:r>
      <w:r w:rsidR="00C71CF6" w:rsidRPr="005D3213">
        <w:rPr>
          <w:lang w:val="en-US"/>
        </w:rPr>
        <w:fldChar w:fldCharType="begin" w:fldLock="1"/>
      </w:r>
      <w:r w:rsidR="008E6BA7" w:rsidRPr="005D3213">
        <w:rPr>
          <w:lang w:val="en-US"/>
        </w:rPr>
        <w:instrText>ADDIN CSL_CITATION {"citationItems":[{"id":"ITEM-1","itemData":{"DOI":"10.1109/TPWRS.2020.3001235","ISSN":"15580679","abstract":"As significant amounts of renewable distributed generation (RDG) are installed in the power grid, it becomes increasingly important to plan RDG integration to maximize the utilization of renewable energy and mitigate unintended consequences, such as phase unbalance. One of the biggest challenges in RDG integration planning is the lack of sufficient information to characterize uncertainty (e.g., load and renewable output). In this paper, we propose a two-stage data-driven distributionally robust optimization model (O-DDSP) for the optimal placement of RDG resources, with both load and generation uncertainties described by a data-driven ambiguity set that both enables more flexibility than stochastic optimization (SO) and allows less conservative solutions than robust optimization (RO). The objective is to minimize the total cost of RDG installation plus the total operational cost on the planning horizon. Furthermore, we introduce a tight approximation of O-DDSP based on principal component analysis (leading to a model called P-DDSP), which reduces the original problem size by keeping the most valuable data in the ambiguity set. The performance of O-DDSP and P-DDSP is compared with SO and RO on the IEEE 33-bus radial network with a real data set, where we show that P-DDSP significantly speeds up the solution procedure, especially when the problem size increases. Indeed, as compared to SO and RO, which become computationally impractical for solving problems with large sample sizes, our proposed P-DDSP can use large samples to increase solution accuracy without increasing the solution time. Finally, extensive numerical experiments demonstrate that optimal RDG planning decisions lead to significant savings as well as increased renewable penetration.","author":[{"dropping-particle":"","family":"Fathabad","given":"Abolhassan Mohammadi","non-dropping-particle":"","parse-names":false,"suffix":""},{"dropping-particle":"","family":"Cheng","given":"Jianqiang","non-dropping-particle":"","parse-names":false,"suffix":""},{"dropping-particle":"","family":"Pan","given":"Kai","non-dropping-particle":"","parse-names":false,"suffix":""},{"dropping-particle":"","family":"Qiu","given":"Feng","non-dropping-particle":"","parse-names":false,"suffix":""}],"container-title":"IEEE Transactions on Power Systems","id":"ITEM-1","issue":"6","issued":{"date-parts":[["2020","11","1"]]},"page":"4357-4368","publisher":"Institute of Electrical and Electronics Engineers Inc.","title":"Data-Driven Planning for Renewable Distributed Generation Integration","type":"article-journal","volume":"35"},"uris":["http://www.mendeley.com/documents/?uuid=bc656192-3017-30fb-a528-53c18c152d6e"]}],"mendeley":{"formattedCitation":"(Fathabad et al., 2020)","plainTextFormattedCitation":"(Fathabad et al., 2020)","previouslyFormattedCitation":"(Fathabad et al., 2020)"},"properties":{"noteIndex":0},"schema":"https://github.com/citation-style-language/schema/raw/master/csl-citation.json"}</w:instrText>
      </w:r>
      <w:r w:rsidR="00C71CF6" w:rsidRPr="005D3213">
        <w:rPr>
          <w:lang w:val="en-US"/>
        </w:rPr>
        <w:fldChar w:fldCharType="separate"/>
      </w:r>
      <w:r w:rsidR="00A97D34" w:rsidRPr="005D3213">
        <w:rPr>
          <w:noProof/>
          <w:lang w:val="en-US"/>
        </w:rPr>
        <w:t>(Fathabad et al., 2020)</w:t>
      </w:r>
      <w:r w:rsidR="00C71CF6" w:rsidRPr="005D3213">
        <w:rPr>
          <w:lang w:val="en-US"/>
        </w:rPr>
        <w:fldChar w:fldCharType="end"/>
      </w:r>
      <w:r w:rsidR="00587207">
        <w:rPr>
          <w:lang w:val="en-US"/>
        </w:rPr>
        <w:t>. The effect of this</w:t>
      </w:r>
      <w:r w:rsidR="00FD1B63">
        <w:rPr>
          <w:lang w:val="en-US"/>
        </w:rPr>
        <w:t xml:space="preserve"> uncertainty is more critical when the system has a high penetration of renewab</w:t>
      </w:r>
      <w:r w:rsidR="007B0416">
        <w:rPr>
          <w:lang w:val="en-US"/>
        </w:rPr>
        <w:t>le-based sources</w:t>
      </w:r>
      <w:r w:rsidR="00C71CF6">
        <w:rPr>
          <w:lang w:val="en-US"/>
        </w:rPr>
        <w:t xml:space="preserve"> </w:t>
      </w:r>
      <w:r w:rsidR="00C71CF6">
        <w:rPr>
          <w:lang w:val="en-US"/>
        </w:rPr>
        <w:fldChar w:fldCharType="begin" w:fldLock="1"/>
      </w:r>
      <w:r w:rsidR="008E6BA7">
        <w:rPr>
          <w:lang w:val="en-US"/>
        </w:rPr>
        <w:instrText>ADDIN CSL_CITATION {"citationItems":[{"id":"ITEM-1","itemData":{"DOI":"10.1109/SIELMEN.2017.8123336","ISBN":"9781538618462","abstract":"Nowadays, fossil fuels are depleted more and more. Renewable energy is one of the best solutions to replace conventional energy. The significant growth of Renewable energy sources indicates that it plays an important role in national energy system in near future. Distributed Generation (DG) technology is one of the technologies that gains more and more attention all around the world. According to International Renewable Energy Agency (IRENA), the number of countries ratifying renewable energy targets has risen to 180. These countries aim to synchronize the Distributed Generation to grid, including small scale of PVs (Photovoltaics) power plants and WPPs (wind power plants). The aim of this paper is to survey the impact level of DG penetration into the grid. To investigate these impacts, this paper uses a test system 9-BUS provided by IEEE to model the integration of DG into the grid, by using ETAP software. Three penetration levels are simulated to examine the influence of DG plants into the electrical grid. Four scenarios have been considered to check frequency, voltage and fault levels of DG. The results show that the system performs well while penetration is under 30% of the electrical grid. The higher is the penetration of DG, the lower is the stability of the system. This requires analysis and solutions to develop a more stable system.","author":[{"dropping-particle":"","family":"Duong","given":"Minh Quan","non-dropping-particle":"","parse-names":false,"suffix":""},{"dropping-particle":"","family":"Tran","given":"Ngoc Thien Nam","non-dropping-particle":"","parse-names":false,"suffix":""},{"dropping-particle":"","family":"Sava","given":"Gabriela Nicoleta","non-dropping-particle":"","parse-names":false,"suffix":""},{"dropping-particle":"","family":"Scripcariu","given":"Mircea","non-dropping-particle":"","parse-names":false,"suffix":""}],"container-title":"2017 11th International Conference on Electromechanical and Power Systems, SIELMEN 2017 - Proceedings","id":"ITEM-1","issued":{"date-parts":[["2017"]]},"page":"295-301","title":"The impacts of distributed generation penetration into the power system","type":"article-journal","volume":"2017-Janua"},"uris":["http://www.mendeley.com/documents/?uuid=bbe91302-7177-47b3-a133-50e700f4dad7"]}],"mendeley":{"formattedCitation":"(Duong et al., 2017)","plainTextFormattedCitation":"(Duong et al., 2017)","previouslyFormattedCitation":"(Duong et al., 2017)"},"properties":{"noteIndex":0},"schema":"https://github.com/citation-style-language/schema/raw/master/csl-citation.json"}</w:instrText>
      </w:r>
      <w:r w:rsidR="00C71CF6">
        <w:rPr>
          <w:lang w:val="en-US"/>
        </w:rPr>
        <w:fldChar w:fldCharType="separate"/>
      </w:r>
      <w:r w:rsidR="00A97D34" w:rsidRPr="00A97D34">
        <w:rPr>
          <w:noProof/>
          <w:lang w:val="en-US"/>
        </w:rPr>
        <w:t>(Duong et al., 2017)</w:t>
      </w:r>
      <w:r w:rsidR="00C71CF6">
        <w:rPr>
          <w:lang w:val="en-US"/>
        </w:rPr>
        <w:fldChar w:fldCharType="end"/>
      </w:r>
      <w:r w:rsidR="007B0416">
        <w:rPr>
          <w:lang w:val="en-US"/>
        </w:rPr>
        <w:t>. This frequently poses a major challenge to the use of renewable technology in power systems</w:t>
      </w:r>
      <w:r w:rsidR="006031F6">
        <w:rPr>
          <w:lang w:val="en-US"/>
        </w:rPr>
        <w:t xml:space="preserve"> which </w:t>
      </w:r>
      <w:r w:rsidR="00572684">
        <w:rPr>
          <w:lang w:val="en-US"/>
        </w:rPr>
        <w:t>urgently demands</w:t>
      </w:r>
      <w:r w:rsidR="006031F6">
        <w:rPr>
          <w:lang w:val="en-US"/>
        </w:rPr>
        <w:t xml:space="preserve"> if adequate studies are not carried out at the right time</w:t>
      </w:r>
      <w:r w:rsidR="007B0416">
        <w:rPr>
          <w:lang w:val="en-US"/>
        </w:rPr>
        <w:t>.</w:t>
      </w:r>
      <w:r w:rsidR="006031F6">
        <w:rPr>
          <w:lang w:val="en-US"/>
        </w:rPr>
        <w:t xml:space="preserve"> This precipitates the need for current research on the performance of renewable energy-based power systems under uncertainty in the natural energy resources.</w:t>
      </w:r>
    </w:p>
    <w:p w14:paraId="10A0419D" w14:textId="6F6F0810" w:rsidR="004D475F" w:rsidRPr="005D3213" w:rsidRDefault="00FD1EBC" w:rsidP="00F03645">
      <w:pPr>
        <w:spacing w:line="480" w:lineRule="auto"/>
        <w:rPr>
          <w:lang w:val="en-US"/>
        </w:rPr>
      </w:pPr>
      <w:r w:rsidRPr="005D3213">
        <w:rPr>
          <w:lang w:val="en-US"/>
        </w:rPr>
        <w:t xml:space="preserve">Uncertainty in the planning and operation of power systems arises from </w:t>
      </w:r>
      <w:r w:rsidR="001B29B3" w:rsidRPr="005D3213">
        <w:rPr>
          <w:lang w:val="en-US"/>
        </w:rPr>
        <w:t xml:space="preserve">many factors in different contexts and on different timescales (from years, months, days, down to milliseconds) which could not only be physical but could also be economic, political, behavioural or technological </w:t>
      </w:r>
      <w:r w:rsidR="001B29B3" w:rsidRPr="005D3213">
        <w:rPr>
          <w:lang w:val="en-US"/>
        </w:rPr>
        <w:fldChar w:fldCharType="begin" w:fldLock="1"/>
      </w:r>
      <w:r w:rsidR="008E6BA7" w:rsidRPr="005D3213">
        <w:rPr>
          <w:lang w:val="en-US"/>
        </w:rPr>
        <w:instrText>ADDIN CSL_CITATION {"citationItems":[{"id":"ITEM-1","itemData":{"author":[{"dropping-particle":"","family":"Blanco","given":"Ignacio","non-dropping-particle":"","parse-names":false,"suffix":""}],"id":"ITEM-1","issued":{"date-parts":[["2019"]]},"publisher":"Technical University of Denmark","title":"Decision-making Under Uncertainty for the Operation of Integrated Energy Systems Ignacio Blanco","type":"thesis"},"uris":["http://www.mendeley.com/documents/?uuid=b13b47c2-3cb3-4279-8328-6092a222f3e6"]}],"mendeley":{"formattedCitation":"(Blanco, 2019)","plainTextFormattedCitation":"(Blanco, 2019)","previouslyFormattedCitation":"(Blanco, 2019)"},"properties":{"noteIndex":0},"schema":"https://github.com/citation-style-language/schema/raw/master/csl-citation.json"}</w:instrText>
      </w:r>
      <w:r w:rsidR="001B29B3" w:rsidRPr="005D3213">
        <w:rPr>
          <w:lang w:val="en-US"/>
        </w:rPr>
        <w:fldChar w:fldCharType="separate"/>
      </w:r>
      <w:r w:rsidR="00A97D34" w:rsidRPr="005D3213">
        <w:rPr>
          <w:noProof/>
          <w:lang w:val="en-US"/>
        </w:rPr>
        <w:t>(Blanco, 2019)</w:t>
      </w:r>
      <w:r w:rsidR="001B29B3" w:rsidRPr="005D3213">
        <w:rPr>
          <w:lang w:val="en-US"/>
        </w:rPr>
        <w:fldChar w:fldCharType="end"/>
      </w:r>
      <w:r w:rsidR="001B29B3" w:rsidRPr="005D3213">
        <w:rPr>
          <w:lang w:val="en-US"/>
        </w:rPr>
        <w:t xml:space="preserve">. However, when focusing on the physical characteristics of power systems, the major source of uncertainty is </w:t>
      </w:r>
      <w:r w:rsidRPr="005D3213">
        <w:rPr>
          <w:lang w:val="en-US"/>
        </w:rPr>
        <w:t>the connection</w:t>
      </w:r>
      <w:r w:rsidR="001B29B3" w:rsidRPr="005D3213">
        <w:rPr>
          <w:lang w:val="en-US"/>
        </w:rPr>
        <w:t>/ high penetration</w:t>
      </w:r>
      <w:r w:rsidRPr="005D3213">
        <w:rPr>
          <w:lang w:val="en-US"/>
        </w:rPr>
        <w:t xml:space="preserve"> of renewable-based generation. In non-renewable</w:t>
      </w:r>
      <w:r w:rsidR="009861F9">
        <w:rPr>
          <w:lang w:val="en-US"/>
        </w:rPr>
        <w:t>-</w:t>
      </w:r>
      <w:r w:rsidRPr="005D3213">
        <w:rPr>
          <w:lang w:val="en-US"/>
        </w:rPr>
        <w:t>based s</w:t>
      </w:r>
      <w:r w:rsidR="001B29B3" w:rsidRPr="005D3213">
        <w:rPr>
          <w:lang w:val="en-US"/>
        </w:rPr>
        <w:t>ystems, many</w:t>
      </w:r>
      <w:r w:rsidRPr="005D3213">
        <w:rPr>
          <w:lang w:val="en-US"/>
        </w:rPr>
        <w:t xml:space="preserve"> parameters can safely be treated as havi</w:t>
      </w:r>
      <w:r w:rsidR="00B84BFC" w:rsidRPr="005D3213">
        <w:rPr>
          <w:lang w:val="en-US"/>
        </w:rPr>
        <w:t>ng deterministic states</w:t>
      </w:r>
      <w:r w:rsidRPr="005D3213">
        <w:rPr>
          <w:lang w:val="en-US"/>
        </w:rPr>
        <w:t>,</w:t>
      </w:r>
      <w:r w:rsidR="00B84BFC" w:rsidRPr="005D3213">
        <w:rPr>
          <w:lang w:val="en-US"/>
        </w:rPr>
        <w:t xml:space="preserve"> but</w:t>
      </w:r>
      <w:r w:rsidRPr="005D3213">
        <w:rPr>
          <w:lang w:val="en-US"/>
        </w:rPr>
        <w:t xml:space="preserve"> in systems with high penetration of renewable energy, the parameters depend on factors that are not under the control of the power system operator </w:t>
      </w:r>
      <w:r w:rsidRPr="005D3213">
        <w:rPr>
          <w:lang w:val="en-US"/>
        </w:rPr>
        <w:fldChar w:fldCharType="begin" w:fldLock="1"/>
      </w:r>
      <w:r w:rsidR="008E6BA7" w:rsidRPr="005D3213">
        <w:rPr>
          <w:lang w:val="en-US"/>
        </w:rPr>
        <w:instrText>ADDIN CSL_CITATION {"citationItems":[{"id":"ITEM-1","itemData":{"DOI":"10.1016/B978-0-12-820491-7.01001-X","ISBN":"9780128204917","author":[{"dropping-particle":"","family":"Zobaa","given":"Ahmed F","non-dropping-particle":"","parse-names":false,"suffix":""},{"dropping-particle":"","family":"Aleem","given":"Shady H E Abdel","non-dropping-particle":"","parse-names":false,"suffix":""}],"id":"ITEM-1","issued":{"date-parts":[["2021"]]},"publisher":"Academic Press","publisher-place":"London","title":"Uncertainties in Modern Power Systems","type":"book"},"uris":["http://www.mendeley.com/documents/?uuid=34f6a0c0-9759-47b0-98f7-69df1648ef4c"]}],"mendeley":{"formattedCitation":"(Zobaa &amp; Aleem, 2021)","plainTextFormattedCitation":"(Zobaa &amp; Aleem, 2021)","previouslyFormattedCitation":"(Zobaa &amp; Aleem, 2021)"},"properties":{"noteIndex":0},"schema":"https://github.com/citation-style-language/schema/raw/master/csl-citation.json"}</w:instrText>
      </w:r>
      <w:r w:rsidRPr="005D3213">
        <w:rPr>
          <w:lang w:val="en-US"/>
        </w:rPr>
        <w:fldChar w:fldCharType="separate"/>
      </w:r>
      <w:r w:rsidR="00A97D34" w:rsidRPr="005D3213">
        <w:rPr>
          <w:noProof/>
          <w:lang w:val="en-US"/>
        </w:rPr>
        <w:t>(Zobaa &amp; Aleem, 2021)</w:t>
      </w:r>
      <w:r w:rsidRPr="005D3213">
        <w:rPr>
          <w:lang w:val="en-US"/>
        </w:rPr>
        <w:fldChar w:fldCharType="end"/>
      </w:r>
      <w:r w:rsidRPr="005D3213">
        <w:rPr>
          <w:lang w:val="en-US"/>
        </w:rPr>
        <w:t xml:space="preserve">. </w:t>
      </w:r>
    </w:p>
    <w:p w14:paraId="6F01E3A6" w14:textId="645EA2AB" w:rsidR="004D475F" w:rsidRPr="005D3213" w:rsidRDefault="004D475F" w:rsidP="00F03645">
      <w:pPr>
        <w:spacing w:line="480" w:lineRule="auto"/>
        <w:rPr>
          <w:lang w:val="en-US"/>
        </w:rPr>
      </w:pPr>
      <w:r w:rsidRPr="005D3213">
        <w:rPr>
          <w:lang w:val="en-US"/>
        </w:rPr>
        <w:t>For example, the supply of energy in the form of solar insolation at a location is neither constant nor uninterrupted. This means that a solar farm is susc</w:t>
      </w:r>
      <w:r w:rsidR="009861F9">
        <w:rPr>
          <w:lang w:val="en-US"/>
        </w:rPr>
        <w:t>eptible to periods of producing</w:t>
      </w:r>
      <w:r w:rsidRPr="005D3213">
        <w:rPr>
          <w:lang w:val="en-US"/>
        </w:rPr>
        <w:t xml:space="preserve"> below its capacity on cloudy days or during eclipses. In addition, the temperature also affects the amount of electricity that can be harvested from a solar array. In the case of wind turbines, the power in the wind is not constant</w:t>
      </w:r>
      <w:r w:rsidR="00433E87" w:rsidRPr="005D3213">
        <w:rPr>
          <w:lang w:val="en-US"/>
        </w:rPr>
        <w:t xml:space="preserve"> but varies as the wind gusts hasten and slow over time. In the event of potentially destructive wind speeds, the average wind turbine is designed to ‘cut</w:t>
      </w:r>
      <w:r w:rsidR="009861F9">
        <w:rPr>
          <w:lang w:val="en-US"/>
        </w:rPr>
        <w:t xml:space="preserve"> </w:t>
      </w:r>
      <w:r w:rsidR="00433E87" w:rsidRPr="005D3213">
        <w:rPr>
          <w:lang w:val="en-US"/>
        </w:rPr>
        <w:t xml:space="preserve">out’ to avoid damage, and there is also no power generation. These extreme cases illustrate the uncertainty that arises in intermittent renewable-based systems. </w:t>
      </w:r>
      <w:r w:rsidRPr="005D3213">
        <w:rPr>
          <w:lang w:val="en-US"/>
        </w:rPr>
        <w:t xml:space="preserve">If this uncertainty is not accounted for, </w:t>
      </w:r>
      <w:r w:rsidR="00433E87" w:rsidRPr="005D3213">
        <w:rPr>
          <w:lang w:val="en-US"/>
        </w:rPr>
        <w:t>a standalone system</w:t>
      </w:r>
      <w:r w:rsidR="00AB1B42">
        <w:rPr>
          <w:lang w:val="en-US"/>
        </w:rPr>
        <w:t xml:space="preserve"> such as a microgrid that is</w:t>
      </w:r>
      <w:r w:rsidR="00433E87" w:rsidRPr="005D3213">
        <w:rPr>
          <w:lang w:val="en-US"/>
        </w:rPr>
        <w:t xml:space="preserve"> built to depend on such technologies may be severely inadequate.</w:t>
      </w:r>
      <w:r w:rsidRPr="005D3213">
        <w:rPr>
          <w:lang w:val="en-US"/>
        </w:rPr>
        <w:t xml:space="preserve"> </w:t>
      </w:r>
    </w:p>
    <w:p w14:paraId="36873950" w14:textId="70B9E0AC" w:rsidR="0065199C" w:rsidRPr="005D3213" w:rsidRDefault="00C329B3" w:rsidP="00F03645">
      <w:pPr>
        <w:spacing w:line="480" w:lineRule="auto"/>
        <w:rPr>
          <w:lang w:val="en-US"/>
        </w:rPr>
      </w:pPr>
      <w:r w:rsidRPr="005D3213">
        <w:rPr>
          <w:lang w:val="en-US"/>
        </w:rPr>
        <w:t>A microgrid is a power system that contains its</w:t>
      </w:r>
      <w:r w:rsidR="009861F9">
        <w:rPr>
          <w:lang w:val="en-US"/>
        </w:rPr>
        <w:t xml:space="preserve"> own</w:t>
      </w:r>
      <w:r w:rsidRPr="005D3213">
        <w:rPr>
          <w:lang w:val="en-US"/>
        </w:rPr>
        <w:t xml:space="preserve"> sources and loads within a small area, with the ability to operate in standalone mode, or while connected to the larger power system or macrogrid </w:t>
      </w:r>
      <w:r w:rsidRPr="005D3213">
        <w:rPr>
          <w:lang w:val="en-US"/>
        </w:rPr>
        <w:fldChar w:fldCharType="begin" w:fldLock="1"/>
      </w:r>
      <w:r w:rsidR="008E6BA7" w:rsidRPr="005D3213">
        <w:rPr>
          <w:lang w:val="en-US"/>
        </w:rPr>
        <w:instrText>ADDIN CSL_CITATION {"citationItems":[{"id":"ITEM-1","itemData":{"ISBN":"978-3-030-23722-6","ISSN":"18604676","abstract":"The primary aim of this chapter is the design and application of intelligent methods based on reinforcement learning (RL) for adaptive and online controlling the hybrid microgrids (HMGs). The traditional structure of the power systems is being changed continuously due to environmental limitations and depreciated infrastructures. The creation of distinct electrical boundaries between different areas of the power system with the ability to connect/disconnect and locating distributed generation (DG) resources near the load points has transformed the face of power systems. However, in this case, the power system’s efficiency increases, but its control is faced with bigger challenges. Coordination between HMGs, resource scheduling in the island and main utility-connected modes, exchanging power between different microgrids, and etc., are the reasons that necessitate the use of adaptive control methods in controlling such power systems. Reinforcement Learning is an adaptive control structure that is considered in this chapter. RL is a branch of multi-agent systems in the field of machine learning which is the main solution method for Markov decision process (MDP). In this chapter, based on RL features like an unpretentious structure, robust versus severe disturbances, and online behavior a novel method will be suggested for controlling different aspects of HMGs. The proposed control method uses the features of the RL and capabilities of the classical controllers to give an effective online controller with plain anatomy which is robust versus uncertainties and operating condition changes.","author":[{"dropping-particle":"","family":"Shayeghi","given":"Hossein","non-dropping-particle":"","parse-names":false,"suffix":""},{"dropping-particle":"","family":"Younesi","given":"Abdollah","non-dropping-particle":"","parse-names":false,"suffix":""}],"container-title":"Power Systems","id":"ITEM-1","issue":"January","issued":{"date-parts":[["2020"]]},"number-of-pages":"577-602","title":"Microgrid Architectures, Control and Protection Methods","type":"book"},"uris":["http://www.mendeley.com/documents/?uuid=5c712317-16e3-481d-b8e9-5a1ea56affc7"]}],"mendeley":{"formattedCitation":"(Shayeghi &amp; Younesi, 2020)","plainTextFormattedCitation":"(Shayeghi &amp; Younesi, 2020)","previouslyFormattedCitation":"(Shayeghi &amp; Younesi, 2020)"},"properties":{"noteIndex":0},"schema":"https://github.com/citation-style-language/schema/raw/master/csl-citation.json"}</w:instrText>
      </w:r>
      <w:r w:rsidRPr="005D3213">
        <w:rPr>
          <w:lang w:val="en-US"/>
        </w:rPr>
        <w:fldChar w:fldCharType="separate"/>
      </w:r>
      <w:r w:rsidR="00A97D34" w:rsidRPr="005D3213">
        <w:rPr>
          <w:noProof/>
          <w:lang w:val="en-US"/>
        </w:rPr>
        <w:t>(Shayeghi &amp; Younesi, 2020)</w:t>
      </w:r>
      <w:r w:rsidRPr="005D3213">
        <w:rPr>
          <w:lang w:val="en-US"/>
        </w:rPr>
        <w:fldChar w:fldCharType="end"/>
      </w:r>
      <w:r w:rsidRPr="005D3213">
        <w:rPr>
          <w:lang w:val="en-US"/>
        </w:rPr>
        <w:t xml:space="preserve">. Microgrids usually integrate multiple alternative energy sources such as solar photovoltaic, wind turbines, </w:t>
      </w:r>
      <w:r w:rsidR="009861F9">
        <w:rPr>
          <w:lang w:val="en-US"/>
        </w:rPr>
        <w:t xml:space="preserve">and </w:t>
      </w:r>
      <w:r w:rsidRPr="005D3213">
        <w:rPr>
          <w:lang w:val="en-US"/>
        </w:rPr>
        <w:t>energy storage systems, sometimes with conventional sources such as diesel generators, to serve local loads</w:t>
      </w:r>
      <w:r w:rsidR="00B827DE">
        <w:rPr>
          <w:lang w:val="en-US"/>
        </w:rPr>
        <w:t xml:space="preserve"> </w:t>
      </w:r>
      <w:r w:rsidRPr="005D3213">
        <w:rPr>
          <w:lang w:val="en-US"/>
        </w:rPr>
        <w:fldChar w:fldCharType="begin" w:fldLock="1"/>
      </w:r>
      <w:r w:rsidR="008E6BA7" w:rsidRPr="005D3213">
        <w:rPr>
          <w:lang w:val="en-US"/>
        </w:rPr>
        <w:instrText>ADDIN CSL_CITATION {"citationItems":[{"id":"ITEM-1","itemData":{"DOI":"10.3390/inventions5030042","ISBN":"2411-5134","ISSN":"24115134","abstract":"The shift from centralized to distributed generation and the need to address energy shortage and achieve the sustainability goals are among the important factors that drive increasing interests of governments, planners, and other relevant stakeholders in microgrid systems. Apart from the distributed renewable energy resources, fuel cells (FCs) are a clean, pollution-free, highly efficient, flexible, and promising energy resource for microgrid applications that need more attention in research and development terms. Furthermore, they can offer continuous operation and do not require recharging. This paper examines the exciting potential of FCs and their utilization in microgrid systems. It presents a comprehensive review of FCs, with emphasis on the developmental status of the different technologies, comparison of operational characteristics, and the prevailing techno-economic barriers to their progress and the future outlook. Furthermore, particular attention is paid to the applications of the FC technologies in microgrid systems such as grid-integrated, grid-parallel, stand-alone, backup or emergency power, and direct current systems, including the FC control mechanisms and hybrid designs, and the technical challenges faced when employing FCs in microgrids based on recent developments. Microgrids can help to strengthen the existing power grid and are also suitable for mitigating the problem of energy poverty in remote locations. The paper is expected to provide useful insights into advancing research and developments in clean energy generation through microgrid systems based on FCs.","author":[{"dropping-particle":"","family":"Akinyele","given":"Daniel","non-dropping-particle":"","parse-names":false,"suffix":""},{"dropping-particle":"","family":"Olabode","given":"Elijah","non-dropping-particle":"","parse-names":false,"suffix":""},{"dropping-particle":"","family":"Amole","given":"Abraham","non-dropping-particle":"","parse-names":false,"suffix":""}],"container-title":"Inventions","id":"ITEM-1","issue":"3","issued":{"date-parts":[["2020"]]},"page":"1-35","title":"Review of Fuel Cell Technologies and Applications for Sustainable Microgrid Systems","type":"article-journal","volume":"5"},"uris":["http://www.mendeley.com/documents/?uuid=e38465a5-9e26-48f9-9eb2-55dfc9403529"]},{"id":"ITEM-2","itemData":{"DOI":"10.1016/j.rser.2018.03.040","ISSN":"18790690","abstract":"Microgrids are now emerging from lab benches and pilot demonstration sites into commercial markets, driven by technological improvements, falling costs, a proven track record, and growing recognition of their benefits. They are being used to improve reliability and resilience of electrical grids, to manage the addition of distributed clean energy resources like wind and solar photovoltaic (PV) generation to reduce fossil fuel emissions, and to provide electricity in areas not served by centralized electrical infrastructure. This review article (1) explains what a microgrid is, and (2) provides a multi-disciplinary portrait of today's microgrid drivers, real-world applications, challenges, and future prospects.","author":[{"dropping-particle":"","family":"Hirsch","given":"Adam","non-dropping-particle":"","parse-names":false,"suffix":""},{"dropping-particle":"","family":"Parag","given":"Yael","non-dropping-particle":"","parse-names":false,"suffix":""},{"dropping-particle":"","family":"Guerrero","given":"Josep","non-dropping-particle":"","parse-names":false,"suffix":""}],"container-title":"Renewable and Sustainable Energy Reviews","id":"ITEM-2","issued":{"date-parts":[["2018","7","1"]]},"page":"402-411","publisher":"Pergamon","title":"Microgrids: A review of technologies, key drivers, and outstanding issues","type":"article-journal","volume":"90"},"uris":["http://www.mendeley.com/documents/?uuid=518c920d-4540-3c40-91b7-4f4b4e96ed7d"]}],"mendeley":{"formattedCitation":"(Akinyele et al., 2020; Hirsch et al., 2018)","plainTextFormattedCitation":"(Akinyele et al., 2020; Hirsch et al., 2018)","previouslyFormattedCitation":"(Akinyele et al., 2020; Hirsch et al., 2018)"},"properties":{"noteIndex":0},"schema":"https://github.com/citation-style-language/schema/raw/master/csl-citation.json"}</w:instrText>
      </w:r>
      <w:r w:rsidRPr="005D3213">
        <w:rPr>
          <w:lang w:val="en-US"/>
        </w:rPr>
        <w:fldChar w:fldCharType="separate"/>
      </w:r>
      <w:r w:rsidR="00A97D34" w:rsidRPr="005D3213">
        <w:rPr>
          <w:noProof/>
          <w:lang w:val="en-US"/>
        </w:rPr>
        <w:t>(Akinyele et al., 2020; Hirsch et al., 2018)</w:t>
      </w:r>
      <w:r w:rsidRPr="005D3213">
        <w:rPr>
          <w:lang w:val="en-US"/>
        </w:rPr>
        <w:fldChar w:fldCharType="end"/>
      </w:r>
      <w:r w:rsidR="00E43A43" w:rsidRPr="005D3213">
        <w:rPr>
          <w:lang w:val="en-US"/>
        </w:rPr>
        <w:t>. A standalone</w:t>
      </w:r>
      <w:r w:rsidR="005C329F" w:rsidRPr="005D3213">
        <w:rPr>
          <w:lang w:val="en-US"/>
        </w:rPr>
        <w:t xml:space="preserve"> microgrid exists without depending on any external sources or supplying any loads </w:t>
      </w:r>
      <w:r w:rsidR="00E43A43" w:rsidRPr="005D3213">
        <w:rPr>
          <w:lang w:val="en-US"/>
        </w:rPr>
        <w:t xml:space="preserve">that are </w:t>
      </w:r>
      <w:r w:rsidR="005C329F" w:rsidRPr="005D3213">
        <w:rPr>
          <w:lang w:val="en-US"/>
        </w:rPr>
        <w:t xml:space="preserve">external to the system. </w:t>
      </w:r>
      <w:r w:rsidR="000E5C9E" w:rsidRPr="005D3213">
        <w:rPr>
          <w:lang w:val="en-US"/>
        </w:rPr>
        <w:t>Microgrids</w:t>
      </w:r>
      <w:r w:rsidRPr="005D3213">
        <w:rPr>
          <w:lang w:val="en-US"/>
        </w:rPr>
        <w:t xml:space="preserve"> also sometimes exchange power with the macrogrid or other microgrids</w:t>
      </w:r>
      <w:r w:rsidR="005C329F" w:rsidRPr="005D3213">
        <w:rPr>
          <w:lang w:val="en-US"/>
        </w:rPr>
        <w:t>, in which case they are known as grid-connected microgrids</w:t>
      </w:r>
      <w:r w:rsidRPr="005D3213">
        <w:rPr>
          <w:lang w:val="en-US"/>
        </w:rPr>
        <w:t>.</w:t>
      </w:r>
      <w:r w:rsidR="008D06C3" w:rsidRPr="005D3213">
        <w:rPr>
          <w:lang w:val="en-US"/>
        </w:rPr>
        <w:t xml:space="preserve"> The effects of renewable-based uncertainty </w:t>
      </w:r>
      <w:r w:rsidR="009861F9">
        <w:rPr>
          <w:lang w:val="en-US"/>
        </w:rPr>
        <w:t>are</w:t>
      </w:r>
      <w:r w:rsidR="008D06C3" w:rsidRPr="005D3213">
        <w:rPr>
          <w:lang w:val="en-US"/>
        </w:rPr>
        <w:t xml:space="preserve"> more critical in standalone microgrids because they have no external system on which to fall back in case of internal </w:t>
      </w:r>
      <w:r w:rsidR="0045550C">
        <w:rPr>
          <w:lang w:val="en-US"/>
        </w:rPr>
        <w:t>in</w:t>
      </w:r>
      <w:r w:rsidR="008D06C3" w:rsidRPr="005D3213">
        <w:rPr>
          <w:lang w:val="en-US"/>
        </w:rPr>
        <w:t>adequacies in the generation of electric power.</w:t>
      </w:r>
    </w:p>
    <w:p w14:paraId="7CAE7C03" w14:textId="2CAD0BC0" w:rsidR="005313FF" w:rsidRPr="005D3213" w:rsidRDefault="00E43A43" w:rsidP="00F03645">
      <w:pPr>
        <w:spacing w:line="480" w:lineRule="auto"/>
        <w:rPr>
          <w:highlight w:val="yellow"/>
          <w:lang w:val="en-US"/>
        </w:rPr>
      </w:pPr>
      <w:r w:rsidRPr="005D3213">
        <w:rPr>
          <w:lang w:val="en-US"/>
        </w:rPr>
        <w:t>Standalone microgrids enable complete independence from the grid. They are usually a favo</w:t>
      </w:r>
      <w:r w:rsidR="009861F9">
        <w:rPr>
          <w:lang w:val="en-US"/>
        </w:rPr>
        <w:t>u</w:t>
      </w:r>
      <w:r w:rsidRPr="005D3213">
        <w:rPr>
          <w:lang w:val="en-US"/>
        </w:rPr>
        <w:t>rable option wherever power utility infrastructure is unavailable, nonexistent, or inadequate.</w:t>
      </w:r>
      <w:r w:rsidR="005313FF" w:rsidRPr="005D3213">
        <w:rPr>
          <w:lang w:val="en-US"/>
        </w:rPr>
        <w:t xml:space="preserve"> </w:t>
      </w:r>
      <w:r w:rsidR="00006876" w:rsidRPr="005D3213">
        <w:rPr>
          <w:lang w:val="en-US"/>
        </w:rPr>
        <w:t xml:space="preserve">Whenever </w:t>
      </w:r>
      <w:r w:rsidR="009861F9">
        <w:rPr>
          <w:lang w:val="en-US"/>
        </w:rPr>
        <w:t xml:space="preserve">a </w:t>
      </w:r>
      <w:r w:rsidR="00006876" w:rsidRPr="005D3213">
        <w:rPr>
          <w:lang w:val="en-US"/>
        </w:rPr>
        <w:t>standalone microgrid is used, energy storage is needed to maintain continuity of supply.</w:t>
      </w:r>
      <w:r w:rsidRPr="005D3213">
        <w:rPr>
          <w:lang w:val="en-US"/>
        </w:rPr>
        <w:t xml:space="preserve"> In many Nigerian communities, there is the well-known problem of electricity supply being unable to meet up with the demand</w:t>
      </w:r>
      <w:r w:rsidR="006E07F5" w:rsidRPr="005D3213">
        <w:rPr>
          <w:lang w:val="en-US"/>
        </w:rPr>
        <w:t xml:space="preserve"> </w:t>
      </w:r>
      <w:r w:rsidRPr="005D3213">
        <w:rPr>
          <w:lang w:val="en-US"/>
        </w:rPr>
        <w:fldChar w:fldCharType="begin" w:fldLock="1"/>
      </w:r>
      <w:r w:rsidR="008E6BA7" w:rsidRPr="005D3213">
        <w:rPr>
          <w:lang w:val="en-US"/>
        </w:rPr>
        <w:instrText>ADDIN CSL_CITATION {"citationItems":[{"id":"ITEM-1","itemData":{"ISBN":"1260212610","abstract":"Adequate access to reliable, quality and affordable power is crucial to national economic growth. The Nigerian power industry performance track records and statistics are dismal and appalling. The power supply is characterized by low accessibility, epileptic and poor transmission. The socioeconomic activities in Nigeria have been grossly impacted negatively by insufficient power supply. Yet the huge energy potential available in the country are insignificantly tapped. Therefore, this study x-rays the past and present power situation in Nigeria; the determinants of the amount of power demanded; and the several interventions in the Nigerian power supply. The study reported that population, industry, transportation, agriculture, and commercial services are the main determinants of energy demand in Nigeria. The study reveals that population interconnects all other factors. Industrial, transportation and residential sectors consume the most energy in Nigeria. Industrialization, urbanization and the general economic wellbeing of Nigeria depend largely on effective power supply. This study concludes that effective power supply relies on careful and logical handling of these critical power technical activities-power generation; efficient power transmission to users; efficient power distribution to the users; reasonable level of domestic power equipment manufacturing infrastructure; management of population growth; and national power infrastructural development planning and enabling policy for power sector investments.","author":[{"dropping-particle":"","family":"Ebhota","given":"W S","non-dropping-particle":"","parse-names":false,"suffix":""},{"dropping-particle":"","family":"Tabakov","given":"P Y","non-dropping-particle":"","parse-names":false,"suffix":""}],"container-title":"International Journal of Applied Engineering Research","id":"ITEM-1","issue":"16","issued":{"date-parts":[["2018"]]},"page":"12602-12610","title":"Power Inadequacy, the Thorn in Economic Growth of Nigeria","type":"article-journal","volume":"13"},"uris":["http://www.mendeley.com/documents/?uuid=cfb22326-d0bc-351a-92ae-04c489843428"]},{"id":"ITEM-2","itemData":{"abstract":"Acute electricity crisis characterised by epileptic and inadequate supply remains a major hindrance to achieving sustainable development in Nigeria. The problems of poor electricity generation, transmission, and distribution have led to a slowdown of industrialisation. The effect of this is evident in the poor standard of living for the majority of the population and the poor state of the economy. While there have been concerted efforts at improving the power sector, pumped-hydro storage consideration and applicability as a potential solution has received scant attention in Nigeria. Meanwhile, its application in electricity networks merits reflection considering the present state of Nigeria electricity. This study seeks to propose the application of P-HS in Nigeria and the steps needed to support its adoption. The attempt thus raised a number of questions. Such as, what are the possible factors that are slowing the application of P-HS? What are the needed steps to accelerate the P-HS application in Nigeria? What are the specific ways in which P-HS can be applied to solve the country's electricity problem? Thereafter, a conceptual framework to describe our thought was presented and the implications of adopting P-HS in Nigeria were discussed. These include energy storage, generation and ancillary services.","author":[{"dropping-particle":"","family":"Adebimpe","given":"Oluseye A","non-dropping-particle":"","parse-names":false,"suffix":""},{"dropping-particle":"","family":"Oladokun","given":"Victor O","non-dropping-particle":"","parse-names":false,"suffix":""},{"dropping-particle":"","family":"Edem","given":"Inyeneobong E","non-dropping-particle":"","parse-names":false,"suffix":""}],"container-title":"Proceedings of the 11th Annual International Conference on Industrial Engineering and Operations Management","id":"ITEM-2","issue":"July 2016","issued":{"date-parts":[["2021","3","7"]]},"page":"2528-2537","publisher-place":"Singapore","title":"Towards the Application of Pumped-Hydro Storage in Nigeria","type":"paper-conference"},"uris":["http://www.mendeley.com/documents/?uuid=d3f83807-72ad-4cab-9097-0862e7f54b52"]}],"mendeley":{"formattedCitation":"(Adebimpe et al., 2021; Ebhota &amp; Tabakov, 2018)","plainTextFormattedCitation":"(Adebimpe et al., 2021; Ebhota &amp; Tabakov, 2018)","previouslyFormattedCitation":"(Adebimpe et al., 2021; Ebhota &amp; Tabakov, 2018)"},"properties":{"noteIndex":0},"schema":"https://github.com/citation-style-language/schema/raw/master/csl-citation.json"}</w:instrText>
      </w:r>
      <w:r w:rsidRPr="005D3213">
        <w:rPr>
          <w:lang w:val="en-US"/>
        </w:rPr>
        <w:fldChar w:fldCharType="separate"/>
      </w:r>
      <w:r w:rsidR="00A97D34" w:rsidRPr="005D3213">
        <w:rPr>
          <w:noProof/>
          <w:lang w:val="en-US"/>
        </w:rPr>
        <w:t>(Adebimpe et al., 2021; Ebhota &amp; Tabakov, 2018)</w:t>
      </w:r>
      <w:r w:rsidRPr="005D3213">
        <w:rPr>
          <w:lang w:val="en-US"/>
        </w:rPr>
        <w:fldChar w:fldCharType="end"/>
      </w:r>
      <w:r w:rsidRPr="005D3213">
        <w:rPr>
          <w:lang w:val="en-US"/>
        </w:rPr>
        <w:t>.</w:t>
      </w:r>
      <w:r w:rsidR="006E07F5" w:rsidRPr="005D3213">
        <w:rPr>
          <w:lang w:val="en-US"/>
        </w:rPr>
        <w:t xml:space="preserve"> This is not only </w:t>
      </w:r>
      <w:r w:rsidR="009861F9">
        <w:rPr>
          <w:lang w:val="en-US"/>
        </w:rPr>
        <w:t>concerning</w:t>
      </w:r>
      <w:r w:rsidR="006E07F5" w:rsidRPr="005D3213">
        <w:rPr>
          <w:lang w:val="en-US"/>
        </w:rPr>
        <w:t xml:space="preserve"> real and reactive power quantity, but also the quality of power.</w:t>
      </w:r>
      <w:r w:rsidR="00B8449A" w:rsidRPr="005D3213">
        <w:rPr>
          <w:lang w:val="en-US"/>
        </w:rPr>
        <w:t xml:space="preserve"> In many cases, the grid power supply from a centralized power system is unable to keep up with the evolution in electricity demand due to the local developments of a community as it grows economically, and the feeders from the utility are overloaded, which results in problems such as poor voltage profile.</w:t>
      </w:r>
      <w:r w:rsidR="000D70F2" w:rsidRPr="005D3213">
        <w:rPr>
          <w:highlight w:val="yellow"/>
          <w:lang w:val="en-US"/>
        </w:rPr>
        <w:t xml:space="preserve"> </w:t>
      </w:r>
    </w:p>
    <w:p w14:paraId="4CD88A02" w14:textId="77777777" w:rsidR="000D70F2" w:rsidRPr="005D3213" w:rsidRDefault="000D70F2" w:rsidP="00F03645">
      <w:pPr>
        <w:spacing w:line="480" w:lineRule="auto"/>
        <w:rPr>
          <w:lang w:val="en-US"/>
        </w:rPr>
      </w:pPr>
      <w:r w:rsidRPr="005D3213">
        <w:rPr>
          <w:lang w:val="en-US"/>
        </w:rPr>
        <w:t>Grid-connected microgrids are not independent of the larger grid but are connected to it in such a way as to enable the sharing of power with it. For this reason, energy st</w:t>
      </w:r>
      <w:r w:rsidR="00224C86" w:rsidRPr="005D3213">
        <w:rPr>
          <w:lang w:val="en-US"/>
        </w:rPr>
        <w:t xml:space="preserve">orage systems are usually not needed. However, this applies </w:t>
      </w:r>
      <w:r w:rsidR="00006876" w:rsidRPr="005D3213">
        <w:rPr>
          <w:lang w:val="en-US"/>
        </w:rPr>
        <w:t xml:space="preserve">only </w:t>
      </w:r>
      <w:r w:rsidR="00224C86" w:rsidRPr="005D3213">
        <w:rPr>
          <w:lang w:val="en-US"/>
        </w:rPr>
        <w:t>when the power supply from the larger grid is reliable. If the power supply from the larger grid is not reliable or rarely available, the microgrid may still need to be equipped with energy storage systems. These energy storage systems may be batteries, supercapacitors, or flywheel energy storage systems.</w:t>
      </w:r>
      <w:r w:rsidR="008E6BA7" w:rsidRPr="005D3213">
        <w:rPr>
          <w:lang w:val="en-US"/>
        </w:rPr>
        <w:t xml:space="preserve"> The decision to stay on or off the grid depends on factors such as the size of the technology (how much power is to be generated), the price of the technology (which varies from place to place and across time), and the local tariffs and feed-in-tariff policies </w:t>
      </w:r>
      <w:r w:rsidR="008E6BA7" w:rsidRPr="005D3213">
        <w:rPr>
          <w:lang w:val="en-US"/>
        </w:rPr>
        <w:fldChar w:fldCharType="begin" w:fldLock="1"/>
      </w:r>
      <w:r w:rsidR="002757AE" w:rsidRPr="005D3213">
        <w:rPr>
          <w:lang w:val="en-US"/>
        </w:rPr>
        <w:instrText>ADDIN CSL_CITATION {"citationItems":[{"id":"ITEM-1","itemData":{"ISBN":"978-981-287-651-5","author":[{"dropping-particle":"","family":"Khalilpour","given":"Kaveh Rajab","non-dropping-particle":"","parse-names":false,"suffix":""},{"dropping-particle":"","family":"Vassallo","given":"Anthony","non-dropping-particle":"","parse-names":false,"suffix":""}],"id":"ITEM-1","issued":{"date-parts":[["2016"]]},"number-of-pages":"1-191","title":"Community Energy Networks With Storage","type":"book"},"uris":["http://www.mendeley.com/documents/?uuid=90cc1267-33fd-4077-b592-f3c3692c453d"]}],"mendeley":{"formattedCitation":"(Khalilpour &amp; Vassallo, 2016)","plainTextFormattedCitation":"(Khalilpour &amp; Vassallo, 2016)","previouslyFormattedCitation":"(Khalilpour &amp; Vassallo, 2016)"},"properties":{"noteIndex":0},"schema":"https://github.com/citation-style-language/schema/raw/master/csl-citation.json"}</w:instrText>
      </w:r>
      <w:r w:rsidR="008E6BA7" w:rsidRPr="005D3213">
        <w:rPr>
          <w:lang w:val="en-US"/>
        </w:rPr>
        <w:fldChar w:fldCharType="separate"/>
      </w:r>
      <w:r w:rsidR="008E6BA7" w:rsidRPr="005D3213">
        <w:rPr>
          <w:noProof/>
          <w:lang w:val="en-US"/>
        </w:rPr>
        <w:t>(Khalilpour &amp; Vassallo, 2016)</w:t>
      </w:r>
      <w:r w:rsidR="008E6BA7" w:rsidRPr="005D3213">
        <w:rPr>
          <w:lang w:val="en-US"/>
        </w:rPr>
        <w:fldChar w:fldCharType="end"/>
      </w:r>
      <w:r w:rsidR="008E6BA7" w:rsidRPr="005D3213">
        <w:rPr>
          <w:lang w:val="en-US"/>
        </w:rPr>
        <w:t>.</w:t>
      </w:r>
    </w:p>
    <w:p w14:paraId="2A333F93" w14:textId="55CCFA21" w:rsidR="00903C65" w:rsidRPr="005D3213" w:rsidRDefault="00006876" w:rsidP="00F03645">
      <w:pPr>
        <w:spacing w:line="480" w:lineRule="auto"/>
        <w:rPr>
          <w:lang w:val="en-US"/>
        </w:rPr>
      </w:pPr>
      <w:r w:rsidRPr="005D3213">
        <w:rPr>
          <w:lang w:val="en-US"/>
        </w:rPr>
        <w:t xml:space="preserve">The uncertainty in the primary energy sources and the unavailability of the energy resources in the power system poses a great threat to the stability of the power system.  </w:t>
      </w:r>
      <w:r w:rsidR="00903C65" w:rsidRPr="005D3213">
        <w:rPr>
          <w:lang w:val="en-US"/>
        </w:rPr>
        <w:t xml:space="preserve">The stability of a power system concerns its tendency to operate in its desired equilibrium conditions even when subjected to physical disturbances. However, due to the multidimensionality of power systems, stability is classified for system analysis, usually by focusing on one power system variable at a time. </w:t>
      </w:r>
      <w:r w:rsidR="00DC4BD9" w:rsidRPr="005D3213">
        <w:rPr>
          <w:lang w:val="en-US"/>
        </w:rPr>
        <w:t xml:space="preserve">The voltage stability of the grid is the ability of the power system to maintain desired voltage levels on all buses in the system under reasonable operating conditions and after its subjection to disturbance </w:t>
      </w:r>
      <w:r w:rsidR="00DC4BD9" w:rsidRPr="005D3213">
        <w:rPr>
          <w:lang w:val="en-US"/>
        </w:rPr>
        <w:fldChar w:fldCharType="begin" w:fldLock="1"/>
      </w:r>
      <w:r w:rsidR="008E6BA7" w:rsidRPr="005D3213">
        <w:rPr>
          <w:lang w:val="en-US"/>
        </w:rPr>
        <w:instrText>ADDIN CSL_CITATION {"citationItems":[{"id":"ITEM-1","itemData":{"DOI":"10.1016/B978-0-12-812959-3.00014-9","ISBN":"9780128132173","abstract":"The development of wind power industry is rapid. Large-scale wind farms are being connected to power systems. The integration of wind power and solar with high penetration has large impacts on the stability and reliability of power systems. Recent studies focus on the advanced solutions to prevent severe consequences for the power systems considered. As a result, wind farms are a sink for reactive power. The management of reactive power system is required to avoid low-voltage issues in the wind power system. Flexible AC Transmission Systems devices enhance the performance of the electric power, which include a group of shunt and series devices such as static synchronous compensator (STATCOM) that can support the required reactive power for stabilization voltage. STATCOM applications in wind farms have been studied and the results from previous studies indicate that it can support the reactive power required to the wind farm under various operating conditions, thereby improving the stability of the network.","author":[{"dropping-particle":"","family":"Youssef","given":"Erhab","non-dropping-particle":"","parse-names":false,"suffix":""},{"dropping-particle":"","family":"Sharaf","given":"Adel","non-dropping-particle":"","parse-names":false,"suffix":""},{"dropping-particle":"","family":"Amin","given":"Amr","non-dropping-particle":"","parse-names":false,"suffix":""},{"dropping-particle":"","family":"Samhey","given":"Adel","non-dropping-particle":"El","parse-names":false,"suffix":""}],"container-title":"Advances in Renewable Energies and Power Technologies","id":"ITEM-1","issued":{"date-parts":[["2018"]]},"number-of-pages":"431-460","publisher":"Elsevier Inc.","title":"Wind Energy FACTS Applications and Stabilization Schemes","type":"book","volume":"1"},"uris":["http://www.mendeley.com/documents/?uuid=25b6f34f-1a1e-4bfb-b05b-f539fa711eb1"]}],"mendeley":{"formattedCitation":"(Youssef et al., 2018)","plainTextFormattedCitation":"(Youssef et al., 2018)","previouslyFormattedCitation":"(Youssef et al., 2018)"},"properties":{"noteIndex":0},"schema":"https://github.com/citation-style-language/schema/raw/master/csl-citation.json"}</w:instrText>
      </w:r>
      <w:r w:rsidR="00DC4BD9" w:rsidRPr="005D3213">
        <w:rPr>
          <w:lang w:val="en-US"/>
        </w:rPr>
        <w:fldChar w:fldCharType="separate"/>
      </w:r>
      <w:r w:rsidR="00A97D34" w:rsidRPr="005D3213">
        <w:rPr>
          <w:noProof/>
          <w:lang w:val="en-US"/>
        </w:rPr>
        <w:t>(Youssef et al., 2018)</w:t>
      </w:r>
      <w:r w:rsidR="00DC4BD9" w:rsidRPr="005D3213">
        <w:rPr>
          <w:lang w:val="en-US"/>
        </w:rPr>
        <w:fldChar w:fldCharType="end"/>
      </w:r>
      <w:r w:rsidR="00DC4BD9" w:rsidRPr="005D3213">
        <w:rPr>
          <w:lang w:val="en-US"/>
        </w:rPr>
        <w:t>. If there is inadequate voltage stability on the microgrid, the loads connected could operate undesirably or be damaged.</w:t>
      </w:r>
      <w:r w:rsidR="00903C65" w:rsidRPr="005D3213">
        <w:rPr>
          <w:lang w:val="en-US"/>
        </w:rPr>
        <w:t xml:space="preserve"> </w:t>
      </w:r>
    </w:p>
    <w:p w14:paraId="0B1AC3DF" w14:textId="74E1CBBC" w:rsidR="00BB1765" w:rsidRDefault="006E07F5" w:rsidP="00F03645">
      <w:pPr>
        <w:spacing w:line="480" w:lineRule="auto"/>
        <w:rPr>
          <w:lang w:val="en-US"/>
        </w:rPr>
      </w:pPr>
      <w:r w:rsidRPr="005D3213">
        <w:rPr>
          <w:lang w:val="en-US"/>
        </w:rPr>
        <w:t xml:space="preserve">The use of </w:t>
      </w:r>
      <w:r w:rsidR="00760C8A" w:rsidRPr="005D3213">
        <w:rPr>
          <w:lang w:val="en-US"/>
        </w:rPr>
        <w:t>load shedding</w:t>
      </w:r>
      <w:r w:rsidRPr="005D3213">
        <w:rPr>
          <w:lang w:val="en-US"/>
        </w:rPr>
        <w:t xml:space="preserve"> for stability control of power systems means that the quality of service is not favo</w:t>
      </w:r>
      <w:r w:rsidR="009861F9">
        <w:rPr>
          <w:lang w:val="en-US"/>
        </w:rPr>
        <w:t>u</w:t>
      </w:r>
      <w:r w:rsidRPr="005D3213">
        <w:rPr>
          <w:lang w:val="en-US"/>
        </w:rPr>
        <w:t xml:space="preserve">rable for economic activities. This forces many </w:t>
      </w:r>
      <w:r w:rsidR="00B8449A" w:rsidRPr="005D3213">
        <w:rPr>
          <w:lang w:val="en-US"/>
        </w:rPr>
        <w:t>people</w:t>
      </w:r>
      <w:r w:rsidRPr="005D3213">
        <w:rPr>
          <w:lang w:val="en-US"/>
        </w:rPr>
        <w:t xml:space="preserve"> to rely on “I-pass-my-neighbour” mini-generators </w:t>
      </w:r>
      <w:r w:rsidR="00BB1765" w:rsidRPr="005D3213">
        <w:rPr>
          <w:lang w:val="en-US"/>
        </w:rPr>
        <w:fldChar w:fldCharType="begin" w:fldLock="1"/>
      </w:r>
      <w:r w:rsidR="008E6BA7" w:rsidRPr="005D3213">
        <w:rPr>
          <w:lang w:val="en-US"/>
        </w:rPr>
        <w:instrText>ADDIN CSL_CITATION {"citationItems":[{"id":"ITEM-1","itemData":{"ISBN":"1728110106","author":[{"dropping-particle":"","family":"Aganah","given":"Kennedy","non-dropping-particle":"","parse-names":false,"suffix":""},{"dropping-particle":"","family":"Chukwuma","given":"James","non-dropping-particle":"","parse-names":false,"suffix":""},{"dropping-particle":"","family":"Ndoye","given":"Mandoye","non-dropping-particle":"","parse-names":false,"suffix":""}],"container-title":"2019 IEEE PES/IAS PowerAfrica","id":"ITEM-1","issued":{"date-parts":[["2019"]]},"page":"182-186","publisher":"IEEE","title":"A Review of Off-Grid Plug-and-Play Solar Power Systems: Toward a New\" I Better Pass My Neighbour\" Generator","type":"paper-conference"},"uris":["http://www.mendeley.com/documents/?uuid=65bc91ba-2234-4306-b269-e510d2e56e14"]}],"mendeley":{"formattedCitation":"(Aganah et al., 2019)","plainTextFormattedCitation":"(Aganah et al., 2019)","previouslyFormattedCitation":"(Aganah et al., 2019)"},"properties":{"noteIndex":0},"schema":"https://github.com/citation-style-language/schema/raw/master/csl-citation.json"}</w:instrText>
      </w:r>
      <w:r w:rsidR="00BB1765" w:rsidRPr="005D3213">
        <w:rPr>
          <w:lang w:val="en-US"/>
        </w:rPr>
        <w:fldChar w:fldCharType="separate"/>
      </w:r>
      <w:r w:rsidR="00A97D34" w:rsidRPr="005D3213">
        <w:rPr>
          <w:noProof/>
          <w:lang w:val="en-US"/>
        </w:rPr>
        <w:t>(Aganah et al., 2019)</w:t>
      </w:r>
      <w:r w:rsidR="00BB1765" w:rsidRPr="005D3213">
        <w:rPr>
          <w:lang w:val="en-US"/>
        </w:rPr>
        <w:fldChar w:fldCharType="end"/>
      </w:r>
      <w:r w:rsidR="00BB1765" w:rsidRPr="005D3213">
        <w:rPr>
          <w:lang w:val="en-US"/>
        </w:rPr>
        <w:t xml:space="preserve"> </w:t>
      </w:r>
      <w:r w:rsidRPr="005D3213">
        <w:rPr>
          <w:lang w:val="en-US"/>
        </w:rPr>
        <w:t xml:space="preserve">which are </w:t>
      </w:r>
      <w:r w:rsidR="00A85F71">
        <w:rPr>
          <w:lang w:val="en-US"/>
        </w:rPr>
        <w:t xml:space="preserve">comparatively </w:t>
      </w:r>
      <w:r w:rsidRPr="005D3213">
        <w:rPr>
          <w:lang w:val="en-US"/>
        </w:rPr>
        <w:t>expensive to run, producing noise and toxic fumes, while also having unused capacity at times, making them rather inefficient</w:t>
      </w:r>
      <w:r w:rsidR="00B8449A" w:rsidRPr="005D3213">
        <w:rPr>
          <w:lang w:val="en-US"/>
        </w:rPr>
        <w:t xml:space="preserve"> when considered in massive numbers with each house having its own</w:t>
      </w:r>
      <w:r w:rsidRPr="005D3213">
        <w:rPr>
          <w:lang w:val="en-US"/>
        </w:rPr>
        <w:t>.</w:t>
      </w:r>
      <w:r w:rsidR="00B8449A" w:rsidRPr="005D3213">
        <w:rPr>
          <w:lang w:val="en-US"/>
        </w:rPr>
        <w:t xml:space="preserve"> For this reason, a standalone microgrid would be a more communal and economical alternative. It can run partially or completely on renewable resources dependi</w:t>
      </w:r>
      <w:r w:rsidR="009861F9">
        <w:rPr>
          <w:lang w:val="en-US"/>
        </w:rPr>
        <w:t>ng on demand, it can save space</w:t>
      </w:r>
      <w:r w:rsidR="00B8449A" w:rsidRPr="005D3213">
        <w:rPr>
          <w:lang w:val="en-US"/>
        </w:rPr>
        <w:t xml:space="preserve"> </w:t>
      </w:r>
      <w:r w:rsidR="009861F9">
        <w:rPr>
          <w:lang w:val="en-US"/>
        </w:rPr>
        <w:t xml:space="preserve">and </w:t>
      </w:r>
      <w:r w:rsidR="00B8449A" w:rsidRPr="005D3213">
        <w:rPr>
          <w:lang w:val="en-US"/>
        </w:rPr>
        <w:t>fuel, and reduce noise. Also, maintenance is easier as it is one system, and it can take advantage of the existing distribution network</w:t>
      </w:r>
      <w:r w:rsidR="00A57045">
        <w:rPr>
          <w:lang w:val="en-US"/>
        </w:rPr>
        <w:t>s.</w:t>
      </w:r>
    </w:p>
    <w:p w14:paraId="4980E06B" w14:textId="27CB3E35" w:rsidR="00073914" w:rsidRDefault="00073914" w:rsidP="00F03645">
      <w:pPr>
        <w:spacing w:line="480" w:lineRule="auto"/>
        <w:rPr>
          <w:lang w:val="en-US"/>
        </w:rPr>
      </w:pPr>
      <w:r>
        <w:rPr>
          <w:lang w:val="en-US"/>
        </w:rPr>
        <w:t>In the light of the presented facts, a community microgrid operating the standalone form must meet the requirements of being able to provide energy at a competitive cost as needed by consumers</w:t>
      </w:r>
      <w:r w:rsidR="00336849">
        <w:rPr>
          <w:lang w:val="en-US"/>
        </w:rPr>
        <w:t xml:space="preserve"> (availability)</w:t>
      </w:r>
      <w:r>
        <w:rPr>
          <w:lang w:val="en-US"/>
        </w:rPr>
        <w:t>. If it is a renewable microgrid, it must be able to meet the energy demands</w:t>
      </w:r>
      <w:r w:rsidR="00336849">
        <w:rPr>
          <w:lang w:val="en-US"/>
        </w:rPr>
        <w:t>,</w:t>
      </w:r>
      <w:r>
        <w:rPr>
          <w:lang w:val="en-US"/>
        </w:rPr>
        <w:t xml:space="preserve"> </w:t>
      </w:r>
      <w:r w:rsidR="00E73C67">
        <w:rPr>
          <w:lang w:val="en-US"/>
        </w:rPr>
        <w:t xml:space="preserve">even </w:t>
      </w:r>
      <w:r w:rsidR="00336849">
        <w:rPr>
          <w:lang w:val="en-US"/>
        </w:rPr>
        <w:t>when subjected to</w:t>
      </w:r>
      <w:r>
        <w:rPr>
          <w:lang w:val="en-US"/>
        </w:rPr>
        <w:t xml:space="preserve"> </w:t>
      </w:r>
      <w:r w:rsidR="00336849">
        <w:rPr>
          <w:lang w:val="en-US"/>
        </w:rPr>
        <w:t xml:space="preserve">renewable resource </w:t>
      </w:r>
      <w:r>
        <w:rPr>
          <w:lang w:val="en-US"/>
        </w:rPr>
        <w:t>uncertainty</w:t>
      </w:r>
      <w:r w:rsidR="00336849">
        <w:rPr>
          <w:lang w:val="en-US"/>
        </w:rPr>
        <w:t>,</w:t>
      </w:r>
      <w:r>
        <w:rPr>
          <w:lang w:val="en-US"/>
        </w:rPr>
        <w:t xml:space="preserve"> as well as possible. Also, the system must not only provide energy to consumers but also do so while remaining stable.</w:t>
      </w:r>
    </w:p>
    <w:p w14:paraId="290AD2EE" w14:textId="1F16D1F1" w:rsidR="007428D7" w:rsidRDefault="00073914" w:rsidP="00F03645">
      <w:pPr>
        <w:spacing w:line="480" w:lineRule="auto"/>
        <w:rPr>
          <w:lang w:val="en-US"/>
        </w:rPr>
      </w:pPr>
      <w:r>
        <w:rPr>
          <w:lang w:val="en-US"/>
        </w:rPr>
        <w:t xml:space="preserve"> </w:t>
      </w:r>
    </w:p>
    <w:p w14:paraId="1CD8F0D8" w14:textId="2362BBED" w:rsidR="000B26C3" w:rsidRDefault="000B26C3" w:rsidP="00F03645">
      <w:pPr>
        <w:pStyle w:val="Heading3"/>
        <w:spacing w:line="480" w:lineRule="auto"/>
      </w:pPr>
      <w:bookmarkStart w:id="16" w:name="_Toc110502554"/>
      <w:r>
        <w:t xml:space="preserve">1.2 </w:t>
      </w:r>
      <w:r w:rsidR="00072952">
        <w:t>STATEMENT OF THE PROBLEM</w:t>
      </w:r>
      <w:bookmarkEnd w:id="16"/>
    </w:p>
    <w:p w14:paraId="499C561A" w14:textId="12F2FC15" w:rsidR="000E4517" w:rsidRPr="009C0038" w:rsidRDefault="000E4517" w:rsidP="00F03645">
      <w:pPr>
        <w:spacing w:line="480" w:lineRule="auto"/>
        <w:rPr>
          <w:lang w:val="en-US"/>
        </w:rPr>
      </w:pPr>
      <w:r w:rsidRPr="009C0038">
        <w:rPr>
          <w:lang w:val="en-US"/>
        </w:rPr>
        <w:t xml:space="preserve">The grid electricity access </w:t>
      </w:r>
      <w:r w:rsidR="00510A54">
        <w:rPr>
          <w:lang w:val="en-US"/>
        </w:rPr>
        <w:t>in many locations</w:t>
      </w:r>
      <w:r w:rsidR="009861F9">
        <w:rPr>
          <w:lang w:val="en-US"/>
        </w:rPr>
        <w:t>,</w:t>
      </w:r>
      <w:r w:rsidR="00510A54">
        <w:rPr>
          <w:lang w:val="en-US"/>
        </w:rPr>
        <w:t xml:space="preserve"> including</w:t>
      </w:r>
      <w:r w:rsidR="00336D12" w:rsidRPr="009C0038">
        <w:rPr>
          <w:lang w:val="en-US"/>
        </w:rPr>
        <w:t xml:space="preserve"> the selected study location</w:t>
      </w:r>
      <w:r w:rsidRPr="009C0038">
        <w:rPr>
          <w:lang w:val="en-US"/>
        </w:rPr>
        <w:t xml:space="preserve"> </w:t>
      </w:r>
      <w:r w:rsidR="0067152A" w:rsidRPr="009C0038">
        <w:rPr>
          <w:lang w:val="en-US"/>
        </w:rPr>
        <w:t>in Nigeria</w:t>
      </w:r>
      <w:r w:rsidR="009861F9">
        <w:rPr>
          <w:lang w:val="en-US"/>
        </w:rPr>
        <w:t>,</w:t>
      </w:r>
      <w:r w:rsidR="0067152A" w:rsidRPr="009C0038">
        <w:rPr>
          <w:lang w:val="en-US"/>
        </w:rPr>
        <w:t xml:space="preserve"> </w:t>
      </w:r>
      <w:r w:rsidR="00510A54">
        <w:rPr>
          <w:lang w:val="en-US"/>
        </w:rPr>
        <w:t>is found</w:t>
      </w:r>
      <w:r w:rsidRPr="009C0038">
        <w:rPr>
          <w:lang w:val="en-US"/>
        </w:rPr>
        <w:t xml:space="preserve"> to be </w:t>
      </w:r>
      <w:r w:rsidR="00510A54">
        <w:rPr>
          <w:lang w:val="en-US"/>
        </w:rPr>
        <w:t>mostly insufficient</w:t>
      </w:r>
      <w:r w:rsidRPr="009C0038">
        <w:rPr>
          <w:lang w:val="en-US"/>
        </w:rPr>
        <w:t xml:space="preserve"> and </w:t>
      </w:r>
      <w:r w:rsidR="00510A54">
        <w:rPr>
          <w:lang w:val="en-US"/>
        </w:rPr>
        <w:t>sometimes unavailable</w:t>
      </w:r>
      <w:r w:rsidR="00840E10">
        <w:rPr>
          <w:lang w:val="en-US"/>
        </w:rPr>
        <w:t xml:space="preserve">. In Arandun with </w:t>
      </w:r>
      <w:r w:rsidR="006678BE">
        <w:rPr>
          <w:lang w:val="en-US"/>
        </w:rPr>
        <w:t xml:space="preserve">a </w:t>
      </w:r>
      <w:r w:rsidR="00840E10">
        <w:rPr>
          <w:lang w:val="en-US"/>
        </w:rPr>
        <w:t xml:space="preserve">load demand of </w:t>
      </w:r>
      <w:r w:rsidR="00AF17CD">
        <w:rPr>
          <w:lang w:val="en-US"/>
        </w:rPr>
        <w:t xml:space="preserve">up to </w:t>
      </w:r>
      <w:r w:rsidR="00840E10">
        <w:rPr>
          <w:lang w:val="en-US"/>
        </w:rPr>
        <w:t>2</w:t>
      </w:r>
      <w:r w:rsidR="00AF17CD">
        <w:rPr>
          <w:lang w:val="en-US"/>
        </w:rPr>
        <w:t xml:space="preserve">MW (and growing) but sporadic power supply of 0.9 MW on average, insufficient and inadequate supply </w:t>
      </w:r>
      <w:r w:rsidRPr="009C0038">
        <w:rPr>
          <w:lang w:val="en-US"/>
        </w:rPr>
        <w:t>leads to issues such as poor voltage profile</w:t>
      </w:r>
      <w:r w:rsidR="00B33E2A">
        <w:rPr>
          <w:lang w:val="en-US"/>
        </w:rPr>
        <w:t>. Wherever such a situation exists, a</w:t>
      </w:r>
      <w:r w:rsidRPr="009C0038">
        <w:rPr>
          <w:lang w:val="en-US"/>
        </w:rPr>
        <w:t>ccess to safe, clean, and affordabl</w:t>
      </w:r>
      <w:r w:rsidR="00674E10">
        <w:rPr>
          <w:lang w:val="en-US"/>
        </w:rPr>
        <w:t>e energy is not secure</w:t>
      </w:r>
      <w:r w:rsidR="00587207">
        <w:rPr>
          <w:lang w:val="en-US"/>
        </w:rPr>
        <w:t>d</w:t>
      </w:r>
      <w:r w:rsidR="0087517A" w:rsidRPr="009C0038">
        <w:rPr>
          <w:lang w:val="en-US"/>
        </w:rPr>
        <w:t>. This forces individuals to either endure sporadic</w:t>
      </w:r>
      <w:r w:rsidR="00344C0F" w:rsidRPr="009C0038">
        <w:rPr>
          <w:lang w:val="en-US"/>
        </w:rPr>
        <w:t>,</w:t>
      </w:r>
      <w:r w:rsidR="0042190B" w:rsidRPr="009C0038">
        <w:rPr>
          <w:lang w:val="en-US"/>
        </w:rPr>
        <w:t xml:space="preserve"> nonexistent,</w:t>
      </w:r>
      <w:r w:rsidR="0087517A" w:rsidRPr="009C0038">
        <w:rPr>
          <w:lang w:val="en-US"/>
        </w:rPr>
        <w:t xml:space="preserve"> </w:t>
      </w:r>
      <w:r w:rsidR="0042190B" w:rsidRPr="009C0038">
        <w:rPr>
          <w:lang w:val="en-US"/>
        </w:rPr>
        <w:t xml:space="preserve">insecure, or low-quality </w:t>
      </w:r>
      <w:r w:rsidR="0087517A" w:rsidRPr="009C0038">
        <w:rPr>
          <w:lang w:val="en-US"/>
        </w:rPr>
        <w:t xml:space="preserve">access to electricity or invest in expensive, noisy, and fume-emitting generating sets despite the </w:t>
      </w:r>
      <w:r w:rsidR="00D2378C">
        <w:rPr>
          <w:lang w:val="en-US"/>
        </w:rPr>
        <w:t>abundance</w:t>
      </w:r>
      <w:r w:rsidR="0087517A" w:rsidRPr="009C0038">
        <w:rPr>
          <w:lang w:val="en-US"/>
        </w:rPr>
        <w:t xml:space="preserve"> of locally-harnessable renewable energy.</w:t>
      </w:r>
    </w:p>
    <w:p w14:paraId="0D9FEFCD" w14:textId="2C9C23FC" w:rsidR="006326A4" w:rsidRDefault="00587207" w:rsidP="00F03645">
      <w:pPr>
        <w:spacing w:line="480" w:lineRule="auto"/>
        <w:rPr>
          <w:lang w:val="en-US"/>
        </w:rPr>
      </w:pPr>
      <w:r>
        <w:rPr>
          <w:lang w:val="en-US"/>
        </w:rPr>
        <w:t>T</w:t>
      </w:r>
      <w:r w:rsidR="00D9476C">
        <w:rPr>
          <w:lang w:val="en-US"/>
        </w:rPr>
        <w:t>here is a</w:t>
      </w:r>
      <w:r w:rsidR="000366DF">
        <w:rPr>
          <w:lang w:val="en-US"/>
        </w:rPr>
        <w:t xml:space="preserve">n </w:t>
      </w:r>
      <w:r w:rsidR="000366DF" w:rsidRPr="0087105F">
        <w:rPr>
          <w:lang w:val="en-US"/>
        </w:rPr>
        <w:t>unmet</w:t>
      </w:r>
      <w:r w:rsidR="00D9476C">
        <w:rPr>
          <w:lang w:val="en-US"/>
        </w:rPr>
        <w:t xml:space="preserve"> need for </w:t>
      </w:r>
      <w:r w:rsidR="00510A54">
        <w:rPr>
          <w:lang w:val="en-US"/>
        </w:rPr>
        <w:t xml:space="preserve">modelling and </w:t>
      </w:r>
      <w:r w:rsidR="00D9476C">
        <w:rPr>
          <w:lang w:val="en-US"/>
        </w:rPr>
        <w:t>assessment</w:t>
      </w:r>
      <w:r w:rsidR="00336D12" w:rsidRPr="009C0038">
        <w:rPr>
          <w:lang w:val="en-US"/>
        </w:rPr>
        <w:t xml:space="preserve"> of </w:t>
      </w:r>
      <w:r w:rsidR="009861F9">
        <w:rPr>
          <w:lang w:val="en-US"/>
        </w:rPr>
        <w:t xml:space="preserve">a </w:t>
      </w:r>
      <w:r w:rsidR="00336D12" w:rsidRPr="009C0038">
        <w:rPr>
          <w:lang w:val="en-US"/>
        </w:rPr>
        <w:t xml:space="preserve">standalone microgrid system to provide reliable, </w:t>
      </w:r>
      <w:r w:rsidR="0042190B" w:rsidRPr="009C0038">
        <w:rPr>
          <w:lang w:val="en-US"/>
        </w:rPr>
        <w:t>secure</w:t>
      </w:r>
      <w:r w:rsidR="00336D12" w:rsidRPr="009C0038">
        <w:rPr>
          <w:lang w:val="en-US"/>
        </w:rPr>
        <w:t>, safe</w:t>
      </w:r>
      <w:r w:rsidR="0042190B" w:rsidRPr="009C0038">
        <w:rPr>
          <w:lang w:val="en-US"/>
        </w:rPr>
        <w:t xml:space="preserve">, </w:t>
      </w:r>
      <w:r w:rsidR="00D433D6" w:rsidRPr="009C0038">
        <w:rPr>
          <w:lang w:val="en-US"/>
        </w:rPr>
        <w:t xml:space="preserve">and </w:t>
      </w:r>
      <w:r w:rsidR="0042190B" w:rsidRPr="009C0038">
        <w:rPr>
          <w:lang w:val="en-US"/>
        </w:rPr>
        <w:t>affordable</w:t>
      </w:r>
      <w:r w:rsidR="00336D12" w:rsidRPr="009C0038">
        <w:rPr>
          <w:lang w:val="en-US"/>
        </w:rPr>
        <w:t xml:space="preserve"> energy for the community in Nigeria at the selected location</w:t>
      </w:r>
      <w:r w:rsidR="00542B6A">
        <w:rPr>
          <w:lang w:val="en-US"/>
        </w:rPr>
        <w:t>.</w:t>
      </w:r>
      <w:r w:rsidR="00336D12" w:rsidRPr="009C0038">
        <w:rPr>
          <w:lang w:val="en-US"/>
        </w:rPr>
        <w:t xml:space="preserve"> This is because the use of intermittent renewables tends to negatively impact voltage stability in some cases</w:t>
      </w:r>
      <w:r w:rsidR="009C0038">
        <w:rPr>
          <w:lang w:val="en-US"/>
        </w:rPr>
        <w:t>.</w:t>
      </w:r>
    </w:p>
    <w:p w14:paraId="4BBF4278" w14:textId="09480347" w:rsidR="00967768" w:rsidRDefault="001329AD" w:rsidP="00F03645">
      <w:pPr>
        <w:pStyle w:val="Heading3"/>
        <w:spacing w:line="480" w:lineRule="auto"/>
      </w:pPr>
      <w:bookmarkStart w:id="17" w:name="_Toc110502555"/>
      <w:r>
        <w:t xml:space="preserve">1.3 </w:t>
      </w:r>
      <w:r w:rsidR="00072952">
        <w:t>JUSTIFICATION FOR THE STUDY</w:t>
      </w:r>
      <w:bookmarkEnd w:id="17"/>
    </w:p>
    <w:p w14:paraId="0365DBE0" w14:textId="674AD609" w:rsidR="00967768" w:rsidRDefault="00967768" w:rsidP="00F03645">
      <w:pPr>
        <w:spacing w:line="480" w:lineRule="auto"/>
        <w:rPr>
          <w:lang w:val="en-US"/>
        </w:rPr>
      </w:pPr>
      <w:r>
        <w:rPr>
          <w:lang w:val="en-US"/>
        </w:rPr>
        <w:t>Several researchers have noted that the impacts of integrating renewable energy sources into the grid are not always completely positive</w:t>
      </w:r>
      <w:r w:rsidR="00C71CF6">
        <w:rPr>
          <w:lang w:val="en-US"/>
        </w:rPr>
        <w:t xml:space="preserve"> </w:t>
      </w:r>
      <w:r w:rsidR="00C71CF6">
        <w:rPr>
          <w:lang w:val="en-US"/>
        </w:rPr>
        <w:fldChar w:fldCharType="begin" w:fldLock="1"/>
      </w:r>
      <w:r w:rsidR="008E6BA7">
        <w:rPr>
          <w:lang w:val="en-US"/>
        </w:rPr>
        <w:instrText>ADDIN CSL_CITATION {"citationItems":[{"id":"ITEM-1","itemData":{"DOI":"10.1109/SIELMEN.2017.8123336","ISBN":"9781538618462","abstract":"Nowadays, fossil fuels are depleted more and more. Renewable energy is one of the best solutions to replace conventional energy. The significant growth of Renewable energy sources indicates that it plays an important role in national energy system in near future. Distributed Generation (DG) technology is one of the technologies that gains more and more attention all around the world. According to International Renewable Energy Agency (IRENA), the number of countries ratifying renewable energy targets has risen to 180. These countries aim to synchronize the Distributed Generation to grid, including small scale of PVs (Photovoltaics) power plants and WPPs (wind power plants). The aim of this paper is to survey the impact level of DG penetration into the grid. To investigate these impacts, this paper uses a test system 9-BUS provided by IEEE to model the integration of DG into the grid, by using ETAP software. Three penetration levels are simulated to examine the influence of DG plants into the electrical grid. Four scenarios have been considered to check frequency, voltage and fault levels of DG. The results show that the system performs well while penetration is under 30% of the electrical grid. The higher is the penetration of DG, the lower is the stability of the system. This requires analysis and solutions to develop a more stable system.","author":[{"dropping-particle":"","family":"Duong","given":"Minh Quan","non-dropping-particle":"","parse-names":false,"suffix":""},{"dropping-particle":"","family":"Tran","given":"Ngoc Thien Nam","non-dropping-particle":"","parse-names":false,"suffix":""},{"dropping-particle":"","family":"Sava","given":"Gabriela Nicoleta","non-dropping-particle":"","parse-names":false,"suffix":""},{"dropping-particle":"","family":"Scripcariu","given":"Mircea","non-dropping-particle":"","parse-names":false,"suffix":""}],"container-title":"2017 11th International Conference on Electromechanical and Power Systems, SIELMEN 2017 - Proceedings","id":"ITEM-1","issued":{"date-parts":[["2017"]]},"page":"295-301","title":"The impacts of distributed generation penetration into the power system","type":"article-journal","volume":"2017-Janua"},"uris":["http://www.mendeley.com/documents/?uuid=bbe91302-7177-47b3-a133-50e700f4dad7"]},{"id":"ITEM-2","itemData":{"DOI":"10.1016/j.esr.2020.100539","ISSN":"2211467X","abstract":"Flexibility in power systems is ability to provide supply-demand balance, maintain continuity in unexpected situations, and cope with uncertainty on supply-demand sides. The new method and management requirements to provide flexibility have emerged from the trend towards power systems increasing renewable energy penetration with generation uncertainty and availability. In this study, the historical development of power system flexibility concept, the flexible power system characteristics, flexibility sources, and evaluation parameters are presented as part of international literature. The impact of variable renewable energy sources penetration on power system transient stability, small-signal stability, and frequency stability are discussed; the studies are presented to the researchers for further studies. Moreover, flexibility measurement studies are investigated, and methods of providing flexibility are evaluated.","author":[{"dropping-particle":"","family":"Impram","given":"Semich","non-dropping-particle":"","parse-names":false,"suffix":""},{"dropping-particle":"","family":"Varbak Nese","given":"Secil","non-dropping-particle":"","parse-names":false,"suffix":""},{"dropping-particle":"","family":"Oral","given":"Bülent","non-dropping-particle":"","parse-names":false,"suffix":""}],"container-title":"Energy Strategy Reviews","id":"ITEM-2","issue":"April","issued":{"date-parts":[["2020","9","1"]]},"page":"100539","publisher":"Elsevier Ltd","title":"Challenges of renewable energy penetration on power system flexibility: A survey","type":"article-journal","volume":"31"},"uris":["http://www.mendeley.com/documents/?uuid=802d36b2-9835-43e1-ba56-0a45315edc98"]}],"mendeley":{"formattedCitation":"(Duong et al., 2017; Impram et al., 2020)","plainTextFormattedCitation":"(Duong et al., 2017; Impram et al., 2020)","previouslyFormattedCitation":"(Duong et al., 2017; Impram et al., 2020)"},"properties":{"noteIndex":0},"schema":"https://github.com/citation-style-language/schema/raw/master/csl-citation.json"}</w:instrText>
      </w:r>
      <w:r w:rsidR="00C71CF6">
        <w:rPr>
          <w:lang w:val="en-US"/>
        </w:rPr>
        <w:fldChar w:fldCharType="separate"/>
      </w:r>
      <w:r w:rsidR="00A97D34" w:rsidRPr="00A97D34">
        <w:rPr>
          <w:noProof/>
          <w:lang w:val="en-US"/>
        </w:rPr>
        <w:t>(Duong et al., 2017; Impram et al., 2020)</w:t>
      </w:r>
      <w:r w:rsidR="00C71CF6">
        <w:rPr>
          <w:lang w:val="en-US"/>
        </w:rPr>
        <w:fldChar w:fldCharType="end"/>
      </w:r>
      <w:r>
        <w:rPr>
          <w:lang w:val="en-US"/>
        </w:rPr>
        <w:t xml:space="preserve">. As the </w:t>
      </w:r>
      <w:r w:rsidR="000366DF">
        <w:rPr>
          <w:lang w:val="en-US"/>
        </w:rPr>
        <w:t>global paradigm shift from centraliz</w:t>
      </w:r>
      <w:r>
        <w:rPr>
          <w:lang w:val="en-US"/>
        </w:rPr>
        <w:t>ed generation to di</w:t>
      </w:r>
      <w:r w:rsidR="00A44941">
        <w:rPr>
          <w:lang w:val="en-US"/>
        </w:rPr>
        <w:t>stributed generation continues</w:t>
      </w:r>
      <w:r w:rsidR="00FC1A0B">
        <w:rPr>
          <w:lang w:val="en-US"/>
        </w:rPr>
        <w:t xml:space="preserve">, </w:t>
      </w:r>
      <w:r>
        <w:rPr>
          <w:lang w:val="en-US"/>
        </w:rPr>
        <w:t>the proliferation of smaller inverter-based resources is on the rise</w:t>
      </w:r>
      <w:r w:rsidR="00C71CF6">
        <w:rPr>
          <w:lang w:val="en-US"/>
        </w:rPr>
        <w:t xml:space="preserve"> </w:t>
      </w:r>
      <w:r w:rsidR="00C71CF6">
        <w:rPr>
          <w:lang w:val="en-US"/>
        </w:rPr>
        <w:fldChar w:fldCharType="begin" w:fldLock="1"/>
      </w:r>
      <w:r w:rsidR="008E6BA7">
        <w:rPr>
          <w:lang w:val="en-US"/>
        </w:rPr>
        <w:instrText>ADDIN CSL_CITATION {"citationItems":[{"id":"ITEM-1","itemData":{"DOI":"10.1002/er.4847","ISSN":"1099114X","abstract":"Increased energy demands due to rapid industrialization, environmental concerns with fossil fuel–based generation, diminishing fossil energy resources, transmission network congestion, and technical performance deterioration are the motivations behind the integration of small renewable distributed generation (DG) units and turning the existing power systems into a restructured one. Optimizing the technical benefits offered by DG placement is a well-known challenge for distribution network operators (DNOs) for both fossil and renewable energy resource–based DGs, but renewable DG systems have several power quality (PQ) challenges associated additionally. Power quality is a very significant characteristic of renewable DG systems because today's loads are more sensitive to PQ disturbances and penetration of renewable energy as well as nonlinear loads is proliferating in distribution power networks. So the need for innovative power quality improvement (PQI) techniques becomes inevitable due to ongoing reformation in traditional distribution networks by the integration of renewable energy. This article presents a comprehensive analysis of power quality challenges with grid integration of renewable DG systems and current research status of associated mitigation techniques. Firstly, this paper puts emphasis on theoretically illustrating all the crucial power quality challenges associated with grid integration of renewable energy, and secondly, a thorough survey, of all PQI techniques introduced till date, is elaborated along with highlighting the opportunities for future research. Furthermore, all the crucial power quality issues, the impact of high penetration of renewable energy and mitigation techniques on power quality, are demonstrated also by simulating a grid integrated PV-based DG system in MATLAB/Simulink. This article is believed to be very beneficial for academics as well as industry professionals to understand existing PQ challenges, PQI techniques, and future research directions for renewable energy technologies.","author":[{"dropping-particle":"","family":"Bajaj","given":"Mohit","non-dropping-particle":"","parse-names":false,"suffix":""},{"dropping-particle":"","family":"Singh","given":"Amit Kumar","non-dropping-particle":"","parse-names":false,"suffix":""}],"container-title":"International Journal of Energy Research","id":"ITEM-1","issue":"1","issued":{"date-parts":[["2020"]]},"page":"26-69","title":"Grid integrated renewable DG systems: A review of power quality challenges and state-of-the-art mitigation techniques","type":"article-journal","volume":"44"},"uris":["http://www.mendeley.com/documents/?uuid=135db8fa-a9d4-4bc4-baa1-468e46a1f8d9"]}],"mendeley":{"formattedCitation":"(Bajaj &amp; Singh, 2020)","plainTextFormattedCitation":"(Bajaj &amp; Singh, 2020)","previouslyFormattedCitation":"(Bajaj &amp; Singh, 2020)"},"properties":{"noteIndex":0},"schema":"https://github.com/citation-style-language/schema/raw/master/csl-citation.json"}</w:instrText>
      </w:r>
      <w:r w:rsidR="00C71CF6">
        <w:rPr>
          <w:lang w:val="en-US"/>
        </w:rPr>
        <w:fldChar w:fldCharType="separate"/>
      </w:r>
      <w:r w:rsidR="00A97D34" w:rsidRPr="00A97D34">
        <w:rPr>
          <w:noProof/>
          <w:lang w:val="en-US"/>
        </w:rPr>
        <w:t>(Bajaj &amp; Singh, 2020)</w:t>
      </w:r>
      <w:r w:rsidR="00C71CF6">
        <w:rPr>
          <w:lang w:val="en-US"/>
        </w:rPr>
        <w:fldChar w:fldCharType="end"/>
      </w:r>
      <w:r>
        <w:rPr>
          <w:lang w:val="en-US"/>
        </w:rPr>
        <w:t xml:space="preserve">. Existing power </w:t>
      </w:r>
      <w:r w:rsidR="00C71CF6">
        <w:rPr>
          <w:lang w:val="en-US"/>
        </w:rPr>
        <w:t>system management strategies</w:t>
      </w:r>
      <w:r>
        <w:rPr>
          <w:lang w:val="en-US"/>
        </w:rPr>
        <w:t xml:space="preserve"> for the </w:t>
      </w:r>
      <w:r w:rsidR="00C71CF6">
        <w:rPr>
          <w:lang w:val="en-US"/>
        </w:rPr>
        <w:t>control</w:t>
      </w:r>
      <w:r>
        <w:rPr>
          <w:lang w:val="en-US"/>
        </w:rPr>
        <w:t xml:space="preserve"> of </w:t>
      </w:r>
      <w:r w:rsidR="00C71CF6">
        <w:rPr>
          <w:lang w:val="en-US"/>
        </w:rPr>
        <w:t>important quantities</w:t>
      </w:r>
      <w:r>
        <w:rPr>
          <w:lang w:val="en-US"/>
        </w:rPr>
        <w:t xml:space="preserve"> such as voltage and frequency are usually best</w:t>
      </w:r>
      <w:r w:rsidR="009861F9">
        <w:rPr>
          <w:lang w:val="en-US"/>
        </w:rPr>
        <w:t xml:space="preserve"> </w:t>
      </w:r>
      <w:r>
        <w:rPr>
          <w:lang w:val="en-US"/>
        </w:rPr>
        <w:t>suited for power systems whose sources are rotating electrical machines. Therefore</w:t>
      </w:r>
      <w:r w:rsidR="00FC1A0B">
        <w:rPr>
          <w:lang w:val="en-US"/>
        </w:rPr>
        <w:t>, these strategies</w:t>
      </w:r>
      <w:r>
        <w:rPr>
          <w:lang w:val="en-US"/>
        </w:rPr>
        <w:t xml:space="preserve"> are proving increasingly ill-suited </w:t>
      </w:r>
      <w:r w:rsidR="00FC1A0B">
        <w:rPr>
          <w:lang w:val="en-US"/>
        </w:rPr>
        <w:t>for</w:t>
      </w:r>
      <w:r>
        <w:rPr>
          <w:lang w:val="en-US"/>
        </w:rPr>
        <w:t xml:space="preserve"> coping with the large numbers of smaller generating units which do not </w:t>
      </w:r>
      <w:r w:rsidR="005D5009">
        <w:rPr>
          <w:lang w:val="en-US"/>
        </w:rPr>
        <w:t>always fit this criterion</w:t>
      </w:r>
      <w:r w:rsidR="00D04231">
        <w:rPr>
          <w:lang w:val="en-US"/>
        </w:rPr>
        <w:t xml:space="preserve"> </w:t>
      </w:r>
      <w:r w:rsidR="00C71CF6">
        <w:rPr>
          <w:lang w:val="en-US"/>
        </w:rPr>
        <w:fldChar w:fldCharType="begin" w:fldLock="1"/>
      </w:r>
      <w:r w:rsidR="008E6BA7">
        <w:rPr>
          <w:lang w:val="en-US"/>
        </w:rPr>
        <w:instrText>ADDIN CSL_CITATION {"citationItems":[{"id":"ITEM-1","itemData":{"DOI":"10.1016/B978-0-12-800240-7.00020-5","ISBN":"9780128003800","abstract":"This chapter examines how microgrids may affect organized wholesale electricity markets. Two different scenarios are explored. In the first scenario, referred to as \"incremental changes,\" regional transmission organization/independent system operators (RTOs/ISOs) continue and even expand their central role in administering electricity markets, operating the power system, and planning transmission. They develop new wholesale electricity products to address the intermittency of wind and solar resources, extend their dispatch and unit commitment to include retail supply and demand resources, and increase the numbers of their membership. In the contrasting scenario, \"decentralization dominates,\" RTOs/ISOs are relegated to a minimalist grid operator, balancing, when needed, numerous microgrids that infrequently, if at all, rely upon a centralized power system. Implications from these opposing scenarios are discussed.","author":[{"dropping-particle":"","family":"Felder","given":"Frank A.","non-dropping-particle":"","parse-names":false,"suffix":""}],"container-title":"Distributed Generation and its Implications for the Utility Industry","id":"ITEM-1","issued":{"date-parts":[["2014"]]},"page":"399-415","publisher":"Elsevier Inc.","title":"What Future for the Grid Operator?","type":"chapter"},"uris":["http://www.mendeley.com/documents/?uuid=16154bb7-39f5-44ec-ab13-f12b171a00ca"]}],"mendeley":{"formattedCitation":"(Felder, 2014)","plainTextFormattedCitation":"(Felder, 2014)","previouslyFormattedCitation":"(Felder, 2014)"},"properties":{"noteIndex":0},"schema":"https://github.com/citation-style-language/schema/raw/master/csl-citation.json"}</w:instrText>
      </w:r>
      <w:r w:rsidR="00C71CF6">
        <w:rPr>
          <w:lang w:val="en-US"/>
        </w:rPr>
        <w:fldChar w:fldCharType="separate"/>
      </w:r>
      <w:r w:rsidR="00A97D34" w:rsidRPr="00A97D34">
        <w:rPr>
          <w:noProof/>
          <w:lang w:val="en-US"/>
        </w:rPr>
        <w:t>(Felder, 2014)</w:t>
      </w:r>
      <w:r w:rsidR="00C71CF6">
        <w:rPr>
          <w:lang w:val="en-US"/>
        </w:rPr>
        <w:fldChar w:fldCharType="end"/>
      </w:r>
      <w:r w:rsidR="005D5009">
        <w:rPr>
          <w:lang w:val="en-US"/>
        </w:rPr>
        <w:t>.</w:t>
      </w:r>
    </w:p>
    <w:p w14:paraId="75B0D186" w14:textId="0E58CCDB" w:rsidR="00FC1A0B" w:rsidRDefault="005D5009" w:rsidP="00F03645">
      <w:pPr>
        <w:spacing w:line="480" w:lineRule="auto"/>
        <w:rPr>
          <w:lang w:val="en-US"/>
        </w:rPr>
      </w:pPr>
      <w:r>
        <w:rPr>
          <w:lang w:val="en-US"/>
        </w:rPr>
        <w:t>There have been cases of significant and very costly damage to power systems spanning wid</w:t>
      </w:r>
      <w:r w:rsidR="00127CC8">
        <w:rPr>
          <w:lang w:val="en-US"/>
        </w:rPr>
        <w:t xml:space="preserve">e areas </w:t>
      </w:r>
      <w:r>
        <w:rPr>
          <w:lang w:val="en-US"/>
        </w:rPr>
        <w:t>due to unanticipated interactions between the electrical and mechanical quantities in parts of the power system</w:t>
      </w:r>
      <w:r w:rsidR="00C71CF6">
        <w:rPr>
          <w:lang w:val="en-US"/>
        </w:rPr>
        <w:t xml:space="preserve"> </w:t>
      </w:r>
      <w:r w:rsidR="00C71CF6">
        <w:rPr>
          <w:lang w:val="en-US"/>
        </w:rPr>
        <w:fldChar w:fldCharType="begin" w:fldLock="1"/>
      </w:r>
      <w:r w:rsidR="005357FC">
        <w:rPr>
          <w:lang w:val="en-US"/>
        </w:rPr>
        <w:instrText>ADDIN CSL_CITATION {"citationItems":[{"id":"ITEM-1","itemData":{"ISSN":"0885-8969","author":[{"dropping-particle":"","family":"Xie","given":"Xiaorong","non-dropping-particle":"","parse-names":false,"suffix":""},{"dropping-particle":"","family":"Zhang","given":"Xu","non-dropping-particle":"","parse-names":false,"suffix":""},{"dropping-particle":"","family":"Liu","given":"Huakun","non-dropping-particle":"","parse-names":false,"suffix":""},{"dropping-particle":"","family":"Liu","given":"Hui","non-dropping-particle":"","parse-names":false,"suffix":""},{"dropping-particle":"","family":"Li","given":"Yunhong","non-dropping-particle":"","parse-names":false,"suffix":""},{"dropping-particle":"","family":"Zhang","given":"Chuanyu","non-dropping-particle":"","parse-names":false,"suffix":""}],"container-title":"IEEE Transactions on Energy Conversion","id":"ITEM-1","issue":"3","issued":{"date-parts":[["2017"]]},"page":"1117-1126","publisher":"IEEE","title":"Characteristic analysis of subsynchronous resonance in practical wind farms connected to series-compensated transmissions","type":"article-journal","volume":"32"},"uris":["http://www.mendeley.com/documents/?uuid=6bd9baaa-9942-45b5-a68f-9d246b76d632"]},{"id":"ITEM-2","itemData":{"DOI":"10.3390/en12152847","ISSN":"19961073","abstract":"This paper presents a detailed analysis results of the effect of a thyristor-controlled series capacitor (TCSC) on subsynchronous resonance (SSR), which was first applied to a Korean power system. First, the TCSC parameters were calculated, the structure of TCSC with synchronous voltage reversal (SVR) controller was presented, and the torsional characteristics of Hanul nuclear power generator rotor were studied to investigate the natural frequency and mode shape. The test signal method was used to determine the electrical damping in the frequency range of SSR operation through an electromagnetic transient analysis program in various system configurations. The SSR phenomenon was analyzed by comparing the electrical and mechanical damping of a conventional fixed series capacitor (FSC), and the case of a TCSC installed, and the effectiveness of the TCSC without any risk of SSR was demonstrated. As a result, when installing FSC, SSR occurred under sensitive operating conditions, but SSR was prevented in the case of TCSC compensation with SVR. The results obtained in this study can be effectively applied to the installation of TCSC in real power systems.","author":[{"dropping-particle":"","family":"Tran","given":"Minh Quan","non-dropping-particle":"","parse-names":false,"suffix":""},{"dropping-particle":"","family":"Dinh","given":"Minh Chau","non-dropping-particle":"","parse-names":false,"suffix":""},{"dropping-particle":"","family":"Lee","given":"Seok Ju","non-dropping-particle":"","parse-names":false,"suffix":""},{"dropping-particle":"","family":"Lee","given":"Jea In","non-dropping-particle":"","parse-names":false,"suffix":""},{"dropping-particle":"","family":"Park","given":"Minwon","non-dropping-particle":"","parse-names":false,"suffix":""},{"dropping-particle":"","family":"Lee","given":"Chur Hee","non-dropping-particle":"","parse-names":false,"suffix":""},{"dropping-particle":"","family":"Yoon","given":"Jong Su","non-dropping-particle":"","parse-names":false,"suffix":""}],"container-title":"Energies","id":"ITEM-2","issue":"15","issued":{"date-parts":[["2019"]]},"title":"Analysis and mitigation of subsynchronous resonance in a Korean power network with the first TCSC installation","type":"article-journal","volume":"12"},"uris":["http://www.mendeley.com/documents/?uuid=ef1faaf1-ef34-470a-b423-a71a0d3409ec"]}],"mendeley":{"formattedCitation":"(Tran et al., 2019; X. Xie et al., 2017)","plainTextFormattedCitation":"(Tran et al., 2019; X. Xie et al., 2017)","previouslyFormattedCitation":"(Tran et al., 2019; X. Xie et al., 2017)"},"properties":{"noteIndex":0},"schema":"https://github.com/citation-style-language/schema/raw/master/csl-citation.json"}</w:instrText>
      </w:r>
      <w:r w:rsidR="00C71CF6">
        <w:rPr>
          <w:lang w:val="en-US"/>
        </w:rPr>
        <w:fldChar w:fldCharType="separate"/>
      </w:r>
      <w:r w:rsidR="00046467" w:rsidRPr="00046467">
        <w:rPr>
          <w:noProof/>
          <w:lang w:val="en-US"/>
        </w:rPr>
        <w:t>(Tran et al., 2019; X. Xie et al., 2017)</w:t>
      </w:r>
      <w:r w:rsidR="00C71CF6">
        <w:rPr>
          <w:lang w:val="en-US"/>
        </w:rPr>
        <w:fldChar w:fldCharType="end"/>
      </w:r>
      <w:r>
        <w:rPr>
          <w:lang w:val="en-US"/>
        </w:rPr>
        <w:t xml:space="preserve">. The fact that these events were unanticipated </w:t>
      </w:r>
      <w:r w:rsidR="009861F9">
        <w:rPr>
          <w:lang w:val="en-US"/>
        </w:rPr>
        <w:t>is</w:t>
      </w:r>
      <w:r>
        <w:rPr>
          <w:lang w:val="en-US"/>
        </w:rPr>
        <w:t xml:space="preserve"> partially due to the limited understanding of the dynamics of some of the renewable subsystems that were integrated </w:t>
      </w:r>
      <w:r w:rsidR="00F37066">
        <w:rPr>
          <w:lang w:val="en-US"/>
        </w:rPr>
        <w:t>in</w:t>
      </w:r>
      <w:r>
        <w:rPr>
          <w:lang w:val="en-US"/>
        </w:rPr>
        <w:t>to them</w:t>
      </w:r>
      <w:r w:rsidR="000974ED">
        <w:rPr>
          <w:lang w:val="en-US"/>
        </w:rPr>
        <w:t xml:space="preserve"> </w:t>
      </w:r>
      <w:r w:rsidR="000974ED">
        <w:rPr>
          <w:lang w:val="en-US"/>
        </w:rPr>
        <w:fldChar w:fldCharType="begin" w:fldLock="1"/>
      </w:r>
      <w:r w:rsidR="008E6BA7">
        <w:rPr>
          <w:lang w:val="en-US"/>
        </w:rPr>
        <w:instrText>ADDIN CSL_CITATION {"citationItems":[{"id":"ITEM-1","itemData":{"DOI":"10.1109/TIE.2020.2965455","ISSN":"15579948","abstract":"Oscillatory stability has received immense attention in recent years due to the significant increase in power electronic converter (PEC)-interfaced renewable energy sources. Synchrophasor technology offers superior capability to measure and monitor power systems in real time, and power system operators require better understanding of how it can be used to effectively analyze and control oscillations. This article reviews state-of-the-art oscillatory stability monitoring, analysis, and control techniques reported in the published literature based on synchrophasor technology. An updated classification is presented for power system oscillations with a special emphasis on oscillations induced from PEC-interfaced renewable energy generation. Oscillatory stability analysis techniques based on synchrophasor technology are well established in power system engineering, but further research is required to effectively utilize synchrophasor-based oscillatory stability monitoring, analysis, and control techniques to characterize and mitigate PEC-induced oscillations. In particular, emerging big data analytics techniques could be used on synchrophasor data streams to develop oscillatory stability monitoring, analysis, and damping techniques.","author":[{"dropping-particle":"","family":"Meegahapola","given":"Lasantha Gunaruwan","non-dropping-particle":"","parse-names":false,"suffix":""},{"dropping-particle":"","family":"Bu","given":"Siqi","non-dropping-particle":"","parse-names":false,"suffix":""},{"dropping-particle":"","family":"Wadduwage","given":"Darshana Prasad","non-dropping-particle":"","parse-names":false,"suffix":""},{"dropping-particle":"","family":"Chung","given":"Chi Yung","non-dropping-particle":"","parse-names":false,"suffix":""},{"dropping-particle":"","family":"Yu","given":"Xinghuo","non-dropping-particle":"","parse-names":false,"suffix":""}],"container-title":"IEEE Transactions on Industrial Electronics","id":"ITEM-1","issue":"1","issued":{"date-parts":[["2021"]]},"page":"519-531","publisher":"IEEE","title":"Review on Oscillatory Stability in Power Grids with Renewable Energy Sources: Monitoring, Analysis, and Control Using Synchrophasor Technology","type":"article-journal","volume":"68"},"uris":["http://www.mendeley.com/documents/?uuid=96917f9a-adad-46e6-ab07-8f57273e7ae8"]}],"mendeley":{"formattedCitation":"(Meegahapola et al., 2021)","plainTextFormattedCitation":"(Meegahapola et al., 2021)","previouslyFormattedCitation":"(Meegahapola et al., 2021)"},"properties":{"noteIndex":0},"schema":"https://github.com/citation-style-language/schema/raw/master/csl-citation.json"}</w:instrText>
      </w:r>
      <w:r w:rsidR="000974ED">
        <w:rPr>
          <w:lang w:val="en-US"/>
        </w:rPr>
        <w:fldChar w:fldCharType="separate"/>
      </w:r>
      <w:r w:rsidR="00A97D34" w:rsidRPr="00A97D34">
        <w:rPr>
          <w:noProof/>
          <w:lang w:val="en-US"/>
        </w:rPr>
        <w:t>(Meegahapola et al., 2021)</w:t>
      </w:r>
      <w:r w:rsidR="000974ED">
        <w:rPr>
          <w:lang w:val="en-US"/>
        </w:rPr>
        <w:fldChar w:fldCharType="end"/>
      </w:r>
      <w:r>
        <w:rPr>
          <w:lang w:val="en-US"/>
        </w:rPr>
        <w:t>.</w:t>
      </w:r>
      <w:r w:rsidR="00FC1A0B">
        <w:rPr>
          <w:lang w:val="en-US"/>
        </w:rPr>
        <w:t xml:space="preserve"> Thus, the importance of prior investigations into the expected behavio</w:t>
      </w:r>
      <w:r w:rsidR="009861F9">
        <w:rPr>
          <w:lang w:val="en-US"/>
        </w:rPr>
        <w:t>u</w:t>
      </w:r>
      <w:r w:rsidR="00FC1A0B">
        <w:rPr>
          <w:lang w:val="en-US"/>
        </w:rPr>
        <w:t>r of power systems even before they are constructed cannot be overstated.</w:t>
      </w:r>
    </w:p>
    <w:p w14:paraId="1B6307E1" w14:textId="63F85964" w:rsidR="00FC1A0B" w:rsidRDefault="00FC1A0B" w:rsidP="00F03645">
      <w:pPr>
        <w:spacing w:line="480" w:lineRule="auto"/>
        <w:rPr>
          <w:lang w:val="en-US"/>
        </w:rPr>
      </w:pPr>
      <w:r>
        <w:rPr>
          <w:lang w:val="en-US"/>
        </w:rPr>
        <w:t>Considering that standalone microgrids operate in a self-reliant mode, with no external power sources to fall back on, it is doubly important to ensure that the power system can operate stably under uncertainty in the energy sources and to be able to anticipate the critical aspects of</w:t>
      </w:r>
      <w:r w:rsidR="000974ED">
        <w:rPr>
          <w:lang w:val="en-US"/>
        </w:rPr>
        <w:t xml:space="preserve"> the operation of such. An effective</w:t>
      </w:r>
      <w:r>
        <w:rPr>
          <w:lang w:val="en-US"/>
        </w:rPr>
        <w:t xml:space="preserve"> way to do this is using models, which can be used to carry out extensive investigations whose results are only surpassed in reliability by real</w:t>
      </w:r>
      <w:r w:rsidR="009861F9">
        <w:rPr>
          <w:lang w:val="en-US"/>
        </w:rPr>
        <w:t>-</w:t>
      </w:r>
      <w:r>
        <w:rPr>
          <w:lang w:val="en-US"/>
        </w:rPr>
        <w:t xml:space="preserve">world data. </w:t>
      </w:r>
      <w:r w:rsidR="00BE2266">
        <w:rPr>
          <w:lang w:val="en-US"/>
        </w:rPr>
        <w:t xml:space="preserve">Hence, there is </w:t>
      </w:r>
      <w:r w:rsidR="009861F9">
        <w:rPr>
          <w:lang w:val="en-US"/>
        </w:rPr>
        <w:t>a</w:t>
      </w:r>
      <w:r w:rsidR="00BE2266">
        <w:rPr>
          <w:lang w:val="en-US"/>
        </w:rPr>
        <w:t xml:space="preserve"> need for studies involving </w:t>
      </w:r>
      <w:r w:rsidR="009861F9">
        <w:rPr>
          <w:lang w:val="en-US"/>
        </w:rPr>
        <w:t xml:space="preserve">the </w:t>
      </w:r>
      <w:r w:rsidR="00BE2266">
        <w:rPr>
          <w:lang w:val="en-US"/>
        </w:rPr>
        <w:t>mode</w:t>
      </w:r>
      <w:r w:rsidR="009861F9">
        <w:rPr>
          <w:lang w:val="en-US"/>
        </w:rPr>
        <w:t>l</w:t>
      </w:r>
      <w:r w:rsidR="00BE2266">
        <w:rPr>
          <w:lang w:val="en-US"/>
        </w:rPr>
        <w:t>ling and simulation of renewable-based microgrids under uncertainty.</w:t>
      </w:r>
    </w:p>
    <w:p w14:paraId="41320281" w14:textId="1117239B" w:rsidR="00BE2266" w:rsidRDefault="00BE2266" w:rsidP="00F03645">
      <w:pPr>
        <w:pStyle w:val="Heading3"/>
        <w:spacing w:line="480" w:lineRule="auto"/>
      </w:pPr>
      <w:bookmarkStart w:id="18" w:name="_Toc110502556"/>
      <w:r>
        <w:t xml:space="preserve">1.4 </w:t>
      </w:r>
      <w:r w:rsidR="00072952">
        <w:t>AIM OF THE RESEARCH</w:t>
      </w:r>
      <w:bookmarkEnd w:id="18"/>
    </w:p>
    <w:p w14:paraId="3696D872" w14:textId="39A048C7" w:rsidR="00BE2266" w:rsidRDefault="00BE2266" w:rsidP="00F03645">
      <w:pPr>
        <w:spacing w:line="480" w:lineRule="auto"/>
        <w:rPr>
          <w:lang w:val="en-US"/>
        </w:rPr>
      </w:pPr>
      <w:r>
        <w:rPr>
          <w:lang w:val="en-US"/>
        </w:rPr>
        <w:t>The aim of this study is to</w:t>
      </w:r>
      <w:r w:rsidR="00691536">
        <w:rPr>
          <w:lang w:val="en-US"/>
        </w:rPr>
        <w:t xml:space="preserve"> model</w:t>
      </w:r>
      <w:r>
        <w:rPr>
          <w:lang w:val="en-US"/>
        </w:rPr>
        <w:t xml:space="preserve"> a </w:t>
      </w:r>
      <w:r w:rsidR="00A85F71">
        <w:rPr>
          <w:lang w:val="en-US"/>
        </w:rPr>
        <w:t xml:space="preserve">standalone </w:t>
      </w:r>
      <w:r>
        <w:rPr>
          <w:lang w:val="en-US"/>
        </w:rPr>
        <w:t xml:space="preserve">multi-source-type </w:t>
      </w:r>
      <w:r w:rsidR="00A85F71">
        <w:rPr>
          <w:lang w:val="en-US"/>
        </w:rPr>
        <w:t>rene</w:t>
      </w:r>
      <w:r w:rsidR="000366DF">
        <w:rPr>
          <w:lang w:val="en-US"/>
        </w:rPr>
        <w:t xml:space="preserve">wable energy </w:t>
      </w:r>
      <w:r>
        <w:rPr>
          <w:lang w:val="en-US"/>
        </w:rPr>
        <w:t>microgrid</w:t>
      </w:r>
      <w:r w:rsidR="000366DF">
        <w:rPr>
          <w:lang w:val="en-US"/>
        </w:rPr>
        <w:t xml:space="preserve"> to meet </w:t>
      </w:r>
      <w:r w:rsidR="009861F9">
        <w:rPr>
          <w:lang w:val="en-US"/>
        </w:rPr>
        <w:t xml:space="preserve">the </w:t>
      </w:r>
      <w:r w:rsidR="000366DF">
        <w:rPr>
          <w:lang w:val="en-US"/>
        </w:rPr>
        <w:t xml:space="preserve">Arandun community’s present and near-future </w:t>
      </w:r>
      <w:r w:rsidR="00AC5C84">
        <w:rPr>
          <w:lang w:val="en-US"/>
        </w:rPr>
        <w:t xml:space="preserve">electrical </w:t>
      </w:r>
      <w:r w:rsidR="000366DF">
        <w:rPr>
          <w:lang w:val="en-US"/>
        </w:rPr>
        <w:t>load demand</w:t>
      </w:r>
      <w:r>
        <w:rPr>
          <w:lang w:val="en-US"/>
        </w:rPr>
        <w:t xml:space="preserve"> considering </w:t>
      </w:r>
      <w:r w:rsidR="009861F9">
        <w:rPr>
          <w:lang w:val="en-US"/>
        </w:rPr>
        <w:t xml:space="preserve">the </w:t>
      </w:r>
      <w:r w:rsidR="00542B6A">
        <w:rPr>
          <w:lang w:val="en-US"/>
        </w:rPr>
        <w:t>uncertainty</w:t>
      </w:r>
      <w:r w:rsidR="00691536">
        <w:rPr>
          <w:lang w:val="en-US"/>
        </w:rPr>
        <w:t xml:space="preserve"> of </w:t>
      </w:r>
      <w:r w:rsidR="00AC5C84" w:rsidRPr="00D33EBC">
        <w:rPr>
          <w:lang w:val="en-US"/>
        </w:rPr>
        <w:t>selected and identified</w:t>
      </w:r>
      <w:r w:rsidR="00AC5C84">
        <w:rPr>
          <w:lang w:val="en-US"/>
        </w:rPr>
        <w:t xml:space="preserve"> renewable </w:t>
      </w:r>
      <w:r w:rsidR="00691536">
        <w:rPr>
          <w:lang w:val="en-US"/>
        </w:rPr>
        <w:t>energy resources</w:t>
      </w:r>
      <w:r>
        <w:rPr>
          <w:lang w:val="en-US"/>
        </w:rPr>
        <w:t>.</w:t>
      </w:r>
    </w:p>
    <w:p w14:paraId="53FA4F20" w14:textId="21C81ADA" w:rsidR="00BE2266" w:rsidRDefault="00B12084" w:rsidP="00F03645">
      <w:pPr>
        <w:pStyle w:val="Heading3"/>
        <w:spacing w:line="480" w:lineRule="auto"/>
      </w:pPr>
      <w:bookmarkStart w:id="19" w:name="_Toc110502557"/>
      <w:r>
        <w:t xml:space="preserve">1.5 </w:t>
      </w:r>
      <w:r w:rsidR="00072952">
        <w:t>SPECIFIC OBJECTIVES OF THE RESEARCH</w:t>
      </w:r>
      <w:bookmarkEnd w:id="19"/>
    </w:p>
    <w:p w14:paraId="44BA63EE" w14:textId="77777777" w:rsidR="00BE2266" w:rsidRDefault="00BE2266" w:rsidP="00F03645">
      <w:pPr>
        <w:spacing w:line="480" w:lineRule="auto"/>
        <w:rPr>
          <w:lang w:val="en-US"/>
        </w:rPr>
      </w:pPr>
      <w:r>
        <w:rPr>
          <w:lang w:val="en-US"/>
        </w:rPr>
        <w:t>T</w:t>
      </w:r>
      <w:r w:rsidR="0005253B">
        <w:rPr>
          <w:lang w:val="en-US"/>
        </w:rPr>
        <w:t>he specific objectives of this study are to:</w:t>
      </w:r>
    </w:p>
    <w:p w14:paraId="3D986B1E" w14:textId="568F042B" w:rsidR="0005253B" w:rsidRDefault="00B2344D" w:rsidP="00E85D75">
      <w:pPr>
        <w:pStyle w:val="ListParagraph"/>
        <w:numPr>
          <w:ilvl w:val="0"/>
          <w:numId w:val="1"/>
        </w:numPr>
        <w:spacing w:line="480" w:lineRule="auto"/>
        <w:ind w:left="360" w:hanging="360"/>
        <w:rPr>
          <w:lang w:val="en-US"/>
        </w:rPr>
      </w:pPr>
      <w:r>
        <w:rPr>
          <w:lang w:val="en-US"/>
        </w:rPr>
        <w:t xml:space="preserve">determine the technical feasibility and economic optimum of different renewable energy technologies in </w:t>
      </w:r>
      <w:r w:rsidR="009861F9">
        <w:rPr>
          <w:lang w:val="en-US"/>
        </w:rPr>
        <w:t xml:space="preserve">the </w:t>
      </w:r>
      <w:r>
        <w:rPr>
          <w:lang w:val="en-US"/>
        </w:rPr>
        <w:t>Arandun community.</w:t>
      </w:r>
    </w:p>
    <w:p w14:paraId="1B522695" w14:textId="299DF08B" w:rsidR="0005253B" w:rsidRDefault="00B12084" w:rsidP="00E85D75">
      <w:pPr>
        <w:pStyle w:val="ListParagraph"/>
        <w:numPr>
          <w:ilvl w:val="0"/>
          <w:numId w:val="1"/>
        </w:numPr>
        <w:spacing w:line="480" w:lineRule="auto"/>
        <w:ind w:left="360" w:hanging="360"/>
        <w:rPr>
          <w:lang w:val="en-US"/>
        </w:rPr>
      </w:pPr>
      <w:r>
        <w:rPr>
          <w:lang w:val="en-US"/>
        </w:rPr>
        <w:t xml:space="preserve">model </w:t>
      </w:r>
      <w:r w:rsidR="004836D6">
        <w:rPr>
          <w:lang w:val="en-US"/>
        </w:rPr>
        <w:t>a feasible combination</w:t>
      </w:r>
      <w:r w:rsidR="00422FE4">
        <w:rPr>
          <w:lang w:val="en-US"/>
        </w:rPr>
        <w:t xml:space="preserve"> of </w:t>
      </w:r>
      <w:r w:rsidR="00D433D6">
        <w:rPr>
          <w:lang w:val="en-US"/>
        </w:rPr>
        <w:t>solar PV, wind energy, concentrated solar power</w:t>
      </w:r>
      <w:r w:rsidR="009C0038">
        <w:rPr>
          <w:lang w:val="en-US"/>
        </w:rPr>
        <w:t xml:space="preserve"> (CSP), micro</w:t>
      </w:r>
      <w:r w:rsidR="009861F9">
        <w:rPr>
          <w:lang w:val="en-US"/>
        </w:rPr>
        <w:t>-</w:t>
      </w:r>
      <w:r w:rsidR="00D433D6">
        <w:rPr>
          <w:lang w:val="en-US"/>
        </w:rPr>
        <w:t>hydro,</w:t>
      </w:r>
      <w:r w:rsidR="00B2344D">
        <w:rPr>
          <w:lang w:val="en-US"/>
        </w:rPr>
        <w:t xml:space="preserve"> and</w:t>
      </w:r>
      <w:r w:rsidR="00D433D6">
        <w:rPr>
          <w:lang w:val="en-US"/>
        </w:rPr>
        <w:t xml:space="preserve"> </w:t>
      </w:r>
      <w:r w:rsidR="00B2344D">
        <w:rPr>
          <w:lang w:val="en-US"/>
        </w:rPr>
        <w:t xml:space="preserve">energy </w:t>
      </w:r>
      <w:r w:rsidR="00D433D6">
        <w:rPr>
          <w:lang w:val="en-US"/>
        </w:rPr>
        <w:t>storage</w:t>
      </w:r>
      <w:r w:rsidR="00B2344D">
        <w:rPr>
          <w:lang w:val="en-US"/>
        </w:rPr>
        <w:t xml:space="preserve"> </w:t>
      </w:r>
      <w:r w:rsidR="00977E2F">
        <w:rPr>
          <w:lang w:val="en-US"/>
        </w:rPr>
        <w:t>based on the results of the feasibility study.</w:t>
      </w:r>
    </w:p>
    <w:p w14:paraId="399EDCF3" w14:textId="2B1C156B" w:rsidR="00977E2F" w:rsidRPr="003318D4" w:rsidRDefault="004836D6" w:rsidP="00E85D75">
      <w:pPr>
        <w:pStyle w:val="ListParagraph"/>
        <w:numPr>
          <w:ilvl w:val="0"/>
          <w:numId w:val="1"/>
        </w:numPr>
        <w:spacing w:line="480" w:lineRule="auto"/>
        <w:ind w:left="360" w:hanging="360"/>
        <w:rPr>
          <w:lang w:val="en-US"/>
        </w:rPr>
      </w:pPr>
      <w:r>
        <w:rPr>
          <w:lang w:val="en-US"/>
        </w:rPr>
        <w:t xml:space="preserve">mathematically model </w:t>
      </w:r>
      <w:r w:rsidR="00977E2F" w:rsidRPr="003318D4">
        <w:rPr>
          <w:lang w:val="en-US"/>
        </w:rPr>
        <w:t>the uncertainty in the natural en</w:t>
      </w:r>
      <w:r w:rsidR="001C14B3" w:rsidRPr="003318D4">
        <w:rPr>
          <w:lang w:val="en-US"/>
        </w:rPr>
        <w:t xml:space="preserve">ergy resources using </w:t>
      </w:r>
      <w:r w:rsidR="001C14B3" w:rsidRPr="009C0038">
        <w:rPr>
          <w:lang w:val="en-US"/>
        </w:rPr>
        <w:t>probabilistic</w:t>
      </w:r>
      <w:r w:rsidR="00977E2F" w:rsidRPr="003318D4">
        <w:rPr>
          <w:lang w:val="en-US"/>
        </w:rPr>
        <w:t xml:space="preserve"> techniques.</w:t>
      </w:r>
    </w:p>
    <w:p w14:paraId="10AF06EC" w14:textId="1CF8416E" w:rsidR="00072952" w:rsidRPr="008C5CD0" w:rsidRDefault="00977E2F" w:rsidP="00072952">
      <w:pPr>
        <w:pStyle w:val="ListParagraph"/>
        <w:numPr>
          <w:ilvl w:val="0"/>
          <w:numId w:val="1"/>
        </w:numPr>
        <w:spacing w:line="480" w:lineRule="auto"/>
        <w:ind w:left="360" w:hanging="360"/>
        <w:rPr>
          <w:lang w:val="en-US"/>
        </w:rPr>
      </w:pPr>
      <w:r>
        <w:rPr>
          <w:lang w:val="en-US"/>
        </w:rPr>
        <w:t xml:space="preserve">simulate the microgrid </w:t>
      </w:r>
      <w:r w:rsidR="00517B37">
        <w:rPr>
          <w:lang w:val="en-US"/>
        </w:rPr>
        <w:t xml:space="preserve">(load flow) </w:t>
      </w:r>
      <w:r>
        <w:rPr>
          <w:lang w:val="en-US"/>
        </w:rPr>
        <w:t xml:space="preserve">and evaluate the </w:t>
      </w:r>
      <w:r w:rsidR="003D1B32">
        <w:rPr>
          <w:lang w:val="en-US"/>
        </w:rPr>
        <w:t xml:space="preserve">quasi-dynamic </w:t>
      </w:r>
      <w:r>
        <w:rPr>
          <w:lang w:val="en-US"/>
        </w:rPr>
        <w:t>voltage</w:t>
      </w:r>
      <w:r w:rsidR="00541245">
        <w:rPr>
          <w:lang w:val="en-US"/>
        </w:rPr>
        <w:t xml:space="preserve"> profile</w:t>
      </w:r>
      <w:r>
        <w:rPr>
          <w:lang w:val="en-US"/>
        </w:rPr>
        <w:t xml:space="preserve"> stability of the microgrid under uncertainty.</w:t>
      </w:r>
    </w:p>
    <w:p w14:paraId="73D73BDB" w14:textId="395F10E3" w:rsidR="00811649" w:rsidRDefault="00811649" w:rsidP="00F03645">
      <w:pPr>
        <w:pStyle w:val="Heading3"/>
        <w:spacing w:line="480" w:lineRule="auto"/>
      </w:pPr>
      <w:bookmarkStart w:id="20" w:name="_Toc110502558"/>
      <w:r>
        <w:t xml:space="preserve">1.6 </w:t>
      </w:r>
      <w:r w:rsidR="00072952">
        <w:t>SCOPE OF THE RESEARCH</w:t>
      </w:r>
      <w:bookmarkEnd w:id="20"/>
      <w:r w:rsidR="00072952">
        <w:t xml:space="preserve"> </w:t>
      </w:r>
    </w:p>
    <w:p w14:paraId="23203380" w14:textId="168FDC9A" w:rsidR="00811649" w:rsidRDefault="00811649" w:rsidP="00F03645">
      <w:pPr>
        <w:spacing w:line="480" w:lineRule="auto"/>
        <w:rPr>
          <w:lang w:val="en-US"/>
        </w:rPr>
      </w:pPr>
      <w:r w:rsidRPr="002958CD">
        <w:rPr>
          <w:lang w:val="en-US"/>
        </w:rPr>
        <w:t>The current resea</w:t>
      </w:r>
      <w:r w:rsidR="00057C3E" w:rsidRPr="002958CD">
        <w:rPr>
          <w:lang w:val="en-US"/>
        </w:rPr>
        <w:t>rc</w:t>
      </w:r>
      <w:r w:rsidR="00BF0878" w:rsidRPr="002958CD">
        <w:rPr>
          <w:lang w:val="en-US"/>
        </w:rPr>
        <w:t xml:space="preserve">h </w:t>
      </w:r>
      <w:r w:rsidR="006A4F75">
        <w:rPr>
          <w:lang w:val="en-US"/>
        </w:rPr>
        <w:t>was</w:t>
      </w:r>
      <w:r w:rsidR="00BF0878" w:rsidRPr="002958CD">
        <w:rPr>
          <w:lang w:val="en-US"/>
        </w:rPr>
        <w:t xml:space="preserve"> conducted using the town of Arandun, Kwara State, in Nigeria as a case study. The voltage </w:t>
      </w:r>
      <w:r w:rsidR="00541245">
        <w:rPr>
          <w:lang w:val="en-US"/>
        </w:rPr>
        <w:t xml:space="preserve">profile </w:t>
      </w:r>
      <w:r w:rsidR="00BF0878" w:rsidRPr="002958CD">
        <w:rPr>
          <w:lang w:val="en-US"/>
        </w:rPr>
        <w:t xml:space="preserve">stability of the proposed microgrid system </w:t>
      </w:r>
      <w:r w:rsidR="0042489E">
        <w:rPr>
          <w:lang w:val="en-US"/>
        </w:rPr>
        <w:t xml:space="preserve">under renewable resource uncertainty </w:t>
      </w:r>
      <w:r w:rsidR="006A4F75">
        <w:rPr>
          <w:lang w:val="en-US"/>
        </w:rPr>
        <w:t>was</w:t>
      </w:r>
      <w:r w:rsidR="0042489E">
        <w:rPr>
          <w:lang w:val="en-US"/>
        </w:rPr>
        <w:t xml:space="preserve"> the focus of the investigation. T</w:t>
      </w:r>
      <w:r w:rsidR="00BF0878" w:rsidRPr="002958CD">
        <w:rPr>
          <w:lang w:val="en-US"/>
        </w:rPr>
        <w:t xml:space="preserve">he system </w:t>
      </w:r>
      <w:r w:rsidR="006A4F75">
        <w:rPr>
          <w:lang w:val="en-US"/>
        </w:rPr>
        <w:t>was a</w:t>
      </w:r>
      <w:r w:rsidR="00BF0878" w:rsidRPr="002958CD">
        <w:rPr>
          <w:lang w:val="en-US"/>
        </w:rPr>
        <w:t xml:space="preserve"> low-voltage system with all voltages to be considered at </w:t>
      </w:r>
      <w:r w:rsidR="009861F9">
        <w:rPr>
          <w:lang w:val="en-US"/>
        </w:rPr>
        <w:t xml:space="preserve">the </w:t>
      </w:r>
      <w:r w:rsidR="00BF0878" w:rsidRPr="002958CD">
        <w:rPr>
          <w:lang w:val="en-US"/>
        </w:rPr>
        <w:t>distribution level</w:t>
      </w:r>
      <w:r w:rsidR="0042489E">
        <w:rPr>
          <w:lang w:val="en-US"/>
        </w:rPr>
        <w:t xml:space="preserve"> (</w:t>
      </w:r>
      <w:r w:rsidR="00B36F01">
        <w:rPr>
          <w:lang w:val="en-US"/>
        </w:rPr>
        <w:t>hence,</w:t>
      </w:r>
      <w:r w:rsidR="0042489E">
        <w:rPr>
          <w:lang w:val="en-US"/>
        </w:rPr>
        <w:t xml:space="preserve"> transmission line </w:t>
      </w:r>
      <w:r w:rsidR="00B36F01">
        <w:rPr>
          <w:lang w:val="en-US"/>
        </w:rPr>
        <w:t>faults</w:t>
      </w:r>
      <w:r w:rsidR="002812F2">
        <w:rPr>
          <w:lang w:val="en-US"/>
        </w:rPr>
        <w:t xml:space="preserve"> and protection</w:t>
      </w:r>
      <w:r w:rsidR="00B36F01">
        <w:rPr>
          <w:lang w:val="en-US"/>
        </w:rPr>
        <w:t xml:space="preserve"> </w:t>
      </w:r>
      <w:r w:rsidR="002812F2">
        <w:rPr>
          <w:lang w:val="en-US"/>
        </w:rPr>
        <w:t>are not directly applicable</w:t>
      </w:r>
      <w:r w:rsidR="0042489E">
        <w:rPr>
          <w:lang w:val="en-US"/>
        </w:rPr>
        <w:t>)</w:t>
      </w:r>
      <w:r w:rsidR="00BF0878" w:rsidRPr="002958CD">
        <w:rPr>
          <w:lang w:val="en-US"/>
        </w:rPr>
        <w:t xml:space="preserve"> and all buses </w:t>
      </w:r>
      <w:r w:rsidR="002812F2">
        <w:rPr>
          <w:lang w:val="en-US"/>
        </w:rPr>
        <w:t xml:space="preserve">and distribution lines </w:t>
      </w:r>
      <w:r w:rsidR="00BF0878" w:rsidRPr="002958CD">
        <w:rPr>
          <w:lang w:val="en-US"/>
        </w:rPr>
        <w:t xml:space="preserve">to be considered are </w:t>
      </w:r>
      <w:r w:rsidR="002812F2">
        <w:rPr>
          <w:lang w:val="en-US"/>
        </w:rPr>
        <w:t>at 11kV and below</w:t>
      </w:r>
      <w:r w:rsidR="00E51A17">
        <w:rPr>
          <w:lang w:val="en-US"/>
        </w:rPr>
        <w:t xml:space="preserve"> and investigated by quasi-dynamic simulation</w:t>
      </w:r>
      <w:r w:rsidR="009C0038">
        <w:rPr>
          <w:lang w:val="en-US"/>
        </w:rPr>
        <w:t>.</w:t>
      </w:r>
    </w:p>
    <w:p w14:paraId="2564818E" w14:textId="06E89FB3" w:rsidR="00811649" w:rsidRDefault="00811649" w:rsidP="00F03645">
      <w:pPr>
        <w:pStyle w:val="Heading3"/>
        <w:spacing w:line="480" w:lineRule="auto"/>
      </w:pPr>
      <w:bookmarkStart w:id="21" w:name="_Toc110502559"/>
      <w:r>
        <w:t xml:space="preserve">1.7 </w:t>
      </w:r>
      <w:r w:rsidR="00072952">
        <w:t>SIGNIFICANCE OF THE STUDY</w:t>
      </w:r>
      <w:bookmarkEnd w:id="21"/>
    </w:p>
    <w:p w14:paraId="1BCAE613" w14:textId="730231B1" w:rsidR="00600E4A" w:rsidRDefault="00811649" w:rsidP="00F03645">
      <w:pPr>
        <w:spacing w:line="480" w:lineRule="auto"/>
        <w:rPr>
          <w:lang w:val="en-US"/>
        </w:rPr>
      </w:pPr>
      <w:r>
        <w:rPr>
          <w:lang w:val="en-US"/>
        </w:rPr>
        <w:t>The current research give</w:t>
      </w:r>
      <w:r w:rsidR="00D2387A">
        <w:rPr>
          <w:lang w:val="en-US"/>
        </w:rPr>
        <w:t>s</w:t>
      </w:r>
      <w:r>
        <w:rPr>
          <w:lang w:val="en-US"/>
        </w:rPr>
        <w:t xml:space="preserve"> useful insights </w:t>
      </w:r>
      <w:r w:rsidR="009861F9">
        <w:rPr>
          <w:lang w:val="en-US"/>
        </w:rPr>
        <w:t>into</w:t>
      </w:r>
      <w:r w:rsidR="00AB575B">
        <w:rPr>
          <w:lang w:val="en-US"/>
        </w:rPr>
        <w:t xml:space="preserve"> the </w:t>
      </w:r>
      <w:r w:rsidR="000A7367">
        <w:rPr>
          <w:lang w:val="en-US"/>
        </w:rPr>
        <w:t xml:space="preserve">potential </w:t>
      </w:r>
      <w:r w:rsidR="00AB575B">
        <w:rPr>
          <w:lang w:val="en-US"/>
        </w:rPr>
        <w:t>impact of</w:t>
      </w:r>
      <w:r w:rsidR="00057C3E">
        <w:rPr>
          <w:lang w:val="en-US"/>
        </w:rPr>
        <w:t xml:space="preserve"> uncertainty in the natural energy resources </w:t>
      </w:r>
      <w:r w:rsidR="00AB575B">
        <w:rPr>
          <w:lang w:val="en-US"/>
        </w:rPr>
        <w:t xml:space="preserve">on isolated </w:t>
      </w:r>
      <w:r w:rsidR="00057C3E">
        <w:rPr>
          <w:lang w:val="en-US"/>
        </w:rPr>
        <w:t>power systems</w:t>
      </w:r>
      <w:r w:rsidR="00600E4A">
        <w:rPr>
          <w:lang w:val="en-US"/>
        </w:rPr>
        <w:t xml:space="preserve"> (microgrids)</w:t>
      </w:r>
      <w:r w:rsidR="00057C3E">
        <w:rPr>
          <w:lang w:val="en-US"/>
        </w:rPr>
        <w:t xml:space="preserve"> with </w:t>
      </w:r>
      <w:r w:rsidR="00AB575B">
        <w:rPr>
          <w:lang w:val="en-US"/>
        </w:rPr>
        <w:t xml:space="preserve">high </w:t>
      </w:r>
      <w:r w:rsidR="00600E4A">
        <w:rPr>
          <w:lang w:val="en-US"/>
        </w:rPr>
        <w:t xml:space="preserve">renewable energy penetration. </w:t>
      </w:r>
      <w:r w:rsidR="00AB575B">
        <w:rPr>
          <w:lang w:val="en-US"/>
        </w:rPr>
        <w:t xml:space="preserve">The information that </w:t>
      </w:r>
      <w:r w:rsidR="006A4F75">
        <w:rPr>
          <w:lang w:val="en-US"/>
        </w:rPr>
        <w:t>has</w:t>
      </w:r>
      <w:r w:rsidR="00AB575B">
        <w:rPr>
          <w:lang w:val="en-US"/>
        </w:rPr>
        <w:t xml:space="preserve"> be</w:t>
      </w:r>
      <w:r w:rsidR="006A4F75">
        <w:rPr>
          <w:lang w:val="en-US"/>
        </w:rPr>
        <w:t xml:space="preserve">en </w:t>
      </w:r>
      <w:r w:rsidR="00AB575B">
        <w:rPr>
          <w:lang w:val="en-US"/>
        </w:rPr>
        <w:t xml:space="preserve">obtained </w:t>
      </w:r>
      <w:r w:rsidR="00600E4A">
        <w:rPr>
          <w:lang w:val="en-US"/>
        </w:rPr>
        <w:t>will be helpful to power system planners in effecting seamless integration of renewable technology into grid systems</w:t>
      </w:r>
      <w:r w:rsidR="005C1354">
        <w:rPr>
          <w:lang w:val="en-US"/>
        </w:rPr>
        <w:t>, which is currently a challenge being faced in the electricity industry globally</w:t>
      </w:r>
      <w:r w:rsidR="00600E4A">
        <w:rPr>
          <w:lang w:val="en-US"/>
        </w:rPr>
        <w:t xml:space="preserve">. </w:t>
      </w:r>
    </w:p>
    <w:p w14:paraId="51E9374D" w14:textId="14955101" w:rsidR="00241744" w:rsidRDefault="005C1354" w:rsidP="00F03645">
      <w:pPr>
        <w:spacing w:line="480" w:lineRule="auto"/>
        <w:rPr>
          <w:lang w:val="en-US"/>
        </w:rPr>
      </w:pPr>
      <w:r>
        <w:rPr>
          <w:lang w:val="en-US"/>
        </w:rPr>
        <w:t>Potential beneficiaries will include not only other academic researchers but also the policy and decision</w:t>
      </w:r>
      <w:r w:rsidR="009861F9">
        <w:rPr>
          <w:lang w:val="en-US"/>
        </w:rPr>
        <w:t>-</w:t>
      </w:r>
      <w:r>
        <w:rPr>
          <w:lang w:val="en-US"/>
        </w:rPr>
        <w:t>makers, prospective investors, power system managers,</w:t>
      </w:r>
      <w:r w:rsidR="00E5350B">
        <w:rPr>
          <w:lang w:val="en-US"/>
        </w:rPr>
        <w:t xml:space="preserve"> financial analysts,</w:t>
      </w:r>
      <w:r>
        <w:rPr>
          <w:lang w:val="en-US"/>
        </w:rPr>
        <w:t xml:space="preserve"> and sustainability experts. The work to be carried out in this study is capable of </w:t>
      </w:r>
      <w:r w:rsidR="009861F9">
        <w:rPr>
          <w:lang w:val="en-US"/>
        </w:rPr>
        <w:t>guiding</w:t>
      </w:r>
      <w:r>
        <w:rPr>
          <w:lang w:val="en-US"/>
        </w:rPr>
        <w:t xml:space="preserve"> the planning and execution of projects involving renewable energy generating units. It is intended that research results will be disseminated</w:t>
      </w:r>
      <w:r w:rsidR="00E5350B">
        <w:rPr>
          <w:lang w:val="en-US"/>
        </w:rPr>
        <w:t>, as far as possible,</w:t>
      </w:r>
      <w:r>
        <w:rPr>
          <w:lang w:val="en-US"/>
        </w:rPr>
        <w:t xml:space="preserve"> in </w:t>
      </w:r>
      <w:r w:rsidR="00E5350B">
        <w:rPr>
          <w:lang w:val="en-US"/>
        </w:rPr>
        <w:t xml:space="preserve">outlets not limited to scientific journals and conferences, and that this will be a springboard </w:t>
      </w:r>
      <w:r w:rsidR="009861F9">
        <w:rPr>
          <w:lang w:val="en-US"/>
        </w:rPr>
        <w:t>for</w:t>
      </w:r>
      <w:r w:rsidR="00E5350B">
        <w:rPr>
          <w:lang w:val="en-US"/>
        </w:rPr>
        <w:t xml:space="preserve"> future works.</w:t>
      </w:r>
    </w:p>
    <w:p w14:paraId="7AFB5AFD" w14:textId="4EC4E63D" w:rsidR="006350F8" w:rsidRDefault="0036155B" w:rsidP="00F03645">
      <w:pPr>
        <w:spacing w:line="480" w:lineRule="auto"/>
        <w:rPr>
          <w:lang w:val="en-US"/>
        </w:rPr>
      </w:pPr>
      <w:r>
        <w:rPr>
          <w:lang w:val="en-US"/>
        </w:rPr>
        <w:t xml:space="preserve">The work carried out in this study is </w:t>
      </w:r>
      <w:r w:rsidR="00511D1F">
        <w:rPr>
          <w:lang w:val="en-US"/>
        </w:rPr>
        <w:t>of direct relevance</w:t>
      </w:r>
      <w:r>
        <w:rPr>
          <w:lang w:val="en-US"/>
        </w:rPr>
        <w:t xml:space="preserve"> to ensuring access to affordable, reliable, sustainable and modern energy for all (United Nations Sustainable Development Goal 7), building resilient infrastructure,</w:t>
      </w:r>
      <w:r w:rsidRPr="0036155B">
        <w:rPr>
          <w:lang w:val="en-US"/>
        </w:rPr>
        <w:t xml:space="preserve"> </w:t>
      </w:r>
      <w:r>
        <w:rPr>
          <w:lang w:val="en-US"/>
        </w:rPr>
        <w:t xml:space="preserve">promoting </w:t>
      </w:r>
      <w:r w:rsidRPr="0036155B">
        <w:rPr>
          <w:lang w:val="en-US"/>
        </w:rPr>
        <w:t>inclusive and sustainable industrialization and foster</w:t>
      </w:r>
      <w:r>
        <w:rPr>
          <w:lang w:val="en-US"/>
        </w:rPr>
        <w:t>ing</w:t>
      </w:r>
      <w:r w:rsidRPr="0036155B">
        <w:rPr>
          <w:lang w:val="en-US"/>
        </w:rPr>
        <w:t xml:space="preserve"> innovation</w:t>
      </w:r>
      <w:r>
        <w:rPr>
          <w:lang w:val="en-US"/>
        </w:rPr>
        <w:t xml:space="preserve"> (UN SDG 9), making</w:t>
      </w:r>
      <w:r w:rsidRPr="0036155B">
        <w:rPr>
          <w:lang w:val="en-US"/>
        </w:rPr>
        <w:t xml:space="preserve"> cities and human settlements inclusive, safe, resilient and sustainable</w:t>
      </w:r>
      <w:r>
        <w:rPr>
          <w:lang w:val="en-US"/>
        </w:rPr>
        <w:t xml:space="preserve"> (UN SDG 11), and ensuring</w:t>
      </w:r>
      <w:r w:rsidRPr="0036155B">
        <w:rPr>
          <w:lang w:val="en-US"/>
        </w:rPr>
        <w:t xml:space="preserve"> sustainable consumption and production patterns</w:t>
      </w:r>
      <w:r>
        <w:rPr>
          <w:lang w:val="en-US"/>
        </w:rPr>
        <w:t xml:space="preserve"> (UN SDG 12).</w:t>
      </w:r>
    </w:p>
    <w:p w14:paraId="17DE89D5" w14:textId="77777777" w:rsidR="006350F8" w:rsidRDefault="006350F8" w:rsidP="00F03645">
      <w:pPr>
        <w:spacing w:line="480" w:lineRule="auto"/>
        <w:rPr>
          <w:lang w:val="en-US"/>
        </w:rPr>
      </w:pPr>
      <w:r>
        <w:rPr>
          <w:lang w:val="en-US"/>
        </w:rPr>
        <w:br w:type="page"/>
      </w:r>
    </w:p>
    <w:p w14:paraId="4F5A75D6" w14:textId="7B6297FE" w:rsidR="006350F8" w:rsidRPr="006350F8" w:rsidRDefault="0042346C" w:rsidP="00F03645">
      <w:pPr>
        <w:pStyle w:val="Heading1"/>
        <w:spacing w:line="480" w:lineRule="auto"/>
        <w:rPr>
          <w:lang w:val="en-US"/>
        </w:rPr>
      </w:pPr>
      <w:bookmarkStart w:id="22" w:name="_Toc110502560"/>
      <w:r>
        <w:rPr>
          <w:lang w:val="en-US"/>
        </w:rPr>
        <w:t>CHAPTER</w:t>
      </w:r>
      <w:r w:rsidR="006350F8" w:rsidRPr="006350F8">
        <w:rPr>
          <w:lang w:val="en-US"/>
        </w:rPr>
        <w:t xml:space="preserve"> TWO</w:t>
      </w:r>
      <w:bookmarkEnd w:id="22"/>
    </w:p>
    <w:p w14:paraId="5C677B31" w14:textId="77777777" w:rsidR="006350F8" w:rsidRPr="006350F8" w:rsidRDefault="006350F8" w:rsidP="00F03645">
      <w:pPr>
        <w:pStyle w:val="Heading2"/>
        <w:spacing w:line="480" w:lineRule="auto"/>
        <w:rPr>
          <w:lang w:val="en-US"/>
        </w:rPr>
      </w:pPr>
      <w:bookmarkStart w:id="23" w:name="_Toc110502561"/>
      <w:r w:rsidRPr="006350F8">
        <w:rPr>
          <w:lang w:val="en-US"/>
        </w:rPr>
        <w:t>REVIEW OF RELATED LITERATURE</w:t>
      </w:r>
      <w:bookmarkEnd w:id="23"/>
    </w:p>
    <w:p w14:paraId="2712164E" w14:textId="5219AE00" w:rsidR="00064BC8" w:rsidRDefault="00064BC8" w:rsidP="00064BC8">
      <w:pPr>
        <w:pStyle w:val="Heading3"/>
        <w:spacing w:line="480" w:lineRule="auto"/>
      </w:pPr>
      <w:bookmarkStart w:id="24" w:name="_Toc110502562"/>
      <w:r>
        <w:t>2.1</w:t>
      </w:r>
      <w:r>
        <w:tab/>
      </w:r>
      <w:r w:rsidR="00072952" w:rsidRPr="006350F8">
        <w:t xml:space="preserve">THE </w:t>
      </w:r>
      <w:r w:rsidR="00E33E07">
        <w:t>EMERGING STRUCTURE OF POWER SYSTEMS</w:t>
      </w:r>
      <w:bookmarkEnd w:id="24"/>
    </w:p>
    <w:p w14:paraId="3E351E3A" w14:textId="3D51D024" w:rsidR="00E33E07" w:rsidRDefault="00F31994" w:rsidP="00F31994">
      <w:pPr>
        <w:spacing w:line="480" w:lineRule="auto"/>
        <w:rPr>
          <w:lang w:val="en-US"/>
        </w:rPr>
      </w:pPr>
      <w:r>
        <w:rPr>
          <w:lang w:val="en-US"/>
        </w:rPr>
        <w:t xml:space="preserve">The traditional structure of power systems consists of clearly defined and physically separate generation, transmission and distribution/consumption regions. This power system paradigm has centralized generation, with large </w:t>
      </w:r>
      <w:r w:rsidR="00E52FB5">
        <w:rPr>
          <w:lang w:val="en-US"/>
        </w:rPr>
        <w:t>alternating current (AC)</w:t>
      </w:r>
      <w:r>
        <w:rPr>
          <w:lang w:val="en-US"/>
        </w:rPr>
        <w:t xml:space="preserve"> power plants being built in few numbers. However, in the twenty-first century, the means of generating electricity on a large scale have become more varied, and the technologies are diverse. For example, photovoltaic (PV) generation</w:t>
      </w:r>
      <w:r w:rsidR="00E52FB5">
        <w:rPr>
          <w:lang w:val="en-US"/>
        </w:rPr>
        <w:t xml:space="preserve"> directly generates direct current (DC), which can be converted to AC using power electronics such as voltage source converters</w:t>
      </w:r>
      <w:r w:rsidR="00266C85">
        <w:rPr>
          <w:lang w:val="en-US"/>
        </w:rPr>
        <w:t>.</w:t>
      </w:r>
    </w:p>
    <w:p w14:paraId="6948FAFD" w14:textId="204E0A42" w:rsidR="00E52FB5" w:rsidRPr="00E33E07" w:rsidRDefault="00E52FB5" w:rsidP="00F31994">
      <w:pPr>
        <w:spacing w:line="480" w:lineRule="auto"/>
        <w:rPr>
          <w:lang w:val="en-US"/>
        </w:rPr>
      </w:pPr>
      <w:r>
        <w:rPr>
          <w:lang w:val="en-US"/>
        </w:rPr>
        <w:t xml:space="preserve">These changes mean that electricity is now generated on various scales, in various forms, and in a wider variety of locations than was possible in the early days of community electrification technology. One of the major impacts of this relatively recent variety has been the decentralization of electricity generation from a paradigm with </w:t>
      </w:r>
      <w:r w:rsidR="00E053C1">
        <w:rPr>
          <w:lang w:val="en-US"/>
        </w:rPr>
        <w:t xml:space="preserve">centralized </w:t>
      </w:r>
      <w:r>
        <w:rPr>
          <w:lang w:val="en-US"/>
        </w:rPr>
        <w:t>large power pl</w:t>
      </w:r>
      <w:r w:rsidR="00E053C1">
        <w:rPr>
          <w:lang w:val="en-US"/>
        </w:rPr>
        <w:t>ants (vertical structure) to a paradigm with both centralized</w:t>
      </w:r>
      <w:r>
        <w:rPr>
          <w:lang w:val="en-US"/>
        </w:rPr>
        <w:t xml:space="preserve"> </w:t>
      </w:r>
      <w:r w:rsidR="00E053C1">
        <w:rPr>
          <w:lang w:val="en-US"/>
        </w:rPr>
        <w:t xml:space="preserve">large </w:t>
      </w:r>
      <w:r>
        <w:rPr>
          <w:lang w:val="en-US"/>
        </w:rPr>
        <w:t>power plants</w:t>
      </w:r>
      <w:r w:rsidR="00E053C1">
        <w:rPr>
          <w:lang w:val="en-US"/>
        </w:rPr>
        <w:t xml:space="preserve"> </w:t>
      </w:r>
      <w:r>
        <w:rPr>
          <w:lang w:val="en-US"/>
        </w:rPr>
        <w:t xml:space="preserve">and many smaller generating stations </w:t>
      </w:r>
      <w:r w:rsidR="00E053C1">
        <w:rPr>
          <w:lang w:val="en-US"/>
        </w:rPr>
        <w:t xml:space="preserve">(horizontal structure) </w:t>
      </w:r>
      <w:r>
        <w:rPr>
          <w:lang w:val="en-US"/>
        </w:rPr>
        <w:t xml:space="preserve">that have a wider geographical </w:t>
      </w:r>
      <w:r w:rsidR="00E053C1">
        <w:rPr>
          <w:lang w:val="en-US"/>
        </w:rPr>
        <w:t>spread</w:t>
      </w:r>
      <w:r>
        <w:rPr>
          <w:lang w:val="en-US"/>
        </w:rPr>
        <w:t>. This</w:t>
      </w:r>
      <w:r w:rsidR="00266C85">
        <w:rPr>
          <w:lang w:val="en-US"/>
        </w:rPr>
        <w:t xml:space="preserve"> horizontal structure</w:t>
      </w:r>
      <w:r>
        <w:rPr>
          <w:lang w:val="en-US"/>
        </w:rPr>
        <w:t xml:space="preserve"> has spurred the rise of a concept known as distributed generation</w:t>
      </w:r>
      <w:r w:rsidR="00266C85">
        <w:rPr>
          <w:lang w:val="en-US"/>
        </w:rPr>
        <w:t xml:space="preserve"> </w:t>
      </w:r>
      <w:r w:rsidR="00266C85">
        <w:rPr>
          <w:lang w:val="en-US"/>
        </w:rPr>
        <w:fldChar w:fldCharType="begin" w:fldLock="1"/>
      </w:r>
      <w:r w:rsidR="00AC5C84">
        <w:rPr>
          <w:lang w:val="en-US"/>
        </w:rPr>
        <w:instrText>ADDIN CSL_CITATION {"citationItems":[{"id":"ITEM-1","itemData":{"author":[{"dropping-particle":"","family":"Olulope","given":"Paul","non-dropping-particle":"","parse-names":false,"suffix":""}],"id":"ITEM-1","issued":{"date-parts":[["2014"]]},"number-of-pages":"322","publisher":"University of Cape Town","title":"Transient Stability Assessment of Hybrid Distributed Generation Using Computational Intelligence Approaches","type":"thesis"},"uris":["http://www.mendeley.com/documents/?uuid=8c684d6b-cc1f-41e6-9559-53f8cdf84ffa"]}],"mendeley":{"formattedCitation":"(P. Olulope, 2014)","manualFormatting":"(Olulope, 2014)","plainTextFormattedCitation":"(P. Olulope, 2014)","previouslyFormattedCitation":"(P. Olulope, 2014)"},"properties":{"noteIndex":0},"schema":"https://github.com/citation-style-language/schema/raw/master/csl-citation.json"}</w:instrText>
      </w:r>
      <w:r w:rsidR="00266C85">
        <w:rPr>
          <w:lang w:val="en-US"/>
        </w:rPr>
        <w:fldChar w:fldCharType="separate"/>
      </w:r>
      <w:r w:rsidR="00AA3E43">
        <w:rPr>
          <w:noProof/>
          <w:lang w:val="en-US"/>
        </w:rPr>
        <w:t>(</w:t>
      </w:r>
      <w:r w:rsidR="00266C85" w:rsidRPr="00266C85">
        <w:rPr>
          <w:noProof/>
          <w:lang w:val="en-US"/>
        </w:rPr>
        <w:t>Olulope, 2014)</w:t>
      </w:r>
      <w:r w:rsidR="00266C85">
        <w:rPr>
          <w:lang w:val="en-US"/>
        </w:rPr>
        <w:fldChar w:fldCharType="end"/>
      </w:r>
      <w:r>
        <w:rPr>
          <w:lang w:val="en-US"/>
        </w:rPr>
        <w:t>.</w:t>
      </w:r>
    </w:p>
    <w:p w14:paraId="00920E42" w14:textId="7932F441" w:rsidR="00E33E07" w:rsidRPr="00E33E07" w:rsidRDefault="00E33E07" w:rsidP="00E33E07">
      <w:pPr>
        <w:pStyle w:val="Heading3"/>
      </w:pPr>
      <w:bookmarkStart w:id="25" w:name="_Toc110502563"/>
      <w:r>
        <w:t>2.2</w:t>
      </w:r>
      <w:r>
        <w:tab/>
        <w:t>THE CONCEPT OF DISTRIBUTED GENERATION</w:t>
      </w:r>
      <w:bookmarkEnd w:id="25"/>
    </w:p>
    <w:p w14:paraId="2A00778B" w14:textId="65DF601B" w:rsidR="006350F8" w:rsidRPr="006350F8" w:rsidRDefault="006350F8" w:rsidP="00F03645">
      <w:pPr>
        <w:spacing w:line="480" w:lineRule="auto"/>
        <w:rPr>
          <w:lang w:val="en-US"/>
        </w:rPr>
      </w:pPr>
      <w:r w:rsidRPr="006350F8">
        <w:rPr>
          <w:lang w:val="en-US"/>
        </w:rPr>
        <w:t>In the twenty-first century, the means of generating electricity has continued to shift gradually f</w:t>
      </w:r>
      <w:r w:rsidR="00DB552C">
        <w:rPr>
          <w:lang w:val="en-US"/>
        </w:rPr>
        <w:t xml:space="preserve">rom fossil fuel </w:t>
      </w:r>
      <w:r w:rsidRPr="006350F8">
        <w:rPr>
          <w:lang w:val="en-US"/>
        </w:rPr>
        <w:t>to renewable</w:t>
      </w:r>
      <w:r w:rsidR="00DB552C">
        <w:rPr>
          <w:lang w:val="en-US"/>
        </w:rPr>
        <w:t xml:space="preserve"> energy-based</w:t>
      </w:r>
      <w:r w:rsidRPr="006350F8">
        <w:rPr>
          <w:lang w:val="en-US"/>
        </w:rPr>
        <w:t xml:space="preserve"> </w:t>
      </w:r>
      <w:r w:rsidR="00DB552C">
        <w:rPr>
          <w:lang w:val="en-US"/>
        </w:rPr>
        <w:t>sources</w:t>
      </w:r>
      <w:r w:rsidR="00FB1A99">
        <w:rPr>
          <w:lang w:val="en-US"/>
        </w:rPr>
        <w:t xml:space="preserve"> </w:t>
      </w:r>
      <w:r w:rsidRPr="006350F8">
        <w:rPr>
          <w:lang w:val="en-US"/>
        </w:rPr>
        <w:fldChar w:fldCharType="begin" w:fldLock="1"/>
      </w:r>
      <w:r w:rsidR="00AC5C84">
        <w:rPr>
          <w:lang w:val="en-US"/>
        </w:rPr>
        <w:instrText>ADDIN CSL_CITATION {"citationItems":[{"id":"ITEM-1","itemData":{"DOI":"10.4314/njt.v36i1.25","ISSN":"0331-8443","abstract":"Over 80% of the current Nigerian primary energy consumption is met by petroleum. This overdependence on fossil fuels derived from petroleum for local consumption requirements should be a serious source of concern for the country in two ways – depletion of the resources and negative impact on the environment. This paper presents a critical review of the available renewable energy resources in Nigeria, namely; biomass, hydropower, solar and wind energy. It examines the current energy situation in the country and equally discusses the various energy policy documents developed by the government. Using the scenario-based International Atomic Energy Agency models, the projected energy demand and supply structure of the country through 2030 are presented and analysed. Overall, this study shows that Nigeria will overcome her present energy crisis if she explores the abundant renewable energy resources in the country. The data presented in this paper is a crucial eye-opener for relevant government agencies towards developing these energy resources in tackling the present energy crisis in Nigeria. http://dx.doi.org/10.4314/njt.v36i1.25","author":[{"dropping-particle":"","family":"Akorede","given":"MF","non-dropping-particle":"","parse-names":false,"suffix":""},{"dropping-particle":"","family":"Ibrahim","given":"O","non-dropping-particle":"","parse-names":false,"suffix":""},{"dropping-particle":"","family":"Amuda","given":"SA","non-dropping-particle":"","parse-names":false,"suffix":""},{"dropping-particle":"","family":"Otuoze","given":"AO","non-dropping-particle":"","parse-names":false,"suffix":""},{"dropping-particle":"","family":"Olufeagba","given":"BJ","non-dropping-particle":"","parse-names":false,"suffix":""}],"container-title":"Nigerian Journal of Technology","id":"ITEM-1","issue":"1","issued":{"date-parts":[["2016"]]},"page":"196-212","title":"Current Status and Outlook of Renewable Energy Development in Nigeria","type":"article-journal","volume":"36"},"uris":["http://www.mendeley.com/documents/?uuid=9b1d1bd1-297f-43ca-92ff-583facf6f24f"]},{"id":"ITEM-2","itemData":{"DOI":"10.1016/j.rser.2017.03.040","ISSN":"18790690","abstract":"Global anthropogenic activities resulting in the emission of harmful greenhouse gases (GHGs) to the atmosphere have increased the challenges faced from climate change. The greater awareness of the need to mitigate climate variability has brought about intense focus on the adverse impacts of fossil-fuel based energy on the environment. Being the single largest source of carbon emissions, energy supply has attracted much attention and more so that, climate change impacts extend beyond national boundaries. Since energy use is sine qua non to economic development, scientists have reiterated the necessity of developing and utilising renewable energy. Although, past and present CO2 emissions have and are majorly caused by industrialized countries, it is envisaged that future GHGs emissions would be mostly from developing countries as they industrialize. Renewable energy sources that include biomass, hydroelectric, wind, solar and hydrothermal systems, are carbon-neutral, releasing relatively no emissions. This paper discusses the initiatives associated with the provision of renewable energy to the energy mix in Nigeria as an indication of the country's commitment to adopt a sustainable development strategy in shaping the economy. It reviews the literature and employs a discourse analysis to examine the limited use of renewable energy sources in Nigeria and the factors prevailing against their development. The paper concludes by identifying social and political obstacles as most significant roadblocks towards rapid implementation of a green economy through the deployment of renewable energy for sustainable development.","author":[{"dropping-particle":"","family":"Elum","given":"Z. A.","non-dropping-particle":"","parse-names":false,"suffix":""},{"dropping-particle":"","family":"Momodu","given":"A. S.","non-dropping-particle":"","parse-names":false,"suffix":""}],"container-title":"Renewable and Sustainable Energy Reviews","id":"ITEM-2","issue":"February","issued":{"date-parts":[["2017","9","1"]]},"page":"72-80","publisher":"Elsevier Ltd","title":"Climate change mitigation and renewable energy for sustainable development in Nigeria: A discourse approach","type":"article-journal","volume":"76"},"uris":["http://www.mendeley.com/documents/?uuid=729be439-9e4f-44fa-92f8-0b58db6acaa6"]},{"id":"ITEM-3","itemData":{"DOI":"10.1016/J.EGYR.2019.12.002","ISSN":"2352-4847","abstract":"Achieving an affordable clean energy in accordance to the sustainable development goal (SDG 7) is a challenge in Nigeria and other nations in Africa. Most of the currently used energy strategies are either not sustainable or poorly maintained. Nigeria is a major exporter of fossil fuel but currently faced with serious energy crisis, which necessitates the search for a sustainable renewable form of energy as alternative to fossil fuel in order to meet the SDG 7. Biofuel has been identified as a sustainable form of renewable energy in Nigeria with sugarcane, cassava, plant seed and waste materials being possible feedstocks for bioethanol and biodiesel production. The feedstocks are predominantly available and accessible with the possibility of maximizing them to drive socio-economic growth. Use of waste materials and non-edible underutilized seed oil such as Jatropha curcas will help minimize the controversies associated with the use of food materials as feedstock for biofuel production in Nigeria and other nations in Africa. Furthermore, focus should be on developing the Nigerian waste management strategy, which has the potential of generating sufficient energy to drive the economy and serve as means of employment. It is also high time for Nigeria to develop its own technology to run biofuel production from its currently developed cassava and sugarcane industry. It might be necessary to create more awareness on the importance of biofuel as well as provide suitable business environment for local and international investors.","author":[{"dropping-particle":"","family":"Adewuyi","given":"Adewale","non-dropping-particle":"","parse-names":false,"suffix":""}],"container-title":"Energy Reports","id":"ITEM-3","issued":{"date-parts":[["2020","2","1"]]},"page":"77-88","publisher":"Elsevier Ltd","title":"Challenges and prospects of renewable energy in Nigeria: A case of bioethanol and biodiesel production","type":"article-journal","volume":"6"},"uris":["http://www.mendeley.com/documents/?uuid=9a1de749-71d4-4f3a-aa48-11bd3b08ad8b"]},{"id":"ITEM-4","itemData":{"DOI":"10.1007/s13762-020-03059-3","ISBN":"0123456789","ISSN":"17352630","abstract":"This study explores the need for conversion of wastes to energy for a sustainable power sector and environmental development in Nigeria, to decrease greenhouse gas emissions and to offer incentives for investments in renewable energy sources, and to mitigate the concerns on disposal of hazardous wastes in the country. The study adopts a library-based doctrinal legal research technique with a conceptual approach, relying on existing literature. It explores the potency of existing laws and other legal provisions binding on the practice of waste management to power in Nigeria. Also, it carries out a comparative appraisal of the renewable system through organic wastes to electricity in other countries. The key finding of the study is that if practical measures are taken by the Nigerian government to control waste disposal, it will minimise wastes from the various sources in conformity with the legal and regulatory requirements and this can be utilised to generate electricity. The study proposes a model for converting wastes to electricity to sustain the ever-intensifying demands for energy and to combat ecological issues in Nigeria. The research concludes with recommendations for the fusion of regulations and non-regulatory incentives for conversion of wastes to electricity in Nigeria’s power sector and advocates coherent legal framework on sources of energy with stringent enforcement of energy laws for stable electricity generation and sustainability in Nigeria’s power sector.","author":[{"dropping-particle":"","family":"Olujobi","given":"O. M. J.","non-dropping-particle":"","parse-names":false,"suffix":""},{"dropping-particle":"","family":"Ufua","given":"D. E.","non-dropping-particle":"","parse-names":false,"suffix":""},{"dropping-particle":"","family":"Olokundun","given":"M.","non-dropping-particle":"","parse-names":false,"suffix":""},{"dropping-particle":"","family":"Olujobi","given":"O. M. J.","non-dropping-particle":"","parse-names":false,"suffix":""}],"container-title":"International Journal of Environmental Science and Technology","id":"ITEM-4","issued":{"date-parts":[["2021"]]},"publisher":"Springer Berlin Heidelberg","title":"Conversion of organic wastes to electricity in Nigeria: legal perspective on the challenges and prospects","type":"article-journal"},"uris":["http://www.mendeley.com/documents/?uuid=841b914f-eadd-4860-9895-99d64787f3bd"]},{"id":"ITEM-5","itemData":{"DOI":"10.1016/j.esr.2020.100519","ISSN":"2211467X","author":[{"dropping-particle":"","family":"Adelaja","given":"Adesoji O.","non-dropping-particle":"","parse-names":false,"suffix":""}],"container-title":"Energy Strategy Reviews","id":"ITEM-5","issued":{"date-parts":[["2020","7","1"]]},"page":"100519","publisher":"Elsevier Ltd","title":"Barriers to national renewable energy policy adoption: Insights from a case study of Nigeria","type":"article-journal","volume":"30"},"uris":["http://www.mendeley.com/documents/?uuid=29ea1841-ed25-4458-847a-9ae28c5e792f"]},{"id":"ITEM-6","itemData":{"DOI":"10.1016/j.rser.2015.06.016","ISSN":"18790690","abstract":"Abstract Sustainable energy development focuses on maintaining the provision of energy in a manner that can enhance the short-, medium-, and long-term economic development of a country. The provision of sustainable energy requires the development and implementation of technologies that can improve the energy situation of a given country, such as renewable energy, energy-efficient technologies, and the proper use of conventional energy resources. To achieve this, effective energy policy options must be instigated that can adjust to changing circumstances. In Nigeria, the development of sustainable clean modern energy is an immense challenge, as is the proper use of the country's conventional energy resources. This is as due to the lack of effective support policies and poor participation by the government in clean energy development. The energy situation in Nigeria could be improved by the provision of adequate energy policy options designed to augment existing energy policies. This study critically reviews the current status of energy resources in Nigeria and the associated policies. Important policies, unavailable under current government strategies, are proposed and prioritised based on their likelihood of success in short, medium and long term. Among the most important policies based on priorities are policies to address crude oil theft, complete deregulation of the petroleum subsectors, utilisation of associated gases, creation of favourable business climate for private investors, increase attraction for Foreign Direct Investment in clean energy technology, Renewable Portfolio Standards development, introduction of Tendering Schemes, use of efficient fuel stoves, development of Demand-Side Bidding and Energy Efficiency Standard Law. We believe that these proposed policy options could improve the sustainable development of Nigeria's energy resources.","author":[{"dropping-particle":"","family":"Emodi","given":"Nnaemeka Vincent","non-dropping-particle":"","parse-names":false,"suffix":""},{"dropping-particle":"","family":"Boo","given":"Kyung Jin","non-dropping-particle":"","parse-names":false,"suffix":""}],"container-title":"Renewable and Sustainable Energy Reviews","id":"ITEM-6","issued":{"date-parts":[["2015"]]},"page":"356-381","publisher":"Elsevier","title":"Sustainable energy development in Nigeria: Current status and policy options","type":"article-journal","volume":"51"},"uris":["http://www.mendeley.com/documents/?uuid=776c69c1-0f9b-4c09-97fe-6b8a37672685"]},{"id":"ITEM-7","itemData":{"DOI":"10.1016/j.rser.2017.06.055","ISSN":"18790690","abstract":"Despite its vast natural resources, African is facing serious challenges in sustainable development in an energy sector, if addressed with dispatch could not only check its indispensable needs, but also mitigate some global phenomenon at stake, such as desertification, environmental degradation and green house emission. This paper reviews the prospects of four major renewable energy sources-hydro, solar, wind and biomass- for each of the three leading countries in Africa namely South Africa, Egypt and Nigeria. Based on literature survey of energy efficiency, all the three countries encourage energy efficiency in varying degrees. In the course of this review, several national energy policy frameworks of these countries were looked into, especially on how African countries could overcome the persistent energy crisis in the continent by utilizing the naturally gifted renewable energy sources. This could only be achievable if proper technology, awareness and skills for harnessing the resources are provided. Also lingering energy challenges such as energy efficiency measures, needs for grid extension, energy storage technology and seasonal variation were carefully highlighted.","author":[{"dropping-particle":"","family":"Aliyu","given":"Abubakar Kabir","non-dropping-particle":"","parse-names":false,"suffix":""},{"dropping-particle":"","family":"Modu","given":"Babangida","non-dropping-particle":"","parse-names":false,"suffix":""},{"dropping-particle":"","family":"Tan","given":"Chee Wei","non-dropping-particle":"","parse-names":false,"suffix":""}],"container-title":"Renewable and Sustainable Energy Reviews","id":"ITEM-7","issue":"February 2016","issued":{"date-parts":[["2018","1","1"]]},"page":"2502-2518","publisher":"Elsevier Ltd","title":"A review of renewable energy development in Africa: A focus in South Africa, Egypt and Nigeria","type":"article-journal","volume":"81"},"uris":["http://www.mendeley.com/documents/?uuid=cce1e192-de3f-4aaa-9a0c-4bd658300353"]}],"mendeley":{"formattedCitation":"(Adelaja, 2020; Adewuyi, 2020; Akorede et al., 2016; A. K. Aliyu et al., 2018; Elum &amp; Momodu, 2017; Emodi &amp; Boo, 2015; Olujobi et al., 2021)","plainTextFormattedCitation":"(Adelaja, 2020; Adewuyi, 2020; Akorede et al., 2016; A. K. Aliyu et al., 2018; Elum &amp; Momodu, 2017; Emodi &amp; Boo, 2015; Olujobi et al., 2021)","previouslyFormattedCitation":"(Adelaja, 2020; Adewuyi, 2020; Akorede et al., 2016; A. K. Aliyu et al., 2018; Elum &amp; Momodu, 2017; Emodi &amp; Boo, 2015; Olujobi et al., 2021)"},"properties":{"noteIndex":0},"schema":"https://github.com/citation-style-language/schema/raw/master/csl-citation.json"}</w:instrText>
      </w:r>
      <w:r w:rsidRPr="006350F8">
        <w:rPr>
          <w:lang w:val="en-US"/>
        </w:rPr>
        <w:fldChar w:fldCharType="separate"/>
      </w:r>
      <w:r w:rsidR="00A97D34" w:rsidRPr="00A97D34">
        <w:rPr>
          <w:noProof/>
          <w:lang w:val="en-US"/>
        </w:rPr>
        <w:t>(Adelaja, 2020; Adewuyi, 2020; Akorede et al., 2016; A. K. Aliyu et al., 2018; Elum &amp; Momodu, 2017; Emodi &amp; Boo, 2015; Olujobi et al., 2021)</w:t>
      </w:r>
      <w:r w:rsidRPr="006350F8">
        <w:rPr>
          <w:lang w:val="en-US"/>
        </w:rPr>
        <w:fldChar w:fldCharType="end"/>
      </w:r>
      <w:r w:rsidRPr="006350F8">
        <w:rPr>
          <w:lang w:val="en-US"/>
        </w:rPr>
        <w:t>. In the traditional power system, favo</w:t>
      </w:r>
      <w:r w:rsidR="009861F9">
        <w:rPr>
          <w:lang w:val="en-US"/>
        </w:rPr>
        <w:t>u</w:t>
      </w:r>
      <w:r w:rsidRPr="006350F8">
        <w:rPr>
          <w:lang w:val="en-US"/>
        </w:rPr>
        <w:t>rable locations for power plants would be identified (ideally away from densely-populated settlements) and each power plant would be constructed to have as large a capacity as could be developed in a single location to maximize its output. This also meant that, frequently, systems containing as few power plants as necessary for robust operation and energy security were preferred. The power would then be transmitted over long distances to the distribution networks and end users</w:t>
      </w:r>
      <w:r w:rsidR="00FB1A99">
        <w:rPr>
          <w:lang w:val="en-US"/>
        </w:rPr>
        <w:t xml:space="preserve"> </w:t>
      </w:r>
      <w:r w:rsidRPr="006350F8">
        <w:rPr>
          <w:lang w:val="en-US"/>
        </w:rPr>
        <w:fldChar w:fldCharType="begin" w:fldLock="1"/>
      </w:r>
      <w:r w:rsidR="008E6BA7">
        <w:rPr>
          <w:lang w:val="en-US"/>
        </w:rPr>
        <w:instrText>ADDIN CSL_CITATION {"citationItems":[{"id":"ITEM-1","itemData":{"DOI":"10.1016/J.TSEP.2019.100390","ISSN":"2451-9049","abstract":"Nigeria is the most populous country and the largest economy in the African continent; but its power sector is currently underdeveloped. Remarkably, its economic and energy security depend on dwindling fossil fuel reserves. Yet, the Nigerian landscape experiences an average daily solar intensity of 20.1 MJ/m2/day; and the wind speed across the states ranges from 1.5 to 4.1 ms−1; with potential for harnessing energy from biomass, geothermal and water. With a projected population of 300 million by 2050, the current 7566.2 MW electricity generation capacity would continue to impede socio-economic development of the nation. Presently, few studies have reported on the suitable renewable energy technologies (RETs) for Nigeria. This study, therefore, updates the current and emerging RETs for harnessing the abundant renewable energy resources in Nigeria. Furthermore, a critical discussion is made on the application of RETs in achieving sustainable development in the imminent hydrogen economy. Eventually, some recommendations are made; and, it can be stated that the RETs, particularly distributed hybrid/integrated power systems, should be promoted in Nigeria based on the availability of diverse renewable sources. Undoubtedly, it is timely for the Nigerian government to investigate the possible applications of the RETs to improve the nation's power generation capacity.","author":[{"dropping-particle":"","family":"Ogbonnaya","given":"C.","non-dropping-particle":"","parse-names":false,"suffix":""},{"dropping-particle":"","family":"Abeykoon","given":"C.","non-dropping-particle":"","parse-names":false,"suffix":""},{"dropping-particle":"","family":"Damo","given":"U. M.","non-dropping-particle":"","parse-names":false,"suffix":""},{"dropping-particle":"","family":"Turan","given":"A.","non-dropping-particle":"","parse-names":false,"suffix":""}],"container-title":"Thermal Science and Engineering Progress","id":"ITEM-1","issued":{"date-parts":[["2019","10","1"]]},"page":"100390","publisher":"Elsevier","title":"The current and emerging renewable energy technologies for power generation in Nigeria: A review","type":"article-journal","volume":"13"},"uris":["http://www.mendeley.com/documents/?uuid=ebab915c-840e-3ffa-85a1-e73ebc57c338"]}],"mendeley":{"formattedCitation":"(Ogbonnaya et al., 2019)","plainTextFormattedCitation":"(Ogbonnaya et al., 2019)","previouslyFormattedCitation":"(Ogbonnaya et al., 2019)"},"properties":{"noteIndex":0},"schema":"https://github.com/citation-style-language/schema/raw/master/csl-citation.json"}</w:instrText>
      </w:r>
      <w:r w:rsidRPr="006350F8">
        <w:rPr>
          <w:lang w:val="en-US"/>
        </w:rPr>
        <w:fldChar w:fldCharType="separate"/>
      </w:r>
      <w:r w:rsidR="00A97D34" w:rsidRPr="00A97D34">
        <w:rPr>
          <w:noProof/>
          <w:lang w:val="en-US"/>
        </w:rPr>
        <w:t>(Ogbonnaya et al., 2019)</w:t>
      </w:r>
      <w:r w:rsidRPr="006350F8">
        <w:rPr>
          <w:lang w:val="en-US"/>
        </w:rPr>
        <w:fldChar w:fldCharType="end"/>
      </w:r>
      <w:r w:rsidRPr="006350F8">
        <w:rPr>
          <w:lang w:val="en-US"/>
        </w:rPr>
        <w:t>. This system prevailed because the economics of building and running fossil-fuel power plants favo</w:t>
      </w:r>
      <w:r w:rsidR="009861F9">
        <w:rPr>
          <w:lang w:val="en-US"/>
        </w:rPr>
        <w:t>u</w:t>
      </w:r>
      <w:r w:rsidRPr="006350F8">
        <w:rPr>
          <w:lang w:val="en-US"/>
        </w:rPr>
        <w:t xml:space="preserve">red this kind of centralized paradigm. </w:t>
      </w:r>
    </w:p>
    <w:p w14:paraId="6EF6DA0C" w14:textId="77777777" w:rsidR="006350F8" w:rsidRPr="006350F8" w:rsidRDefault="006350F8" w:rsidP="00F03645">
      <w:pPr>
        <w:spacing w:line="480" w:lineRule="auto"/>
        <w:rPr>
          <w:lang w:val="en-US"/>
        </w:rPr>
      </w:pPr>
      <w:r w:rsidRPr="006350F8">
        <w:rPr>
          <w:lang w:val="en-US"/>
        </w:rPr>
        <w:t xml:space="preserve">Renewable energy is the energy that is harnessed from resources that are perennial enough to be considered practically inexhaustible </w:t>
      </w:r>
      <w:r w:rsidRPr="006350F8">
        <w:rPr>
          <w:lang w:val="en-US"/>
        </w:rPr>
        <w:fldChar w:fldCharType="begin" w:fldLock="1"/>
      </w:r>
      <w:r w:rsidR="008E6BA7">
        <w:rPr>
          <w:lang w:val="en-US"/>
        </w:rPr>
        <w:instrText>ADDIN CSL_CITATION {"citationItems":[{"id":"ITEM-1","itemData":{"DOI":"10.1186/s41601-019-0122-8","ISSN":"23670983","abstract":"This paper describes the usefulness of renewable energy throughout the world to generate power. Renewable energy adds a remarkable scope in power system. Renewable energy sources act as the prime mover of a microgrid. The Microgrid is a small network of power system with distributed generation (DG) units connected in parallel. The integration challenges of renewable energy sources and the control of microgrid are described in this paper. The varied nature of DG system produces voltage and frequency deviation. The unknown nature of the load produces un-modeled dynamics. This un-modeled dynamic introduces measurable effects on the performance of the microgrid. This paper investigates the performance of the microgrid against different scenarios. The voltage of the microgrid is controlled by using different controllers and their results are also investigated. The performance of controllers is investigated using MATLAB/Simulink SimPowerSystems.","author":[{"dropping-particle":"","family":"Badal","given":"Faisal R.","non-dropping-particle":"","parse-names":false,"suffix":""},{"dropping-particle":"","family":"Das","given":"Purnima","non-dropping-particle":"","parse-names":false,"suffix":""},{"dropping-particle":"","family":"Sarker","given":"Subrata K.","non-dropping-particle":"","parse-names":false,"suffix":""},{"dropping-particle":"","family":"Das","given":"Sajal K.","non-dropping-particle":"","parse-names":false,"suffix":""}],"container-title":"Protection and Control of Modern Power Systems","id":"ITEM-1","issue":"1","issued":{"date-parts":[["2019"]]},"publisher":"Protection and Control of Modern Power Systems","title":"A survey on control issues in renewable energy integration and microgrid","type":"article-journal","volume":"4"},"uris":["http://www.mendeley.com/documents/?uuid=c0d3b31d-b24a-489c-bbd5-f1c6d1ce5478"]}],"mendeley":{"formattedCitation":"(Badal et al., 2019)","plainTextFormattedCitation":"(Badal et al., 2019)","previouslyFormattedCitation":"(Badal et al., 2019)"},"properties":{"noteIndex":0},"schema":"https://github.com/citation-style-language/schema/raw/master/csl-citation.json"}</w:instrText>
      </w:r>
      <w:r w:rsidRPr="006350F8">
        <w:rPr>
          <w:lang w:val="en-US"/>
        </w:rPr>
        <w:fldChar w:fldCharType="separate"/>
      </w:r>
      <w:r w:rsidR="00A97D34" w:rsidRPr="00A97D34">
        <w:rPr>
          <w:noProof/>
          <w:lang w:val="en-US"/>
        </w:rPr>
        <w:t>(Badal et al., 2019)</w:t>
      </w:r>
      <w:r w:rsidRPr="006350F8">
        <w:rPr>
          <w:lang w:val="en-US"/>
        </w:rPr>
        <w:fldChar w:fldCharType="end"/>
      </w:r>
      <w:r w:rsidRPr="006350F8">
        <w:rPr>
          <w:lang w:val="en-US"/>
        </w:rPr>
        <w:t xml:space="preserve">. Solar, wind, hydropower, biomass, and tidal energy are examples of renewable energy because no matter how intensely they are used, they are replenished by the forces of nature </w:t>
      </w:r>
      <w:r w:rsidRPr="006350F8">
        <w:rPr>
          <w:lang w:val="en-US"/>
        </w:rPr>
        <w:fldChar w:fldCharType="begin" w:fldLock="1"/>
      </w:r>
      <w:r w:rsidR="008E6BA7">
        <w:rPr>
          <w:lang w:val="en-US"/>
        </w:rPr>
        <w:instrText>ADDIN CSL_CITATION {"citationItems":[{"id":"ITEM-1","itemData":{"ISBN":"1118633490","author":[{"dropping-particle":"","family":"Masters","given":"Gilbert M","non-dropping-particle":"","parse-names":false,"suffix":""}],"edition":"2","id":"ITEM-1","issued":{"date-parts":[["2013"]]},"publisher":"John Wiley &amp; Sons","title":"Renewable and efficient electric power systems","type":"book"},"uris":["http://www.mendeley.com/documents/?uuid=0352a3b8-da7c-4b31-8477-5fa11cdee0b4"]}],"mendeley":{"formattedCitation":"(Masters, 2013)","plainTextFormattedCitation":"(Masters, 2013)","previouslyFormattedCitation":"(Masters, 2013)"},"properties":{"noteIndex":0},"schema":"https://github.com/citation-style-language/schema/raw/master/csl-citation.json"}</w:instrText>
      </w:r>
      <w:r w:rsidRPr="006350F8">
        <w:rPr>
          <w:lang w:val="en-US"/>
        </w:rPr>
        <w:fldChar w:fldCharType="separate"/>
      </w:r>
      <w:r w:rsidR="00A97D34" w:rsidRPr="00A97D34">
        <w:rPr>
          <w:noProof/>
          <w:lang w:val="en-US"/>
        </w:rPr>
        <w:t>(Masters, 2013)</w:t>
      </w:r>
      <w:r w:rsidRPr="006350F8">
        <w:rPr>
          <w:lang w:val="en-US"/>
        </w:rPr>
        <w:fldChar w:fldCharType="end"/>
      </w:r>
      <w:r w:rsidRPr="006350F8">
        <w:rPr>
          <w:lang w:val="en-US"/>
        </w:rPr>
        <w:t xml:space="preserve">. Renewable energy is usually clean energy and green energy, and the definitions of those terms usually overlap significantly. In the light of global warming, there have been concerted efforts to reduce carbon footprints by stepping down the combustion of fossil fuels for electricity generation and transportation </w:t>
      </w:r>
      <w:r w:rsidRPr="006350F8">
        <w:rPr>
          <w:lang w:val="en-US"/>
        </w:rPr>
        <w:fldChar w:fldCharType="begin" w:fldLock="1"/>
      </w:r>
      <w:r w:rsidR="008E6BA7">
        <w:rPr>
          <w:lang w:val="en-US"/>
        </w:rPr>
        <w:instrText>ADDIN CSL_CITATION {"citationItems":[{"id":"ITEM-1","itemData":{"DOI":"10.1109/PowerAfrica49420.2020.9219803","ISBN":"9781728167466","abstract":"This paper presents voltage stability analysis and improvement of power system when there is increase in wind power penetration. Loading parameter-Voltage curve was used to calculate the loadability and the megawatt margin as the penetration level (PL) of Squirrel Cage Induction Generator Wind System (SCIG-WS) increases. Furthermore, the effects of increasing SCIG-WS PL on grid losses and equipment loading have been investigated. The results show that for the IEEE 14-bus system utilised as case study, the maximum SCIG-WS PL obtainable without reactive power compensation is 49.45%. However, increasing PL has considerable overloading effects on critical transmission lines and generators, which therefore limits the permissible PL to 33.73%. The results also indicate that the application of Static Var System (SVS) yields a significant enhancement in system loadability and reduction in power losses of the system.","author":[{"dropping-particle":"","family":"Adetokun","given":"Bukola Babatunde","non-dropping-particle":"","parse-names":false,"suffix":""},{"dropping-particle":"","family":"Muriithi","given":"Christopher Maina","non-dropping-particle":"","parse-names":false,"suffix":""},{"dropping-particle":"","family":"Ojo","given":"Joseph Olorunfemi","non-dropping-particle":"","parse-names":false,"suffix":""}],"container-title":"2020 IEEE PES/IAS PowerAfrica, PowerAfrica 2020","id":"ITEM-1","issued":{"date-parts":[["2020"]]},"title":"Voltage Stability Analysis and Improvement of Power System with Increased SCIG-based Wind System Integration","type":"article-journal"},"uris":["http://www.mendeley.com/documents/?uuid=a15584de-9e59-4c8c-8d23-655dd7f1b4c1"]}],"mendeley":{"formattedCitation":"(Adetokun et al., 2020)","plainTextFormattedCitation":"(Adetokun et al., 2020)","previouslyFormattedCitation":"(Adetokun et al., 2020)"},"properties":{"noteIndex":0},"schema":"https://github.com/citation-style-language/schema/raw/master/csl-citation.json"}</w:instrText>
      </w:r>
      <w:r w:rsidRPr="006350F8">
        <w:rPr>
          <w:lang w:val="en-US"/>
        </w:rPr>
        <w:fldChar w:fldCharType="separate"/>
      </w:r>
      <w:r w:rsidR="00A97D34" w:rsidRPr="00A97D34">
        <w:rPr>
          <w:noProof/>
          <w:lang w:val="en-US"/>
        </w:rPr>
        <w:t>(Adetokun et al., 2020)</w:t>
      </w:r>
      <w:r w:rsidRPr="006350F8">
        <w:rPr>
          <w:lang w:val="en-US"/>
        </w:rPr>
        <w:fldChar w:fldCharType="end"/>
      </w:r>
      <w:r w:rsidRPr="006350F8">
        <w:rPr>
          <w:lang w:val="en-US"/>
        </w:rPr>
        <w:t>. As a result of this, renewable energy has gained more research, investment and development priority over non-renewable energy in the past few decades.</w:t>
      </w:r>
    </w:p>
    <w:p w14:paraId="0F17F44D" w14:textId="2F4CAB74" w:rsidR="006350F8" w:rsidRPr="006350F8" w:rsidRDefault="006350F8" w:rsidP="00F03645">
      <w:pPr>
        <w:spacing w:line="480" w:lineRule="auto"/>
        <w:rPr>
          <w:lang w:val="en-US"/>
        </w:rPr>
      </w:pPr>
      <w:r w:rsidRPr="006350F8">
        <w:rPr>
          <w:lang w:val="en-US"/>
        </w:rPr>
        <w:t xml:space="preserve">However, renewable energy is not available in nature on an on-demand basis, but rather on an as-available basis which can be highly intermittent (as in the case of solar) </w:t>
      </w:r>
      <w:r w:rsidRPr="006350F8">
        <w:rPr>
          <w:lang w:val="en-US"/>
        </w:rPr>
        <w:fldChar w:fldCharType="begin" w:fldLock="1"/>
      </w:r>
      <w:r w:rsidR="008E6BA7">
        <w:rPr>
          <w:lang w:val="en-US"/>
        </w:rPr>
        <w:instrText>ADDIN CSL_CITATION {"citationItems":[{"id":"ITEM-1","itemData":{"DOI":"10.1016/J.IJEPES.2018.02.022","ISSN":"0142-0615","abstract":"This paper aims at enhancing the resilience of a photovoltaic-based microgrid equipped with battery storage, supplying a typical commercial building. When extreme weather conditions such as hurricane, tsunami and similar events occur, leading to islanding of the microgrid from the main power grid, it is not expected that the microgrid would be taken out of service for a long time. At the same time, it is not cost effective to make the electrical system to be absolutely reliable to provide service for the customers. The main contribution of this paper lies in its ability to determine the optimal point between the operational cost and grid resilience. In other words, this work proposes an optimal management system of battery energy storage in a way to enhance the resilience of the proposed microgrid while maintaining its operational cost at a minimum level. The optimization is achieved by solving a linear optimization programming problem while the Conditional Value at Risk (CVaR) is incorporated in the objective function. The CVaR is used to account for the uncertainty in the intermittent PV system generated power and that in the electricity price. Simulation analyses are carried out in MATLAB to evaluate the performance of the proposed method. Results reveal that the commercial building microgrid resilience is improved remarkably at a slight increase in the operational cost.","author":[{"dropping-particle":"","family":"Tavakoli","given":"Mehdi","non-dropping-particle":"","parse-names":false,"suffix":""},{"dropping-particle":"","family":"Shokridehaki","given":"Fatemeh","non-dropping-particle":"","parse-names":false,"suffix":""},{"dropping-particle":"","family":"Funsho Akorede","given":"Mudathir","non-dropping-particle":"","parse-names":false,"suffix":""},{"dropping-particle":"","family":"Marzband","given":"Mousa","non-dropping-particle":"","parse-names":false,"suffix":""},{"dropping-particle":"","family":"Vechiu","given":"Ionel","non-dropping-particle":"","parse-names":false,"suffix":""},{"dropping-particle":"","family":"Pouresmaeil","given":"Edris","non-dropping-particle":"","parse-names":false,"suffix":""}],"container-title":"International Journal of Electrical Power &amp; Energy Systems","id":"ITEM-1","issued":{"date-parts":[["2018","9","1"]]},"page":"1-9","publisher":"Elsevier","title":"CVaR-based energy management scheme for optimal resilience and operational cost in commercial building microgrids","type":"article-journal","volume":"100"},"uris":["http://www.mendeley.com/documents/?uuid=2f00a2df-bbda-32e0-a4c2-7c76317e39cc"]}],"mendeley":{"formattedCitation":"(Tavakoli et al., 2018)","plainTextFormattedCitation":"(Tavakoli et al., 2018)","previouslyFormattedCitation":"(Tavakoli et al., 2018)"},"properties":{"noteIndex":0},"schema":"https://github.com/citation-style-language/schema/raw/master/csl-citation.json"}</w:instrText>
      </w:r>
      <w:r w:rsidRPr="006350F8">
        <w:rPr>
          <w:lang w:val="en-US"/>
        </w:rPr>
        <w:fldChar w:fldCharType="separate"/>
      </w:r>
      <w:r w:rsidR="00A97D34" w:rsidRPr="00A97D34">
        <w:rPr>
          <w:noProof/>
          <w:lang w:val="en-US"/>
        </w:rPr>
        <w:t>(Tavakoli et al., 2018)</w:t>
      </w:r>
      <w:r w:rsidRPr="006350F8">
        <w:rPr>
          <w:lang w:val="en-US"/>
        </w:rPr>
        <w:fldChar w:fldCharType="end"/>
      </w:r>
      <w:r w:rsidRPr="006350F8">
        <w:rPr>
          <w:lang w:val="en-US"/>
        </w:rPr>
        <w:t xml:space="preserve">, variable in a way that is difficult to predict (as in the case of wind energy) </w:t>
      </w:r>
      <w:r w:rsidRPr="006350F8">
        <w:rPr>
          <w:lang w:val="en-US"/>
        </w:rPr>
        <w:fldChar w:fldCharType="begin" w:fldLock="1"/>
      </w:r>
      <w:r w:rsidR="008E6BA7">
        <w:rPr>
          <w:lang w:val="en-US"/>
        </w:rPr>
        <w:instrText>ADDIN CSL_CITATION {"citationItems":[{"id":"ITEM-1","itemData":{"DOI":"10.1155/2020/8891469","ISSN":"1687529X","abstract":"Presently, climate change and global warming are the most uncontrolled global challenges due to the extensive fossil fuel usage for power generation and transportation. Nowadays, most of the developed countries are concentrating on developing alternative resources; consequently, they did huge investments in research and development. In general, alternative energy resources including hydropower, solar power, and wind energy are not harmful to nature. Today, solar power and wind power are very popular alternative energy sources due to their enormous availability in nature. In this paper, the photovoltaic cell and wind energy systems are investigated under various weather conditions. Based on the findings, we developed an advanced intelligent controller system that tracks the maximum power point. The MPPT controller is a must for the renewable energy sources due to unpredictable weather conditions. The main objective of this paper is to propose a new algorithm that is based on deep neural network (DNN) and maximum power point tracking (MPPT), which was simulated in a MATLAB environment for photovoltaic (PV) and wind-based power generation systems. The development of an advanced DNN controller that improves the power quality and reduces THD value for the microgrid integration of hybrid PV/wind energy system was performed. The MATLAB simulation tool has been used to develop the proposed system and tested its performance in different operating situations. Finally, we analyzed the simulation results applying the IEEE 1547 standard.","author":[{"dropping-particle":"","family":"Ab-Belkhair","given":"Adel","non-dropping-particle":"","parse-names":false,"suffix":""},{"dropping-particle":"","family":"Rahebi","given":"Javad","non-dropping-particle":"","parse-names":false,"suffix":""},{"dropping-particle":"","family":"Abdulhamed Mohamed Nureddin","given":"Abdulbaset","non-dropping-particle":"","parse-names":false,"suffix":""}],"container-title":"International Journal of Photoenergy","id":"ITEM-1","issued":{"date-parts":[["2020"]]},"title":"A study of deep neural network controller-based power quality improvement of hybrid PV/Wind systems by using smart inverter","type":"article-journal","volume":"2020"},"uris":["http://www.mendeley.com/documents/?uuid=8195558d-29c5-43fd-a83c-cdff9bcec015"]}],"mendeley":{"formattedCitation":"(Ab-Belkhair et al., 2020)","plainTextFormattedCitation":"(Ab-Belkhair et al., 2020)","previouslyFormattedCitation":"(Ab-Belkhair et al., 2020)"},"properties":{"noteIndex":0},"schema":"https://github.com/citation-style-language/schema/raw/master/csl-citation.json"}</w:instrText>
      </w:r>
      <w:r w:rsidRPr="006350F8">
        <w:rPr>
          <w:lang w:val="en-US"/>
        </w:rPr>
        <w:fldChar w:fldCharType="separate"/>
      </w:r>
      <w:r w:rsidR="00A97D34" w:rsidRPr="00A97D34">
        <w:rPr>
          <w:noProof/>
          <w:lang w:val="en-US"/>
        </w:rPr>
        <w:t>(Ab-Belkhair et al., 2020)</w:t>
      </w:r>
      <w:r w:rsidRPr="006350F8">
        <w:rPr>
          <w:lang w:val="en-US"/>
        </w:rPr>
        <w:fldChar w:fldCharType="end"/>
      </w:r>
      <w:r w:rsidRPr="006350F8">
        <w:rPr>
          <w:lang w:val="en-US"/>
        </w:rPr>
        <w:t xml:space="preserve">, highly location-specific (as in the case of geothermal and hydro) </w:t>
      </w:r>
      <w:r w:rsidRPr="006350F8">
        <w:rPr>
          <w:lang w:val="en-US"/>
        </w:rPr>
        <w:fldChar w:fldCharType="begin" w:fldLock="1"/>
      </w:r>
      <w:r w:rsidR="008E6BA7">
        <w:rPr>
          <w:lang w:val="en-US"/>
        </w:rPr>
        <w:instrText>ADDIN CSL_CITATION {"citationItems":[{"id":"ITEM-1","itemData":{"DOI":"10.1016/j.egypro.2018.11.312","ISSN":"18766102","abstract":"The study focuses on Nigeria geothermal energy resources and its viability. Nigeria blessed with abundant oil resources, with renewable hydropower energy, supplying energy to the neighbouring community, today is depending on importation of fuel for citizen survival, poor energy supply hence harsh economic condition,poverty on the increase and population growth geometric .This situation calls for revamping the renewable energy sector and a gradual drift from over dependence on non-renewable energy to the potential, the force multiplier to do work hence geothermal energy. This energy with a very good underground storage potential, no greenhouse effect, environmental impact advantage, improved cost advantage, economic policies, legal frameworks, with potentially reliable geothermal enthalpy resource characteristics and enormous resources of lava flows, volcanic sources, hot springs, and geysers can be made viable as recommended alleviating the state of the nation into a happy surviving nation.","author":[{"dropping-particle":"","family":"Okolie","given":"S. T.A.","non-dropping-particle":"","parse-names":false,"suffix":""},{"dropping-particle":"","family":"Ozuor","given":"O.","non-dropping-particle":"","parse-names":false,"suffix":""},{"dropping-particle":"","family":"Fakehinde","given":"O.","non-dropping-particle":"","parse-names":false,"suffix":""},{"dropping-particle":"","family":"Ongbali","given":"S. O.","non-dropping-particle":"","parse-names":false,"suffix":""},{"dropping-particle":"","family":"Fayomi","given":"O. S.I.","non-dropping-particle":"","parse-names":false,"suffix":""},{"dropping-particle":"","family":"Agu","given":"F. A.","non-dropping-particle":"","parse-names":false,"suffix":""}],"container-title":"Energy Procedia","id":"ITEM-1","issued":{"date-parts":[["2019"]]},"page":"1475-1485","publisher":"Elsevier Ltd","title":"Study of Nigeria geothermal energy resources’ viability, brief production techniques and transportation","type":"paper-conference","volume":"157"},"uris":["http://www.mendeley.com/documents/?uuid=9e6d3433-3d91-389c-904f-ea5bf721a944"]}],"mendeley":{"formattedCitation":"(Okolie et al., 2019)","plainTextFormattedCitation":"(Okolie et al., 2019)","previouslyFormattedCitation":"(Okolie et al., 2019)"},"properties":{"noteIndex":0},"schema":"https://github.com/citation-style-language/schema/raw/master/csl-citation.json"}</w:instrText>
      </w:r>
      <w:r w:rsidRPr="006350F8">
        <w:rPr>
          <w:lang w:val="en-US"/>
        </w:rPr>
        <w:fldChar w:fldCharType="separate"/>
      </w:r>
      <w:r w:rsidR="00A97D34" w:rsidRPr="00A97D34">
        <w:rPr>
          <w:noProof/>
          <w:lang w:val="en-US"/>
        </w:rPr>
        <w:t>(Okolie et al., 2019)</w:t>
      </w:r>
      <w:r w:rsidRPr="006350F8">
        <w:rPr>
          <w:lang w:val="en-US"/>
        </w:rPr>
        <w:fldChar w:fldCharType="end"/>
      </w:r>
      <w:r w:rsidRPr="006350F8">
        <w:rPr>
          <w:lang w:val="en-US"/>
        </w:rPr>
        <w:t xml:space="preserve">, </w:t>
      </w:r>
      <w:r w:rsidR="00542B6A">
        <w:rPr>
          <w:lang w:val="en-US"/>
        </w:rPr>
        <w:t>subject to seasonal variations, such as biomass and hydro,</w:t>
      </w:r>
      <w:r w:rsidRPr="006350F8">
        <w:rPr>
          <w:lang w:val="en-US"/>
        </w:rPr>
        <w:t xml:space="preserve"> </w:t>
      </w:r>
      <w:r w:rsidRPr="006350F8">
        <w:rPr>
          <w:lang w:val="en-US"/>
        </w:rPr>
        <w:fldChar w:fldCharType="begin" w:fldLock="1"/>
      </w:r>
      <w:r w:rsidR="008E6BA7">
        <w:rPr>
          <w:lang w:val="en-US"/>
        </w:rPr>
        <w:instrText>ADDIN CSL_CITATION {"citationItems":[{"id":"ITEM-1","itemData":{"DOI":"10.1016/j.rser.2017.06.055","ISSN":"18790690","abstract":"Despite its vast natural resources, African is facing serious challenges in sustainable development in an energy sector, if addressed with dispatch could not only check its indispensable needs, but also mitigate some global phenomenon at stake, such as desertification, environmental degradation and green house emission. This paper reviews the prospects of four major renewable energy sources-hydro, solar, wind and biomass- for each of the three leading countries in Africa namely South Africa, Egypt and Nigeria. Based on literature survey of energy efficiency, all the three countries encourage energy efficiency in varying degrees. In the course of this review, several national energy policy frameworks of these countries were looked into, especially on how African countries could overcome the persistent energy crisis in the continent by utilizing the naturally gifted renewable energy sources. This could only be achievable if proper technology, awareness and skills for harnessing the resources are provided. Also lingering energy challenges such as energy efficiency measures, needs for grid extension, energy storage technology and seasonal variation were carefully highlighted.","author":[{"dropping-particle":"","family":"Aliyu","given":"Abubakar Kabir","non-dropping-particle":"","parse-names":false,"suffix":""},{"dropping-particle":"","family":"Modu","given":"Babangida","non-dropping-particle":"","parse-names":false,"suffix":""},{"dropping-particle":"","family":"Tan","given":"Chee Wei","non-dropping-particle":"","parse-names":false,"suffix":""}],"container-title":"Renewable and Sustainable Energy Reviews","id":"ITEM-1","issue":"February 2016","issued":{"date-parts":[["2018","1","1"]]},"page":"2502-2518","publisher":"Elsevier Ltd","title":"A review of renewable energy development in Africa: A focus in South Africa, Egypt and Nigeria","type":"article-journal","volume":"81"},"uris":["http://www.mendeley.com/documents/?uuid=cce1e192-de3f-4aaa-9a0c-4bd658300353"]}],"mendeley":{"formattedCitation":"(A. K. Aliyu et al., 2018)","plainTextFormattedCitation":"(A. K. Aliyu et al., 2018)","previouslyFormattedCitation":"(A. K. Aliyu et al., 2018)"},"properties":{"noteIndex":0},"schema":"https://github.com/citation-style-language/schema/raw/master/csl-citation.json"}</w:instrText>
      </w:r>
      <w:r w:rsidRPr="006350F8">
        <w:rPr>
          <w:lang w:val="en-US"/>
        </w:rPr>
        <w:fldChar w:fldCharType="separate"/>
      </w:r>
      <w:r w:rsidR="00A97D34" w:rsidRPr="00A97D34">
        <w:rPr>
          <w:noProof/>
          <w:lang w:val="en-US"/>
        </w:rPr>
        <w:t>(A. K. Aliyu et al., 2018)</w:t>
      </w:r>
      <w:r w:rsidRPr="006350F8">
        <w:rPr>
          <w:lang w:val="en-US"/>
        </w:rPr>
        <w:fldChar w:fldCharType="end"/>
      </w:r>
      <w:r w:rsidRPr="006350F8">
        <w:rPr>
          <w:lang w:val="en-US"/>
        </w:rPr>
        <w:t xml:space="preserve"> or sp</w:t>
      </w:r>
      <w:r w:rsidR="00542B6A">
        <w:rPr>
          <w:lang w:val="en-US"/>
        </w:rPr>
        <w:t xml:space="preserve">read thinly across a wide area </w:t>
      </w:r>
      <w:r w:rsidRPr="006350F8">
        <w:rPr>
          <w:lang w:val="en-US"/>
        </w:rPr>
        <w:t>a</w:t>
      </w:r>
      <w:r w:rsidR="00542B6A">
        <w:rPr>
          <w:lang w:val="en-US"/>
        </w:rPr>
        <w:t xml:space="preserve">s in the case of wind and solar </w:t>
      </w:r>
      <w:r w:rsidRPr="006350F8">
        <w:rPr>
          <w:lang w:val="en-US"/>
        </w:rPr>
        <w:fldChar w:fldCharType="begin" w:fldLock="1"/>
      </w:r>
      <w:r w:rsidR="008E6BA7">
        <w:rPr>
          <w:lang w:val="en-US"/>
        </w:rPr>
        <w:instrText>ADDIN CSL_CITATION {"citationItems":[{"id":"ITEM-1","itemData":{"DOI":"10.3390/en10040443","abstract":"Wind energy has seen a tremendous growth for electricity generation worldwide and reached 456 GW by the end of June 2016. According to the World Wind Energy Association, global wind power will reach 500 GW by the end of 2016. Africa is a continent that possesses huge under-utilized wind potentials. Some African countries, e.g., Morocco, Egypt, Tunisia and South Africa, have already adopted wind as an alternative power generation source in their energy mix. Among these countries, South Africa has invested heavily in wind energy with operational wind farms supplying up to 26,000 GWh annually to the national grid. However, two African countries, i.e., Cameroon and Nigeria, have vast potentials, but currently are lagging behind in wind energy development. For Nigeria, there is slow implementation of renewable energy policy, with no visible operational wind farms; while Cameroon does not have any policy plan for wind power. These issues are severely hindering both direct foreign and local investments into the electricity sector. Cameroon and Nigeria have huge wind energy potentials with similar climatic conditions and can benefit greatly from the huge success recorded in South Africa in terms of policy implementation, research, development and technical considerations. Therefore, this paper reviews the wind energy potentials, policies and future renewable energy road-maps in Cameroon and Nigeria and identifies their strength and weakness, as well as providing necessary actions for future improvement that South Africa has already adopted.","author":[{"dropping-particle":"","family":"Mas'Ud","given":"Abdullahi Abubakar","non-dropping-particle":"","parse-names":false,"suffix":""},{"dropping-particle":"","family":"Wirba","given":"Asan Vernyuy","non-dropping-particle":"","parse-names":false,"suffix":""},{"dropping-particle":"","family":"Ardila-Rey","given":"Jorge Alfredo","non-dropping-particle":"","parse-names":false,"suffix":""},{"dropping-particle":"","family":"Albarracín","given":"Ricardo","non-dropping-particle":"","parse-names":false,"suffix":""},{"dropping-particle":"","family":"Muhammad-Sukki","given":"Firdaus","non-dropping-particle":"","parse-names":false,"suffix":""},{"dropping-particle":"","family":"Jaramillo Duque","given":"Álvaro","non-dropping-particle":"","parse-names":false,"suffix":""},{"dropping-particle":"","family":"Bani","given":"Nurul Aini","non-dropping-particle":"","parse-names":false,"suffix":""},{"dropping-particle":"","family":"Munir","given":"Abu Bakar","non-dropping-particle":"","parse-names":false,"suffix":""}],"container-title":"Energies","id":"ITEM-1","issue":"4","issued":{"date-parts":[["2017","3","27"]]},"page":"443","publisher":"MDPI AG","title":"Wind Power Potentials in Cameroon and Nigeria: Lessons from South Africa","type":"article-journal","volume":"10"},"uris":["http://www.mendeley.com/documents/?uuid=ee52be1e-5af0-32fb-a7f0-f04e6d5a4fbd"]}],"mendeley":{"formattedCitation":"(Mas’Ud et al., 2017)","plainTextFormattedCitation":"(Mas’Ud et al., 2017)","previouslyFormattedCitation":"(Mas’Ud et al., 2017)"},"properties":{"noteIndex":0},"schema":"https://github.com/citation-style-language/schema/raw/master/csl-citation.json"}</w:instrText>
      </w:r>
      <w:r w:rsidRPr="006350F8">
        <w:rPr>
          <w:lang w:val="en-US"/>
        </w:rPr>
        <w:fldChar w:fldCharType="separate"/>
      </w:r>
      <w:r w:rsidR="00A97D34" w:rsidRPr="00A97D34">
        <w:rPr>
          <w:noProof/>
          <w:lang w:val="en-US"/>
        </w:rPr>
        <w:t>(Mas’Ud et al., 2017)</w:t>
      </w:r>
      <w:r w:rsidRPr="006350F8">
        <w:rPr>
          <w:lang w:val="en-US"/>
        </w:rPr>
        <w:fldChar w:fldCharType="end"/>
      </w:r>
      <w:r w:rsidRPr="006350F8">
        <w:rPr>
          <w:lang w:val="en-US"/>
        </w:rPr>
        <w:t xml:space="preserve">. To effectively harness these sources of energy, a decentralized approach to </w:t>
      </w:r>
      <w:r w:rsidR="009861F9">
        <w:rPr>
          <w:lang w:val="en-US"/>
        </w:rPr>
        <w:t xml:space="preserve">the </w:t>
      </w:r>
      <w:r w:rsidRPr="006350F8">
        <w:rPr>
          <w:lang w:val="en-US"/>
        </w:rPr>
        <w:t>deployment of the generating units is warranted. In addition, renewable energy has a lower impact on its immediate environment</w:t>
      </w:r>
      <w:r w:rsidR="00542B6A">
        <w:rPr>
          <w:lang w:val="en-US"/>
        </w:rPr>
        <w:t xml:space="preserve"> </w:t>
      </w:r>
      <w:r w:rsidRPr="006350F8">
        <w:rPr>
          <w:lang w:val="en-US"/>
        </w:rPr>
        <w:fldChar w:fldCharType="begin" w:fldLock="1"/>
      </w:r>
      <w:r w:rsidR="008E6BA7">
        <w:rPr>
          <w:lang w:val="en-US"/>
        </w:rPr>
        <w:instrText>ADDIN CSL_CITATION {"citationItems":[{"id":"ITEM-1","itemData":{"DOI":"10.4314/jasem.v23i3.24","ISSN":"1119-8362","abstract":": Sustainable supply of electricity is crucial to comfortable living in homes and attaining economic development in any country. Despite being blessed with enormous green and non-green energy resources, Nigeria has been in a quandary about adequate generation and supply of electricity. The electricity crisis has, over the years, had significant adverse impact on the nation’s socio-economic and technological development as well as standard of living of its citizens. This paper examines the problems in the electricity sector and the energy potential of green energy resources in Nigeria. The study reveals that the major source of electricity generation (natural gas) and mode of electricity transmission (a single national grid) in the country have been and are still being constrained by myriad of challenges, hence, the inability of the power sector to satisfy the electricity yearnings of Nigerians till date. The study also reveals that about 1182.375GWh of energy per day could be obtained from green energy resources in Nigeria and the provision of this quantity of energy through decentralized off-grid energy solutions would significantly increase electricity availability as well as accessibility in the country. DOI:","author":[{"dropping-particle":"","family":"Akhator","given":"P.E.","non-dropping-particle":"","parse-names":false,"suffix":""},{"dropping-particle":"","family":"Obanor","given":"A.I.","non-dropping-particle":"","parse-names":false,"suffix":""},{"dropping-particle":"","family":"Sadjere","given":"E.G.","non-dropping-particle":"","parse-names":false,"suffix":""}],"container-title":"Journal of Applied Sciences and Environmental Management","id":"ITEM-1","issue":"3","issued":{"date-parts":[["2019","4","10"]]},"page":"527-537","publisher":"African Journals Online (AJOL)","title":"Electricity situation and potential development in Nigeria using off-grid green energy solutions","type":"article-journal","volume":"23"},"uris":["http://www.mendeley.com/documents/?uuid=6c639ef4-04d8-431b-b93a-3447a9ab8110"]}],"mendeley":{"formattedCitation":"(Akhator et al., 2019)","plainTextFormattedCitation":"(Akhator et al., 2019)","previouslyFormattedCitation":"(Akhator et al., 2019)"},"properties":{"noteIndex":0},"schema":"https://github.com/citation-style-language/schema/raw/master/csl-citation.json"}</w:instrText>
      </w:r>
      <w:r w:rsidRPr="006350F8">
        <w:rPr>
          <w:lang w:val="en-US"/>
        </w:rPr>
        <w:fldChar w:fldCharType="separate"/>
      </w:r>
      <w:r w:rsidR="00A97D34" w:rsidRPr="00A97D34">
        <w:rPr>
          <w:noProof/>
          <w:lang w:val="en-US"/>
        </w:rPr>
        <w:t>(Akhator et al., 2019)</w:t>
      </w:r>
      <w:r w:rsidRPr="006350F8">
        <w:rPr>
          <w:lang w:val="en-US"/>
        </w:rPr>
        <w:fldChar w:fldCharType="end"/>
      </w:r>
      <w:r w:rsidRPr="006350F8">
        <w:rPr>
          <w:lang w:val="en-US"/>
        </w:rPr>
        <w:t>. Furthermore, the cost of renewable energy equipment has been falling, to the point where it has achieved a significant level of market competitiveness</w:t>
      </w:r>
      <w:r w:rsidR="006326A4">
        <w:rPr>
          <w:lang w:val="en-US"/>
        </w:rPr>
        <w:t xml:space="preserve"> </w:t>
      </w:r>
      <w:r w:rsidRPr="006350F8">
        <w:rPr>
          <w:lang w:val="en-US"/>
        </w:rPr>
        <w:fldChar w:fldCharType="begin" w:fldLock="1"/>
      </w:r>
      <w:r w:rsidR="008E6BA7">
        <w:rPr>
          <w:lang w:val="en-US"/>
        </w:rPr>
        <w:instrText>ADDIN CSL_CITATION {"citationItems":[{"id":"ITEM-1","itemData":{"DOI":"10.1016/B978-0-12-800240-7.00020-5","ISBN":"9780128003800","abstract":"This chapter examines how microgrids may affect organized wholesale electricity markets. Two different scenarios are explored. In the first scenario, referred to as \"incremental changes,\" regional transmission organization/independent system operators (RTOs/ISOs) continue and even expand their central role in administering electricity markets, operating the power system, and planning transmission. They develop new wholesale electricity products to address the intermittency of wind and solar resources, extend their dispatch and unit commitment to include retail supply and demand resources, and increase the numbers of their membership. In the contrasting scenario, \"decentralization dominates,\" RTOs/ISOs are relegated to a minimalist grid operator, balancing, when needed, numerous microgrids that infrequently, if at all, rely upon a centralized power system. Implications from these opposing scenarios are discussed.","author":[{"dropping-particle":"","family":"Felder","given":"Frank A.","non-dropping-particle":"","parse-names":false,"suffix":""}],"container-title":"Distributed Generation and its Implications for the Utility Industry","id":"ITEM-1","issued":{"date-parts":[["2014"]]},"page":"399-415","publisher":"Elsevier Inc.","title":"What Future for the Grid Operator?","type":"chapter"},"uris":["http://www.mendeley.com/documents/?uuid=16154bb7-39f5-44ec-ab13-f12b171a00ca"]}],"mendeley":{"formattedCitation":"(Felder, 2014)","plainTextFormattedCitation":"(Felder, 2014)","previouslyFormattedCitation":"(Felder, 2014)"},"properties":{"noteIndex":0},"schema":"https://github.com/citation-style-language/schema/raw/master/csl-citation.json"}</w:instrText>
      </w:r>
      <w:r w:rsidRPr="006350F8">
        <w:rPr>
          <w:lang w:val="en-US"/>
        </w:rPr>
        <w:fldChar w:fldCharType="separate"/>
      </w:r>
      <w:r w:rsidR="00A97D34" w:rsidRPr="00A97D34">
        <w:rPr>
          <w:noProof/>
          <w:lang w:val="en-US"/>
        </w:rPr>
        <w:t>(Felder, 2014)</w:t>
      </w:r>
      <w:r w:rsidRPr="006350F8">
        <w:rPr>
          <w:lang w:val="en-US"/>
        </w:rPr>
        <w:fldChar w:fldCharType="end"/>
      </w:r>
      <w:r w:rsidRPr="006350F8">
        <w:rPr>
          <w:lang w:val="en-US"/>
        </w:rPr>
        <w:t>.</w:t>
      </w:r>
    </w:p>
    <w:p w14:paraId="2503DDDB" w14:textId="7A0B0AAF" w:rsidR="006350F8" w:rsidRPr="006350F8" w:rsidRDefault="006350F8" w:rsidP="00F03645">
      <w:pPr>
        <w:spacing w:line="480" w:lineRule="auto"/>
        <w:rPr>
          <w:lang w:val="en-US"/>
        </w:rPr>
      </w:pPr>
      <w:r w:rsidRPr="006350F8">
        <w:rPr>
          <w:lang w:val="en-US"/>
        </w:rPr>
        <w:t>As a result of these factors, Distributed Generation (DG), which is a decentralized electricity generation paradigm, emerged and continues to gain favour in the power industry with increased penetration of renewable energy on the world’s grids. Distributed Generation is not limited to renewable energy, as non-renewable energy can also be implemented in DG systems. Conversely, renewable energy is also not limited to DG, as it can be implemented in a centralized or long</w:t>
      </w:r>
      <w:r w:rsidR="000C01F0">
        <w:rPr>
          <w:lang w:val="en-US"/>
        </w:rPr>
        <w:t xml:space="preserve">-distance fashion </w:t>
      </w:r>
      <w:r w:rsidRPr="006350F8">
        <w:rPr>
          <w:lang w:val="en-US"/>
        </w:rPr>
        <w:t xml:space="preserve">such as </w:t>
      </w:r>
      <w:r w:rsidR="009861F9">
        <w:rPr>
          <w:lang w:val="en-US"/>
        </w:rPr>
        <w:t xml:space="preserve">in </w:t>
      </w:r>
      <w:r w:rsidRPr="006350F8">
        <w:rPr>
          <w:lang w:val="en-US"/>
        </w:rPr>
        <w:t>the large impoundment-type hydroelectric dams which the wo</w:t>
      </w:r>
      <w:r w:rsidR="000C01F0">
        <w:rPr>
          <w:lang w:val="en-US"/>
        </w:rPr>
        <w:t xml:space="preserve">rld has already had for decades </w:t>
      </w:r>
      <w:r w:rsidRPr="006350F8">
        <w:rPr>
          <w:lang w:val="en-US"/>
        </w:rPr>
        <w:fldChar w:fldCharType="begin" w:fldLock="1"/>
      </w:r>
      <w:r w:rsidR="008E6BA7">
        <w:rPr>
          <w:lang w:val="en-US"/>
        </w:rPr>
        <w:instrText>ADDIN CSL_CITATION {"citationItems":[{"id":"ITEM-1","itemData":{"DOI":"10.1016/B978-0-12-820491-7.01001-X","ISBN":"9780128204917","author":[{"dropping-particle":"","family":"Zobaa","given":"Ahmed F","non-dropping-particle":"","parse-names":false,"suffix":""},{"dropping-particle":"","family":"Aleem","given":"Shady H E Abdel","non-dropping-particle":"","parse-names":false,"suffix":""}],"id":"ITEM-1","issued":{"date-parts":[["2021"]]},"publisher":"Academic Press","publisher-place":"London","title":"Uncertainties in Modern Power Systems","type":"book"},"uris":["http://www.mendeley.com/documents/?uuid=34f6a0c0-9759-47b0-98f7-69df1648ef4c"]}],"mendeley":{"formattedCitation":"(Zobaa &amp; Aleem, 2021)","plainTextFormattedCitation":"(Zobaa &amp; Aleem, 2021)","previouslyFormattedCitation":"(Zobaa &amp; Aleem, 2021)"},"properties":{"noteIndex":0},"schema":"https://github.com/citation-style-language/schema/raw/master/csl-citation.json"}</w:instrText>
      </w:r>
      <w:r w:rsidRPr="006350F8">
        <w:rPr>
          <w:lang w:val="en-US"/>
        </w:rPr>
        <w:fldChar w:fldCharType="separate"/>
      </w:r>
      <w:r w:rsidR="00A97D34" w:rsidRPr="00A97D34">
        <w:rPr>
          <w:noProof/>
          <w:lang w:val="en-US"/>
        </w:rPr>
        <w:t>(Zobaa &amp; Aleem, 2021)</w:t>
      </w:r>
      <w:r w:rsidRPr="006350F8">
        <w:rPr>
          <w:lang w:val="en-US"/>
        </w:rPr>
        <w:fldChar w:fldCharType="end"/>
      </w:r>
      <w:r w:rsidRPr="006350F8">
        <w:rPr>
          <w:lang w:val="en-US"/>
        </w:rPr>
        <w:t>. However, it so happens that renewable energy is high</w:t>
      </w:r>
      <w:r w:rsidR="006326A4">
        <w:rPr>
          <w:lang w:val="en-US"/>
        </w:rPr>
        <w:t>ly amenable to implement</w:t>
      </w:r>
      <w:r w:rsidR="009861F9">
        <w:rPr>
          <w:lang w:val="en-US"/>
        </w:rPr>
        <w:t>ation</w:t>
      </w:r>
      <w:r w:rsidR="006326A4">
        <w:rPr>
          <w:lang w:val="en-US"/>
        </w:rPr>
        <w:t xml:space="preserve"> in </w:t>
      </w:r>
      <w:r w:rsidRPr="006350F8">
        <w:rPr>
          <w:lang w:val="en-US"/>
        </w:rPr>
        <w:t>DG-type systems.</w:t>
      </w:r>
    </w:p>
    <w:p w14:paraId="2062D0A9" w14:textId="517BAF07" w:rsidR="006350F8" w:rsidRPr="006350F8" w:rsidRDefault="006350F8" w:rsidP="00F03645">
      <w:pPr>
        <w:spacing w:line="480" w:lineRule="auto"/>
        <w:rPr>
          <w:lang w:val="en-US"/>
        </w:rPr>
      </w:pPr>
      <w:r w:rsidRPr="006350F8">
        <w:rPr>
          <w:lang w:val="en-US"/>
        </w:rPr>
        <w:t xml:space="preserve">Distributed generation can be defined as the integration of small-scale generating units, which may be renewable or non-renewable, into a conventional distribution system so that they can supply electrical power at or in proximity to the consumer load points </w:t>
      </w:r>
      <w:r w:rsidRPr="006350F8">
        <w:rPr>
          <w:lang w:val="en-US"/>
        </w:rPr>
        <w:fldChar w:fldCharType="begin" w:fldLock="1"/>
      </w:r>
      <w:r w:rsidR="008E6BA7">
        <w:rPr>
          <w:lang w:val="en-US"/>
        </w:rPr>
        <w:instrText>ADDIN CSL_CITATION {"citationItems":[{"id":"ITEM-1","itemData":{"DOI":"10.1007/978-3-319-51343-0","ISBN":"9783319513423","abstract":"This book features extensive coverage of all Distributed Energy Generation technologies, highlighting the technical, environmental and economic aspects of distributed resource integration, such as line loss reduction, protection, control, storage, power electronics, reliability improvement, and voltage profile optimization. It explains how electric power system planners, developers, operators, designers, regulators and policy makers can derive many benefits with increased penetration of distributed generation units into smart distribution networks. It further demonstrates how to best realize these benefits via skillful integration of distributed energy sources, based upon an understanding of the characteristics of loads and network configuration.","author":[{"dropping-particle":"","family":"Bansal","given":"Ramesh","non-dropping-particle":"","parse-names":false,"suffix":""}],"container-title":"Handbook of Distributed Generation","id":"ITEM-1","issued":{"date-parts":[["2017"]]},"title":"Handbook of Distributed Generation","type":"book"},"uris":["http://www.mendeley.com/documents/?uuid=f431509b-e0b3-4490-a9de-21c8689662ed"]}],"mendeley":{"formattedCitation":"(Bansal, 2017)","plainTextFormattedCitation":"(Bansal, 2017)","previouslyFormattedCitation":"(Bansal, 2017)"},"properties":{"noteIndex":0},"schema":"https://github.com/citation-style-language/schema/raw/master/csl-citation.json"}</w:instrText>
      </w:r>
      <w:r w:rsidRPr="006350F8">
        <w:rPr>
          <w:lang w:val="en-US"/>
        </w:rPr>
        <w:fldChar w:fldCharType="separate"/>
      </w:r>
      <w:r w:rsidR="00A97D34" w:rsidRPr="00A97D34">
        <w:rPr>
          <w:noProof/>
          <w:lang w:val="en-US"/>
        </w:rPr>
        <w:t>(Bansal, 2017)</w:t>
      </w:r>
      <w:r w:rsidRPr="006350F8">
        <w:rPr>
          <w:lang w:val="en-US"/>
        </w:rPr>
        <w:fldChar w:fldCharType="end"/>
      </w:r>
      <w:r w:rsidRPr="006350F8">
        <w:rPr>
          <w:lang w:val="en-US"/>
        </w:rPr>
        <w:t>. In essence, the long-transmission lines are bypassed: generation, by small-scale units, and consumption, by the load, occur</w:t>
      </w:r>
      <w:r w:rsidR="009861F9">
        <w:rPr>
          <w:lang w:val="en-US"/>
        </w:rPr>
        <w:t>s</w:t>
      </w:r>
      <w:r w:rsidRPr="006350F8">
        <w:rPr>
          <w:lang w:val="en-US"/>
        </w:rPr>
        <w:t xml:space="preserve"> on the distribution network. This defies the traditional tripartite structure of the power system: generation, transmission, and distribution networks. Because renewable energy can usually be generated close to the site of usage and with a spread of small-scale units, it is frequently harnessed in DG systems. Figure </w:t>
      </w:r>
      <w:r w:rsidR="00F20C9C">
        <w:rPr>
          <w:lang w:val="en-US"/>
        </w:rPr>
        <w:t>2.</w:t>
      </w:r>
      <w:r w:rsidRPr="006350F8">
        <w:rPr>
          <w:lang w:val="en-US"/>
        </w:rPr>
        <w:t>1 shows the difference between Distributed Generation and Centralized Generation paradigms.</w:t>
      </w:r>
    </w:p>
    <w:p w14:paraId="09EB9C6B" w14:textId="7F359C9B" w:rsidR="006350F8" w:rsidRPr="006350F8" w:rsidRDefault="001718B4" w:rsidP="00F03645">
      <w:pPr>
        <w:spacing w:line="480" w:lineRule="auto"/>
      </w:pPr>
      <w:r>
        <w:rPr>
          <w:noProof/>
          <w:lang w:val="en-US"/>
        </w:rPr>
        <w:drawing>
          <wp:inline distT="0" distB="0" distL="0" distR="0" wp14:anchorId="46C5E011" wp14:editId="63A490A7">
            <wp:extent cx="5486400" cy="31610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ehsan2018-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161030"/>
                    </a:xfrm>
                    <a:prstGeom prst="rect">
                      <a:avLst/>
                    </a:prstGeom>
                  </pic:spPr>
                </pic:pic>
              </a:graphicData>
            </a:graphic>
          </wp:inline>
        </w:drawing>
      </w:r>
    </w:p>
    <w:p w14:paraId="2EDC711D" w14:textId="3C58A57C" w:rsidR="006350F8" w:rsidRPr="007A1E2D" w:rsidRDefault="006350F8" w:rsidP="00F03645">
      <w:pPr>
        <w:spacing w:line="480" w:lineRule="auto"/>
        <w:jc w:val="center"/>
        <w:rPr>
          <w:b/>
          <w:iCs/>
          <w:sz w:val="20"/>
          <w:szCs w:val="20"/>
          <w:lang w:val="en-US"/>
        </w:rPr>
      </w:pPr>
      <w:r w:rsidRPr="007A1E2D">
        <w:rPr>
          <w:b/>
          <w:iCs/>
          <w:sz w:val="20"/>
          <w:szCs w:val="20"/>
        </w:rPr>
        <w:t xml:space="preserve">Figure </w:t>
      </w:r>
      <w:r w:rsidR="009347E2">
        <w:rPr>
          <w:b/>
          <w:iCs/>
          <w:sz w:val="20"/>
          <w:szCs w:val="20"/>
        </w:rPr>
        <w:t>2</w:t>
      </w:r>
      <w:r w:rsidR="002F1F6C">
        <w:rPr>
          <w:b/>
          <w:iCs/>
          <w:sz w:val="20"/>
          <w:szCs w:val="20"/>
        </w:rPr>
        <w:t>.</w:t>
      </w:r>
      <w:r w:rsidRPr="007A1E2D">
        <w:rPr>
          <w:b/>
          <w:iCs/>
          <w:sz w:val="20"/>
          <w:szCs w:val="20"/>
        </w:rPr>
        <w:fldChar w:fldCharType="begin"/>
      </w:r>
      <w:r w:rsidRPr="007A1E2D">
        <w:rPr>
          <w:b/>
          <w:iCs/>
          <w:sz w:val="20"/>
          <w:szCs w:val="20"/>
        </w:rPr>
        <w:instrText xml:space="preserve"> SEQ Figure \* ARABIC </w:instrText>
      </w:r>
      <w:r w:rsidRPr="007A1E2D">
        <w:rPr>
          <w:b/>
          <w:iCs/>
          <w:sz w:val="20"/>
          <w:szCs w:val="20"/>
        </w:rPr>
        <w:fldChar w:fldCharType="separate"/>
      </w:r>
      <w:r w:rsidR="00391266">
        <w:rPr>
          <w:b/>
          <w:iCs/>
          <w:noProof/>
          <w:sz w:val="20"/>
          <w:szCs w:val="20"/>
        </w:rPr>
        <w:t>1</w:t>
      </w:r>
      <w:r w:rsidRPr="007A1E2D">
        <w:rPr>
          <w:sz w:val="20"/>
          <w:szCs w:val="20"/>
          <w:lang w:val="en-US"/>
        </w:rPr>
        <w:fldChar w:fldCharType="end"/>
      </w:r>
      <w:r w:rsidRPr="007A1E2D">
        <w:rPr>
          <w:b/>
          <w:iCs/>
          <w:sz w:val="20"/>
          <w:szCs w:val="20"/>
        </w:rPr>
        <w:t xml:space="preserve"> - Cent</w:t>
      </w:r>
      <w:r w:rsidR="00D2712E">
        <w:rPr>
          <w:b/>
          <w:iCs/>
          <w:sz w:val="20"/>
          <w:szCs w:val="20"/>
        </w:rPr>
        <w:t>ralised Generation visually con</w:t>
      </w:r>
      <w:r w:rsidRPr="007A1E2D">
        <w:rPr>
          <w:b/>
          <w:iCs/>
          <w:sz w:val="20"/>
          <w:szCs w:val="20"/>
        </w:rPr>
        <w:t>trasted with DG</w:t>
      </w:r>
      <w:r w:rsidRPr="007A1E2D">
        <w:rPr>
          <w:b/>
          <w:iCs/>
          <w:sz w:val="20"/>
          <w:szCs w:val="20"/>
        </w:rPr>
        <w:fldChar w:fldCharType="begin" w:fldLock="1"/>
      </w:r>
      <w:r w:rsidR="008E6BA7">
        <w:rPr>
          <w:b/>
          <w:iCs/>
          <w:sz w:val="20"/>
          <w:szCs w:val="20"/>
        </w:rPr>
        <w:instrText>ADDIN CSL_CITATION {"citationItems":[{"id":"ITEM-1","itemData":{"DOI":"https://doi.org/10.1016/j.apenergy.2017.10.106","ISSN":"0306-2619","abstract":"The rapid development of distributed generation in different forms and capacities is transforming the conventional planning of distribution networks. Despite the benefits offered by renewable distributed generation technologies, several economic and technical challenges can result from the inappropriate integration of distributed generation in existing distribution networks. Therefore, the optimal planning of distributed generation is of paramount importance to ensure that the performance of distribution network can meet the expected power quality, voltage stability, power loss reduction, reliability and profitability. In this paper, we firstly discuss several conventional and metaheuristic methodologies to address the optimal distributed generation planning problem. Metaheuristic algorithms are often used as they offer more flexibility, particularly for multi-objective planning problems without the pursuit of globally optimized solution. Analytical techniques are considered suitable for modeling power system mechanisms and validating numerical methods. Then, this paper conducts a comprehensive review and critical discussion of state-of-the-art analytical techniques for optimal planning of renewable distributed generation. The analytical techniques are discussed in detail in six categories, i.e. exact loss formula, loss sensitivity factor, branch current loss formula, branch power flow loss formula, equivalent current injection and phasor feeder current injection. In addition, a comparative analysis of analytical techniques is presented to show their suitability for distributed generation planning in terms of various optimization criteria. Finally, we present conclusive remarks along with a set of recommendations and future challenges for optimal planning of distributed generation in modern power distribution networks.","author":[{"dropping-particle":"","family":"Ehsan","given":"Ali","non-dropping-particle":"","parse-names":false,"suffix":""},{"dropping-particle":"","family":"Yang","given":"Qiang","non-dropping-particle":"","parse-names":false,"suffix":""}],"container-title":"Applied Energy","id":"ITEM-1","issued":{"date-parts":[["2018"]]},"page":"44-59","title":"Optimal integration and planning of renewable distributed generation in the power distribution networks: A review of analytical techniques","type":"article-journal","volume":"210"},"uris":["http://www.mendeley.com/documents/?uuid=4b9a463c-a901-4375-9b33-c015af0ede64"]}],"mendeley":{"formattedCitation":"(Ehsan &amp; Yang, 2018)","plainTextFormattedCitation":"(Ehsan &amp; Yang, 2018)","previouslyFormattedCitation":"(Ehsan &amp; Yang, 2018)"},"properties":{"noteIndex":0},"schema":"https://github.com/citation-style-language/schema/raw/master/csl-citation.json"}</w:instrText>
      </w:r>
      <w:r w:rsidRPr="007A1E2D">
        <w:rPr>
          <w:b/>
          <w:iCs/>
          <w:sz w:val="20"/>
          <w:szCs w:val="20"/>
        </w:rPr>
        <w:fldChar w:fldCharType="separate"/>
      </w:r>
      <w:r w:rsidR="00A97D34" w:rsidRPr="00542B6A">
        <w:rPr>
          <w:b/>
          <w:iCs/>
          <w:noProof/>
          <w:sz w:val="20"/>
          <w:szCs w:val="20"/>
        </w:rPr>
        <w:t>(Ehsan &amp; Yang, 2018</w:t>
      </w:r>
      <w:r w:rsidR="00A97D34" w:rsidRPr="00A97D34">
        <w:rPr>
          <w:iCs/>
          <w:noProof/>
          <w:sz w:val="20"/>
          <w:szCs w:val="20"/>
        </w:rPr>
        <w:t>)</w:t>
      </w:r>
      <w:r w:rsidRPr="007A1E2D">
        <w:rPr>
          <w:sz w:val="20"/>
          <w:szCs w:val="20"/>
          <w:lang w:val="en-US"/>
        </w:rPr>
        <w:fldChar w:fldCharType="end"/>
      </w:r>
      <w:r w:rsidR="00542B6A">
        <w:rPr>
          <w:sz w:val="20"/>
          <w:szCs w:val="20"/>
          <w:lang w:val="en-US"/>
        </w:rPr>
        <w:t>.</w:t>
      </w:r>
    </w:p>
    <w:p w14:paraId="59EC40DF" w14:textId="1FBF54FF" w:rsidR="006350F8" w:rsidRPr="006350F8" w:rsidRDefault="006350F8" w:rsidP="00F03645">
      <w:pPr>
        <w:spacing w:line="480" w:lineRule="auto"/>
        <w:rPr>
          <w:lang w:val="en-US"/>
        </w:rPr>
      </w:pPr>
      <w:r w:rsidRPr="006350F8">
        <w:rPr>
          <w:lang w:val="en-US"/>
        </w:rPr>
        <w:t xml:space="preserve">A wide variety of renewable and non-renewable technologies are used in DG systems such as gas-fired reciprocating engines, diesel-fired reciprocating engines, gas turbines, wind energy conversion systems/turbines, solar photovoltaic systems/arrays, mini- and micro-hydro, biomass-fired turbines/engines, and fuel-cells </w:t>
      </w:r>
      <w:r w:rsidRPr="006350F8">
        <w:rPr>
          <w:lang w:val="en-US"/>
        </w:rPr>
        <w:fldChar w:fldCharType="begin" w:fldLock="1"/>
      </w:r>
      <w:r w:rsidR="008E6BA7">
        <w:rPr>
          <w:lang w:val="en-US"/>
        </w:rPr>
        <w:instrText>ADDIN CSL_CITATION {"citationItems":[{"id":"ITEM-1","itemData":{"DOI":"https://doi.org/10.1016/j.joei.2020.07.001","ISSN":"1743-9671","abstract":"The access to electricity has increased worldwide, growing from 60 million additional consumers per year in 2000–2012 to 100 million per year in 2012–2016. Despite this growth, approximately 675 million people will still lack access to electricity in 2030, indicating that electricity demand will continue to increase. Unfortunately, traditional large fossil power technologies based on coal, oil and natural gas lead to a major concern in tackling worldwide carbon dioxide emissions, and nuclear power remains unpopular due to public safety concerns. Distributed power generation utilizing CO2-neutral sources, such as gasification of biomass and municipal solid wastes (MSW), can play an important role in meeting the world energy demand in a sustainable way. This review focuses on the recent technology developments on seven power generation technologies (i.e. internal combustion engine, gas turbine, micro gas turbine, steam turbine, Stirling engine, organic rankine cycle generator, and fuel cell) suitable for distributed power applications with capability of independent operation using syngas derived from gasification of biomass and MSW. Technology selection guidelines is discussed based on criteria, including hardware modification required, size inflexibility, sensitivity to syngas contaminants, operational uncertainty, efficiency, lifetime, fast ramp up/down capability, controls and capital cost. Major challenges facing further development and commercialization of these power generation technologies are discussed.","author":[{"dropping-particle":"","family":"Indrawan","given":"Natarianto","non-dropping-particle":"","parse-names":false,"suffix":""},{"dropping-particle":"","family":"Kumar","given":"Ajay","non-dropping-particle":"","parse-names":false,"suffix":""},{"dropping-particle":"","family":"Moliere","given":"Michel","non-dropping-particle":"","parse-names":false,"suffix":""},{"dropping-particle":"","family":"Sallam","given":"Khaled A.","non-dropping-particle":"","parse-names":false,"suffix":""},{"dropping-particle":"","family":"Huhnke","given":"Raymond L.","non-dropping-particle":"","parse-names":false,"suffix":""}],"container-title":"Journal of the Energy Institute","id":"ITEM-1","issue":"6","issued":{"date-parts":[["2020"]]},"page":"2293-2313","publisher":"Elsevier Ltd","title":"Distributed power generation via gasification of biomass and municipal solid waste: A review","type":"article-journal","volume":"93"},"uris":["http://www.mendeley.com/documents/?uuid=f5a1e750-064d-4b97-8ee1-2b3cdc1af303"]}],"mendeley":{"formattedCitation":"(Indrawan et al., 2020)","plainTextFormattedCitation":"(Indrawan et al., 2020)","previouslyFormattedCitation":"(Indrawan et al., 2020)"},"properties":{"noteIndex":0},"schema":"https://github.com/citation-style-language/schema/raw/master/csl-citation.json"}</w:instrText>
      </w:r>
      <w:r w:rsidRPr="006350F8">
        <w:rPr>
          <w:lang w:val="en-US"/>
        </w:rPr>
        <w:fldChar w:fldCharType="separate"/>
      </w:r>
      <w:r w:rsidR="00A97D34" w:rsidRPr="00A97D34">
        <w:rPr>
          <w:noProof/>
          <w:lang w:val="en-US"/>
        </w:rPr>
        <w:t>(Indrawan et al., 2020)</w:t>
      </w:r>
      <w:r w:rsidRPr="006350F8">
        <w:rPr>
          <w:lang w:val="en-US"/>
        </w:rPr>
        <w:fldChar w:fldCharType="end"/>
      </w:r>
      <w:r w:rsidRPr="006350F8">
        <w:rPr>
          <w:lang w:val="en-US"/>
        </w:rPr>
        <w:t xml:space="preserve">. When the more small-scale compatible fossil fuels such as natural gas are used, the heat generated from their combustion is sometimes used in multiple stages: first for electricity generation and then for heating and cooling purposes (using </w:t>
      </w:r>
      <w:r w:rsidR="009861F9">
        <w:rPr>
          <w:lang w:val="en-US"/>
        </w:rPr>
        <w:t xml:space="preserve">the </w:t>
      </w:r>
      <w:r w:rsidRPr="006350F8">
        <w:rPr>
          <w:lang w:val="en-US"/>
        </w:rPr>
        <w:t xml:space="preserve">refrigeration principle in the latter case). This kind of arrangement, known as Combined Heat and Power (CHP) generation enhances overall energy utilization </w:t>
      </w:r>
      <w:r w:rsidRPr="006350F8">
        <w:rPr>
          <w:lang w:val="en-US"/>
        </w:rPr>
        <w:fldChar w:fldCharType="begin" w:fldLock="1"/>
      </w:r>
      <w:r w:rsidR="008E6BA7">
        <w:rPr>
          <w:lang w:val="en-US"/>
        </w:rPr>
        <w:instrText>ADDIN CSL_CITATION {"citationItems":[{"id":"ITEM-1","itemData":{"DOI":"https://doi.org/10.1016/j.energy.2020.119499","ISSN":"0360-5442","abstract":"Integration of heat recovery with proton exchange membrane fuel cell/battery-based hybrid power system, which is also known as a micro-combined heat and power (CHP) system, is a promising method to achieve higher output efficiency. The developed hybrid power system for a micro-CHP is applied to a residential house by supplying electric power and hot water simultaneously. When the fuel cell generates heat and electricity via the oxidation reaction of hydrogen with a working temperature of 70 °C, heat recovery is provided through internal cooling system. Energy management system (EMS) plays a crucial role in obtaining optimal fuel economy and promising the running stability. Optimal Pontryagin minimum principle is used as a real-time EMS by splitting the hybrid power (i.e., power between fuel cell and battery) to realize fuel minimization, battery protection, and hot water supply. Optimal energy management is achieved by considering the external load demand, state charge of a battery, and temperature of the thermal storage system. Simulation model is developed, and real experiments are performed to prove that the EMS can effectuate high efficiency and safe operation of a hybrid power system through optimal power split between fuel cell and battery powers.","author":[{"dropping-particle":"","family":"Ou","given":"Kai","non-dropping-particle":"","parse-names":false,"suffix":""},{"dropping-particle":"","family":"Yuan","given":"Wei-Wei","non-dropping-particle":"","parse-names":false,"suffix":""},{"dropping-particle":"","family":"Kim","given":"Young-Bae","non-dropping-particle":"","parse-names":false,"suffix":""}],"container-title":"Energy","id":"ITEM-1","issued":{"date-parts":[["2021"]]},"page":"119499","title":"Development of optimal energy management for a residential fuel cell hybrid power system with heat recovery","type":"article-journal","volume":"219"},"uris":["http://www.mendeley.com/documents/?uuid=74cee30b-34d5-4215-8350-c64c31b8e794"]}],"mendeley":{"formattedCitation":"(Ou et al., 2021)","plainTextFormattedCitation":"(Ou et al., 2021)","previouslyFormattedCitation":"(Ou et al., 2021)"},"properties":{"noteIndex":0},"schema":"https://github.com/citation-style-language/schema/raw/master/csl-citation.json"}</w:instrText>
      </w:r>
      <w:r w:rsidRPr="006350F8">
        <w:rPr>
          <w:lang w:val="en-US"/>
        </w:rPr>
        <w:fldChar w:fldCharType="separate"/>
      </w:r>
      <w:r w:rsidR="00A97D34" w:rsidRPr="00A97D34">
        <w:rPr>
          <w:noProof/>
          <w:lang w:val="en-US"/>
        </w:rPr>
        <w:t>(Ou et al., 2021)</w:t>
      </w:r>
      <w:r w:rsidRPr="006350F8">
        <w:rPr>
          <w:lang w:val="en-US"/>
        </w:rPr>
        <w:fldChar w:fldCharType="end"/>
      </w:r>
      <w:r w:rsidRPr="006350F8">
        <w:rPr>
          <w:lang w:val="en-US"/>
        </w:rPr>
        <w:t>.</w:t>
      </w:r>
    </w:p>
    <w:p w14:paraId="578194F6" w14:textId="44A1871A" w:rsidR="006350F8" w:rsidRPr="006350F8" w:rsidRDefault="006350F8" w:rsidP="00F03645">
      <w:pPr>
        <w:spacing w:line="480" w:lineRule="auto"/>
        <w:rPr>
          <w:lang w:val="en-US"/>
        </w:rPr>
      </w:pPr>
      <w:r w:rsidRPr="006350F8">
        <w:rPr>
          <w:lang w:val="en-US"/>
        </w:rPr>
        <w:t xml:space="preserve">Distributed generation, when integrated into radial distribution networks, </w:t>
      </w:r>
      <w:r w:rsidR="009861F9">
        <w:rPr>
          <w:lang w:val="en-US"/>
        </w:rPr>
        <w:t>affects</w:t>
      </w:r>
      <w:r w:rsidRPr="006350F8">
        <w:rPr>
          <w:lang w:val="en-US"/>
        </w:rPr>
        <w:t xml:space="preserve"> the power flow, reliability, overall power loss, and the voltage profiles that the end users experience, which are due to the direct injection of real and reactive power into the distribution networks </w:t>
      </w:r>
      <w:r w:rsidRPr="006350F8">
        <w:rPr>
          <w:lang w:val="en-US"/>
        </w:rPr>
        <w:fldChar w:fldCharType="begin" w:fldLock="1"/>
      </w:r>
      <w:r w:rsidR="008E6BA7">
        <w:rPr>
          <w:lang w:val="en-US"/>
        </w:rPr>
        <w:instrText>ADDIN CSL_CITATION {"citationItems":[{"id":"ITEM-1","itemData":{"DOI":"10.1016/J.EGYPRO.2011.12.1044","ISSN":"1876-6102","abstract":"There has been a great interest in integration of distributed generation (DG) units at distribution level in the recent years. DGs can provide cost-effective, environmental friendly, higher power quality and more reliable energy solutions than conventional generation. For maximum power loss reduction, proper sizing and position of distributed generators are ardently necessary. This paper presents a simple method for optimizing cost and optimal placement of generators. A simple vector based load flow technique is implemented on 38 bus distribution systems. This paper presents a new methodology using a new population based meta heuristic approach namely Shuffled frog leaping algorithm for the placement of Distributed Generators (DG) in the radial distribution systems to reduce the real power losses and cost of the DG. The paper also focuses on optimization of weighting factor, which balances the cost and the loss factors and helps to build up desired objectives with maximum potential benefit. The proposed method has outperformed the other methods in terms of the quality of solution and computational efficiency. © 2011 Published by Elsevier Ltd.","author":[{"dropping-particle":"","family":"Yammani","given":"Chandrasekhar","non-dropping-particle":"","parse-names":false,"suffix":""},{"dropping-particle":"","family":"Maheswarapu","given":"Sydulu","non-dropping-particle":"","parse-names":false,"suffix":""},{"dropping-particle":"","family":"Matam","given":"Sailajakumari","non-dropping-particle":"","parse-names":false,"suffix":""}],"container-title":"Energy Procedia","id":"ITEM-1","issued":{"date-parts":[["2012","1","1"]]},"page":"990-995","publisher":"Elsevier","title":"Multiobjective Optimization for Optimal Placement and Size of DG using Shuffled Frog Leaping Algorithm","type":"article-journal","volume":"14"},"uris":["http://www.mendeley.com/documents/?uuid=639bccd2-b8a6-39ce-87a2-687a6a7b3679"]},{"id":"ITEM-2","itemData":{"DOI":"10.1109/SYSCON.2012.6189540","ISBN":"9781467307499","abstract":"Power utilities strive for optimal economic operation of their electric networks while considering the challenges of escalating fuel costs and increasing demand for electricity. The dynamic economic dispatch (DED) occupies a prominent place in a power system's operation and control. It aims to determine the optimal power outputs of on-line generating units in order to meet the load demand subject to satisfying various operational constraints over finite dispatch periods. Similar to most real-world complex engineering optimization problems, the nonlinear and nonconvex characteristics are more prevalent in the DED problem. Therefore, obtaining a truly optimal solution presents a challenge. In this paper, the artificial bee colony (ABC) algorithm - a recently introduced population-based technique - is utilized to solve the DED problem. Integrating a renewable-energy source and analyzing its impact is considered as well. A sample test system with a dispatch period of 24-hour is designated to validate the outcomes. The promising results prove that the ABC algorithm has a great potential to be applied in different electric power system optimization areas. © 2012 IEEE.","author":[{"dropping-particle":"","family":"Abu-Mouti","given":"Fahad S.","non-dropping-particle":"","parse-names":false,"suffix":""},{"dropping-particle":"","family":"El-Hawary","given":"Mohamed E.","non-dropping-particle":"","parse-names":false,"suffix":""}],"container-title":"SysCon 2012 - 2012 IEEE International Systems Conference, Proceedings","id":"ITEM-2","issued":{"date-parts":[["2012"]]},"page":"304-309","title":"Optimal dynamic economic dispatch including renewable energy source using artificial bee colony algorithm","type":"article-journal"},"uris":["http://www.mendeley.com/documents/?uuid=46bc425f-606b-3dd6-b625-3a6d5643c4fa"]},{"id":"ITEM-3","itemData":{"DOI":"10.1016/J.IJEPES.2013.02.023","ISSN":"0142-0615","abstract":"In this paper, a method which employs a Modified Teaching-Learning Based Optimization (MTLBO) algorithm is proposed to determine the optimal placement and size of Distributed Generation (DG) units in distribution systems. For the sake of clarity, and without loss of generality, the objective function considered is to minimize total electrical power losses, although the problem can be easily configured as multi-objective (other objective functions can be considered at the same time), where the optimal location of DG systems, along with their sizes, are simultaneously obtained. The optimal DG site and size problem is modeled as a mixed integer nonlinear programming problem. Evolutionary methods are used by researchers to solve this problem because of their independence from type of the objective function and constraints. Recently, a new evolutionary method called Teaching-Learning Based Optimization (TLBO) algorithm has been presented, which is modified and used in this paper to find the best sites to connect DG systems in a distribution network, choosing among a large number of potential combinations. A comparison between the proposed algorithm and a brute force method is performed. Besides this, it has also been carried out a comparison using several results available in other articles published by others authors. Numerical results for two test distribution systems have been presented in order to show the effectiveness of the proposed approach. © 2013 Elsevier Ltd. All rights reserved.","author":[{"dropping-particle":"","family":"Martín García","given":"Juan Andrés","non-dropping-particle":"","parse-names":false,"suffix":""},{"dropping-particle":"","family":"Gil Mena","given":"Antonio José","non-dropping-particle":"","parse-names":false,"suffix":""}],"container-title":"International Journal of Electrical Power &amp; Energy Systems","id":"ITEM-3","issue":"1","issued":{"date-parts":[["2013","9","1"]]},"page":"65-75","publisher":"Elsevier","title":"Optimal distributed generation location and size using a modified teaching–learning based optimization algorithm","type":"article-journal","volume":"50"},"uris":["http://www.mendeley.com/documents/?uuid=abe89e0f-2977-3f74-92b9-aafda71fbec2"]}],"mendeley":{"formattedCitation":"(Abu-Mouti &amp; El-Hawary, 2012; Martín García &amp; Gil Mena, 2013; Yammani et al., 2012)","plainTextFormattedCitation":"(Abu-Mouti &amp; El-Hawary, 2012; Martín García &amp; Gil Mena, 2013; Yammani et al., 2012)","previouslyFormattedCitation":"(Abu-Mouti &amp; El-Hawary, 2012; Martín García &amp; Gil Mena, 2013; Yammani et al., 2012)"},"properties":{"noteIndex":0},"schema":"https://github.com/citation-style-language/schema/raw/master/csl-citation.json"}</w:instrText>
      </w:r>
      <w:r w:rsidRPr="006350F8">
        <w:rPr>
          <w:lang w:val="en-US"/>
        </w:rPr>
        <w:fldChar w:fldCharType="separate"/>
      </w:r>
      <w:r w:rsidR="00A97D34" w:rsidRPr="00A97D34">
        <w:rPr>
          <w:noProof/>
          <w:lang w:val="en-US"/>
        </w:rPr>
        <w:t>(Abu-Mouti &amp; El-Hawary, 2012; Martín García &amp; Gil Mena, 2013; Yammani et al., 2012)</w:t>
      </w:r>
      <w:r w:rsidRPr="006350F8">
        <w:rPr>
          <w:lang w:val="en-US"/>
        </w:rPr>
        <w:fldChar w:fldCharType="end"/>
      </w:r>
      <w:r w:rsidRPr="006350F8">
        <w:rPr>
          <w:lang w:val="en-US"/>
        </w:rPr>
        <w:t xml:space="preserve">. Hence, </w:t>
      </w:r>
      <w:r w:rsidR="009861F9">
        <w:rPr>
          <w:lang w:val="en-US"/>
        </w:rPr>
        <w:t>the DG units must b</w:t>
      </w:r>
      <w:r w:rsidRPr="006350F8">
        <w:rPr>
          <w:lang w:val="en-US"/>
        </w:rPr>
        <w:t xml:space="preserve">e optimally located in the radial networks to obtain desirable power flow and voltage profiles. In addition to this, in the event of line faults leading to </w:t>
      </w:r>
      <w:r w:rsidR="009861F9">
        <w:rPr>
          <w:lang w:val="en-US"/>
        </w:rPr>
        <w:t xml:space="preserve">an </w:t>
      </w:r>
      <w:r w:rsidRPr="006350F8">
        <w:rPr>
          <w:lang w:val="en-US"/>
        </w:rPr>
        <w:t>outage in the power system, buses connected closer to the substation side of the line are supplied while the consumers connected farther away are cut</w:t>
      </w:r>
      <w:r w:rsidR="009861F9">
        <w:rPr>
          <w:lang w:val="en-US"/>
        </w:rPr>
        <w:t xml:space="preserve"> </w:t>
      </w:r>
      <w:r w:rsidRPr="006350F8">
        <w:rPr>
          <w:lang w:val="en-US"/>
        </w:rPr>
        <w:t xml:space="preserve">off from the power supply. On the other hand, a line fault that is very close to the substation causes an outage for most of the consumers in that distribution network </w:t>
      </w:r>
      <w:r w:rsidRPr="006350F8">
        <w:rPr>
          <w:lang w:val="en-US"/>
        </w:rPr>
        <w:fldChar w:fldCharType="begin" w:fldLock="1"/>
      </w:r>
      <w:r w:rsidR="008E6BA7">
        <w:rPr>
          <w:lang w:val="en-US"/>
        </w:rPr>
        <w:instrText>ADDIN CSL_CITATION {"citationItems":[{"id":"ITEM-1","itemData":{"DOI":"10.1016/J.NEUCOM.2014.11.001","ISSN":"0925-2312","abstract":"The total power losses in a distribution network are usually minimized through the adjustment of the output of a distributed generator (DG). In line with this objective, most researchers concentrate on the optimization technique in order to regulate the DG's output and compute its optimal size. In this article, a novel Rank Evolutionary Particle Swarm Optimization (REPSO) method is introduced. By hybridizing the Evolutionary Programming (EP) in Particle Swarm Optimization (PSO) algorithm, it will allow the entire particles to move toward the optimal value faster than usual and reach the convergence value. Moreover, the local best (Pbest) and global best (Gbest) values are obtained in simplify manner in the REPSO algorithm. The performance of this new algorithm will be compared to 3 well-known PSO methods, which are Conventional Particle Swarm Optimization (CPSO), Inertia Weight Particle Swarm Optimization (IWPSO), and Iteration Particle Swarm Optimization (IPSO) on 10 mathematical benchmark functions, and solving the optimal DG output problem. From the results, the IWPSO, IPSO and REPSO methods gave the similar \"best\" value in all functions after being tested 50 times, except for Function 6. However, the REPSO algorithm provided the lowest SD value in all problems. In the power system analysis, the performance of REPSO is similar to IWPSO and IPSO, and better than CPSO, but the REPSO algorithm requires less numbers of iteration and computing time. It can be concluded that the REPSO is a superior method in solving low dimension analysis, either in numerical optimization problems, or DG sizing problems.","author":[{"dropping-particle":"","family":"Jamian","given":"J. J.","non-dropping-particle":"","parse-names":false,"suffix":""},{"dropping-particle":"","family":"Mustafa","given":"M. W.","non-dropping-particle":"","parse-names":false,"suffix":""},{"dropping-particle":"","family":"Mokhlis","given":"H.","non-dropping-particle":"","parse-names":false,"suffix":""}],"container-title":"Neurocomputing","id":"ITEM-1","issued":{"date-parts":[["2015","3","25"]]},"page":"190-198","publisher":"Elsevier","title":"Optimal multiple distributed generation output through rank evolutionary particle swarm optimization","type":"article-journal","volume":"152"},"uris":["http://www.mendeley.com/documents/?uuid=ba1d58a9-c185-395b-80f7-989d50dea47a"]},{"id":"ITEM-2","itemData":{"DOI":"10.1016/J.ASEJ.2015.05.014","ISSN":"2090-4479","abstract":"Distributed generation (DG) is becoming more important due to the increase in the demands for electrical energy. DG plays a vital role in reducing real power losses, operating cost and enhancing the voltage stability which is the objective function in this problem. This paper proposes a multi-objective technique for optimally determining the location and sizing of multiple distributed generation (DG) units in the distribution network with different load models. The loss sensitivity factor (LSF) determines the optimal placement of DGs. Invasive weed optimization (IWO) is a population based meta-heuristic algorithm based on the behavior of weeds. This algorithm is used to find optimal sizing of the DGs. The proposed method has been tested for different load models on IEEE-33 bus and 69 bus radial distribution systems. This method has been compared with other nature inspired optimization methods. The simulated results illustrate the good applicability and performance of the proposed method.","author":[{"dropping-particle":"","family":"Rama Prabha","given":"D.","non-dropping-particle":"","parse-names":false,"suffix":""},{"dropping-particle":"","family":"Jayabarathi","given":"T.","non-dropping-particle":"","parse-names":false,"suffix":""}],"container-title":"Ain Shams Engineering Journal","id":"ITEM-2","issue":"2","issued":{"date-parts":[["2016","6","1"]]},"page":"683-694","publisher":"Elsevier","title":"Optimal placement and sizing of multiple distributed generating units in distribution networks by invasive weed optimization algorithm","type":"article-journal","volume":"7"},"uris":["http://www.mendeley.com/documents/?uuid=7ec7645d-8e10-3baa-95db-3f3123441ec6"]},{"id":"ITEM-3","itemData":{"DOI":"10.1016/J.SETA.2015.07.003","ISSN":"2213-1388","abstract":"This paper presents a novel method for optimal location and sizing of distributed generation (DG) unit. The objective of this paper is to minimize the total line losses of the radial distribution network. For the installation of DG unit the loss sensitivity factor (LSF) is used. For the sizing of the DG unit intelligent water drop (IWD) algorithm is used. IWD is a nature inspired optimization approach in which a natural river always finds an easier path to flow from source to destination when the entire possible paths are available. Each drop in the river cooperates with other drops in choosing the optimal path. The proposed approach is tested on IEEE-10 bus, 33 bus and 69 bus radial systems. The simulation results illustrate the good applicability and effectiveness of the proposed method.","author":[{"dropping-particle":"","family":"Rama Prabha","given":"D.","non-dropping-particle":"","parse-names":false,"suffix":""},{"dropping-particle":"","family":"Jayabarathi","given":"T.","non-dropping-particle":"","parse-names":false,"suffix":""},{"dropping-particle":"","family":"Umamageswari","given":"R.","non-dropping-particle":"","parse-names":false,"suffix":""},{"dropping-particle":"","family":"Saranya","given":"S.","non-dropping-particle":"","parse-names":false,"suffix":""}],"container-title":"Sustainable Energy Technologies and Assessments","id":"ITEM-3","issued":{"date-parts":[["2015","9","1"]]},"page":"106-113","publisher":"Elsevier","title":"Optimal location and sizing of distributed generation unit using intelligent water drop algorithm","type":"article-journal","volume":"11"},"uris":["http://www.mendeley.com/documents/?uuid=242c5938-a2a0-3cd6-ab29-013a97bc376a"]}],"mendeley":{"formattedCitation":"(Jamian et al., 2015; Rama Prabha et al., 2015; Rama Prabha &amp; Jayabarathi, 2016)","plainTextFormattedCitation":"(Jamian et al., 2015; Rama Prabha et al., 2015; Rama Prabha &amp; Jayabarathi, 2016)","previouslyFormattedCitation":"(Jamian et al., 2015; Rama Prabha et al., 2015; Rama Prabha &amp; Jayabarathi, 2016)"},"properties":{"noteIndex":0},"schema":"https://github.com/citation-style-language/schema/raw/master/csl-citation.json"}</w:instrText>
      </w:r>
      <w:r w:rsidRPr="006350F8">
        <w:rPr>
          <w:lang w:val="en-US"/>
        </w:rPr>
        <w:fldChar w:fldCharType="separate"/>
      </w:r>
      <w:r w:rsidR="00A97D34" w:rsidRPr="00A97D34">
        <w:rPr>
          <w:noProof/>
          <w:lang w:val="en-US"/>
        </w:rPr>
        <w:t>(Jamian et al., 2015; Rama Prabha et al., 2015; Rama Prabha &amp; Jayabarathi, 2016)</w:t>
      </w:r>
      <w:r w:rsidRPr="006350F8">
        <w:rPr>
          <w:lang w:val="en-US"/>
        </w:rPr>
        <w:fldChar w:fldCharType="end"/>
      </w:r>
      <w:r w:rsidRPr="006350F8">
        <w:rPr>
          <w:lang w:val="en-US"/>
        </w:rPr>
        <w:t>. This means that the reliability of the DG system in a radial network is sensitive to the location of any line faults on it.</w:t>
      </w:r>
    </w:p>
    <w:p w14:paraId="213C7510" w14:textId="3F9507CA" w:rsidR="006350F8" w:rsidRDefault="006350F8" w:rsidP="00F03645">
      <w:pPr>
        <w:spacing w:line="480" w:lineRule="auto"/>
        <w:rPr>
          <w:lang w:val="en-US"/>
        </w:rPr>
      </w:pPr>
      <w:r w:rsidRPr="006350F8">
        <w:rPr>
          <w:lang w:val="en-US"/>
        </w:rPr>
        <w:t xml:space="preserve">Another concern with DG is the potentially hazardous issue that may occur in DG systems. Due to the proliferation of sources in the system, in case of faults, assurance of isolation of specific parts of the system may be difficult to ensure </w:t>
      </w:r>
      <w:r w:rsidRPr="006350F8">
        <w:rPr>
          <w:lang w:val="en-US"/>
        </w:rPr>
        <w:fldChar w:fldCharType="begin" w:fldLock="1"/>
      </w:r>
      <w:r w:rsidR="008E6BA7">
        <w:rPr>
          <w:lang w:val="en-US"/>
        </w:rPr>
        <w:instrText>ADDIN CSL_CITATION {"citationItems":[{"id":"ITEM-1","itemData":{"DOI":"10.1016/j.segan.2021.100503","ISSN":"23524677","abstract":"Natural disasters such as earthquakes, hurricanes, and other extreme weather events along with human sabotage attacks pose serious risks to critical infrastructures especially electrical energy systems. Hardening and operational actions are the measures to improve the resiliency of the power systems against extreme events. The long-term hardening actions strive to organize the reinforcement of power system infrastructures which accomplished at the pre-events stage. Besides, the short-term operational measures such as network reconfiguration and generation scheduling are applied to form the multiple microgrids aimed at increasing the flexibility of the power system to cope with the severe events. These measures are taken during and after the occurrence of the disasters. In this paper, an integrated framework has been proposed to increase the resiliency of distribution system. In the proposed framework, there are two models so called defender–attacker–defender which are made to find the best possible solution in order to reduce the load-shedding of the system during extreme events. In the first model, the hardening measures are examined at the first level to increase the robustness of the system. The worst scenarios with the highest load-shedding are calculated in the second level and subsequently reconfiguration is performed in the third level to decrease the load-shedding. In the second model, the first and second levels specify the best reinforcement plan and the worst attack scenario respectively, and in the third level, optimal distributed generation placement is accomplished to supply the demand during islanding mode of microgrids. The proposed models are organized as tri-level mixed integer optimization problem and column constraint generation algorithm is utilized to make them computationally obedient. At the end, we have implemented the suggested models on the well-known IEEE 33-bus and 69-bus systems to prove their effectiveness and applicability at improving the resiliency of the distribution systems.","author":[{"dropping-particle":"","family":"Baghbanzadeh","given":"Davoud","non-dropping-particle":"","parse-names":false,"suffix":""},{"dropping-particle":"","family":"Salehi","given":"Javad","non-dropping-particle":"","parse-names":false,"suffix":""},{"dropping-particle":"","family":"Gazijahani","given":"Farhad Samadi","non-dropping-particle":"","parse-names":false,"suffix":""},{"dropping-particle":"","family":"Shafie-khah","given":"Miadreza","non-dropping-particle":"","parse-names":false,"suffix":""},{"dropping-particle":"","family":"Catalão","given":"João P.S.","non-dropping-particle":"","parse-names":false,"suffix":""}],"container-title":"Sustainable Energy, Grids and Networks","id":"ITEM-1","issued":{"date-parts":[["2021"]]},"page":"100503","publisher":"Elsevier Ltd","title":"Resilience improvement of multi-microgrid distribution networks using distributed generation","type":"article-journal","volume":"27"},"uris":["http://www.mendeley.com/documents/?uuid=7c2bb967-43f7-4654-ad8a-8c776382f3d6"]}],"mendeley":{"formattedCitation":"(Baghbanzadeh et al., 2021)","plainTextFormattedCitation":"(Baghbanzadeh et al., 2021)","previouslyFormattedCitation":"(Baghbanzadeh et al., 2021)"},"properties":{"noteIndex":0},"schema":"https://github.com/citation-style-language/schema/raw/master/csl-citation.json"}</w:instrText>
      </w:r>
      <w:r w:rsidRPr="006350F8">
        <w:rPr>
          <w:lang w:val="en-US"/>
        </w:rPr>
        <w:fldChar w:fldCharType="separate"/>
      </w:r>
      <w:r w:rsidR="00A97D34" w:rsidRPr="00A97D34">
        <w:rPr>
          <w:noProof/>
          <w:lang w:val="en-US"/>
        </w:rPr>
        <w:t>(Baghbanzadeh et al., 2021)</w:t>
      </w:r>
      <w:r w:rsidRPr="006350F8">
        <w:rPr>
          <w:lang w:val="en-US"/>
        </w:rPr>
        <w:fldChar w:fldCharType="end"/>
      </w:r>
      <w:r w:rsidRPr="006350F8">
        <w:rPr>
          <w:lang w:val="en-US"/>
        </w:rPr>
        <w:t>. This is because so many sources and paths exist for energizing a bus, and a bus that has been disconnected from all substation</w:t>
      </w:r>
      <w:r w:rsidR="009861F9">
        <w:rPr>
          <w:lang w:val="en-US"/>
        </w:rPr>
        <w:t>s</w:t>
      </w:r>
      <w:r w:rsidRPr="006350F8">
        <w:rPr>
          <w:lang w:val="en-US"/>
        </w:rPr>
        <w:t xml:space="preserve"> may still be found to be energized by an unaccounted-for generation unit connected directly </w:t>
      </w:r>
      <w:r w:rsidR="009861F9">
        <w:rPr>
          <w:lang w:val="en-US"/>
        </w:rPr>
        <w:t>to</w:t>
      </w:r>
      <w:r w:rsidRPr="006350F8">
        <w:rPr>
          <w:lang w:val="en-US"/>
        </w:rPr>
        <w:t xml:space="preserve"> it. However, this can be mitigated by adequate communication and implementation of multiple safety measures to protect power system personnel while they work even on energized buses </w:t>
      </w:r>
      <w:r w:rsidRPr="006350F8">
        <w:rPr>
          <w:lang w:val="en-US"/>
        </w:rPr>
        <w:fldChar w:fldCharType="begin" w:fldLock="1"/>
      </w:r>
      <w:r w:rsidR="008E6BA7">
        <w:rPr>
          <w:lang w:val="en-US"/>
        </w:rPr>
        <w:instrText>ADDIN CSL_CITATION {"citationItems":[{"id":"ITEM-1","itemData":{"DOI":"10.1016/B978-0-12-820491-7.00007-4","abstract":"The distribution networks act as an intermediate between distribution substations and consumers. The distributed generation (DG) units are specifically designed to support the distribution network operation. These DG units cannot be included with transmission grid operation as the size of these units is smaller, but they can be connected at any point near the load. The siting and sizing of DG systems impact the distribution system parameters such as network losses, voltage profile, and reliability. The optimal location and size of DG is identified through analytical method. In paving way for advanced research in protection studies under uncertain conditions, the effects of DG penetration on voltage profile of the system, network losses and reliability are studied. The reliability of the network is studied through energy not supplied of the system. The impact of DG on distribution system performance provides higher significance toward the uncertain conditions.","author":[{"dropping-particle":"","family":"Senthil Kumar","given":"J.","non-dropping-particle":"","parse-names":false,"suffix":""},{"dropping-particle":"","family":"Prem","given":"P.","non-dropping-particle":"","parse-names":false,"suffix":""},{"dropping-particle":"","family":"Jagabar Sathik","given":"M.","non-dropping-particle":"","parse-names":false,"suffix":""}],"container-title":"Uncertainties in Modern Power Systems","id":"ITEM-1","issued":{"date-parts":[["2021","1","1"]]},"page":"195-209","publisher":"Academic Press","title":"Evaluation of DG impacts on distribution networks","type":"chapter"},"uris":["http://www.mendeley.com/documents/?uuid=89c1f5d1-1acd-3c6a-a0f4-a39f4c04143e"]}],"mendeley":{"formattedCitation":"(Senthil Kumar et al., 2021)","plainTextFormattedCitation":"(Senthil Kumar et al., 2021)","previouslyFormattedCitation":"(Senthil Kumar et al., 2021)"},"properties":{"noteIndex":0},"schema":"https://github.com/citation-style-language/schema/raw/master/csl-citation.json"}</w:instrText>
      </w:r>
      <w:r w:rsidRPr="006350F8">
        <w:rPr>
          <w:lang w:val="en-US"/>
        </w:rPr>
        <w:fldChar w:fldCharType="separate"/>
      </w:r>
      <w:r w:rsidR="00A97D34" w:rsidRPr="00A97D34">
        <w:rPr>
          <w:noProof/>
          <w:lang w:val="en-US"/>
        </w:rPr>
        <w:t>(Senthil Kumar et al., 2021)</w:t>
      </w:r>
      <w:r w:rsidRPr="006350F8">
        <w:rPr>
          <w:lang w:val="en-US"/>
        </w:rPr>
        <w:fldChar w:fldCharType="end"/>
      </w:r>
      <w:r w:rsidRPr="006350F8">
        <w:rPr>
          <w:lang w:val="en-US"/>
        </w:rPr>
        <w:t>.</w:t>
      </w:r>
    </w:p>
    <w:p w14:paraId="0F497311" w14:textId="4D741B2D" w:rsidR="00D54FAA" w:rsidRDefault="00D54FAA" w:rsidP="00F03645">
      <w:pPr>
        <w:spacing w:line="480" w:lineRule="auto"/>
        <w:rPr>
          <w:lang w:val="en-US"/>
        </w:rPr>
      </w:pPr>
    </w:p>
    <w:p w14:paraId="7A43684F" w14:textId="77777777" w:rsidR="00D54FAA" w:rsidRPr="006350F8" w:rsidRDefault="00D54FAA" w:rsidP="00F03645">
      <w:pPr>
        <w:spacing w:line="480" w:lineRule="auto"/>
        <w:rPr>
          <w:lang w:val="en-US"/>
        </w:rPr>
      </w:pPr>
    </w:p>
    <w:p w14:paraId="2763BC88" w14:textId="48A2CCCB" w:rsidR="006350F8" w:rsidRPr="006350F8" w:rsidRDefault="002829A3" w:rsidP="00F03645">
      <w:pPr>
        <w:pStyle w:val="Heading3"/>
        <w:spacing w:line="480" w:lineRule="auto"/>
      </w:pPr>
      <w:bookmarkStart w:id="26" w:name="_Toc110502564"/>
      <w:r>
        <w:t>2.3</w:t>
      </w:r>
      <w:r w:rsidR="006350F8" w:rsidRPr="006350F8">
        <w:t xml:space="preserve"> </w:t>
      </w:r>
      <w:r w:rsidR="00072952" w:rsidRPr="006350F8">
        <w:t>MICROGRID CONCEPT</w:t>
      </w:r>
      <w:bookmarkEnd w:id="26"/>
    </w:p>
    <w:p w14:paraId="38447F74" w14:textId="49700F2E" w:rsidR="006350F8" w:rsidRPr="006350F8" w:rsidRDefault="006350F8" w:rsidP="00F03645">
      <w:pPr>
        <w:spacing w:line="480" w:lineRule="auto"/>
        <w:rPr>
          <w:lang w:val="en-US"/>
        </w:rPr>
      </w:pPr>
      <w:r w:rsidRPr="006350F8">
        <w:rPr>
          <w:lang w:val="en-US"/>
        </w:rPr>
        <w:t>A microgrid is a Distributed Generation system which is designed to be capable of self-sufficient and autonomous operation either in isolation or while being able to connect and disconnect freely from a larger power system that incorporates it. A microgrid that consistently operates in isolation is known as a standalone microgrid while one that is connected to or disconnected from the larger grid is said to be grid-connected or islanded respectively</w:t>
      </w:r>
      <w:r w:rsidR="00542B6A">
        <w:rPr>
          <w:lang w:val="en-US"/>
        </w:rPr>
        <w:t xml:space="preserve"> </w:t>
      </w:r>
      <w:r w:rsidRPr="006350F8">
        <w:rPr>
          <w:lang w:val="en-US"/>
        </w:rPr>
        <w:fldChar w:fldCharType="begin" w:fldLock="1"/>
      </w:r>
      <w:r w:rsidR="008E6BA7">
        <w:rPr>
          <w:lang w:val="en-US"/>
        </w:rPr>
        <w:instrText>ADDIN CSL_CITATION {"citationItems":[{"id":"ITEM-1","itemData":{"ISBN":"978-3-030-23722-6","ISSN":"18604676","abstract":"The primary aim of this chapter is the design and application of intelligent methods based on reinforcement learning (RL) for adaptive and online controlling the hybrid microgrids (HMGs). The traditional structure of the power systems is being changed continuously due to environmental limitations and depreciated infrastructures. The creation of distinct electrical boundaries between different areas of the power system with the ability to connect/disconnect and locating distributed generation (DG) resources near the load points has transformed the face of power systems. However, in this case, the power system’s efficiency increases, but its control is faced with bigger challenges. Coordination between HMGs, resource scheduling in the island and main utility-connected modes, exchanging power between different microgrids, and etc., are the reasons that necessitate the use of adaptive control methods in controlling such power systems. Reinforcement Learning is an adaptive control structure that is considered in this chapter. RL is a branch of multi-agent systems in the field of machine learning which is the main solution method for Markov decision process (MDP). In this chapter, based on RL features like an unpretentious structure, robust versus severe disturbances, and online behavior a novel method will be suggested for controlling different aspects of HMGs. The proposed control method uses the features of the RL and capabilities of the classical controllers to give an effective online controller with plain anatomy which is robust versus uncertainties and operating condition changes.","author":[{"dropping-particle":"","family":"Shayeghi","given":"Hossein","non-dropping-particle":"","parse-names":false,"suffix":""},{"dropping-particle":"","family":"Younesi","given":"Abdollah","non-dropping-particle":"","parse-names":false,"suffix":""}],"container-title":"Power Systems","id":"ITEM-1","issue":"January","issued":{"date-parts":[["2020"]]},"number-of-pages":"577-602","title":"Microgrid Architectures, Control and Protection Methods","type":"book"},"uris":["http://www.mendeley.com/documents/?uuid=5c712317-16e3-481d-b8e9-5a1ea56affc7"]}],"mendeley":{"formattedCitation":"(Shayeghi &amp; Younesi, 2020)","plainTextFormattedCitation":"(Shayeghi &amp; Younesi, 2020)","previouslyFormattedCitation":"(Shayeghi &amp; Younesi, 2020)"},"properties":{"noteIndex":0},"schema":"https://github.com/citation-style-language/schema/raw/master/csl-citation.json"}</w:instrText>
      </w:r>
      <w:r w:rsidRPr="006350F8">
        <w:rPr>
          <w:lang w:val="en-US"/>
        </w:rPr>
        <w:fldChar w:fldCharType="separate"/>
      </w:r>
      <w:r w:rsidR="00A97D34" w:rsidRPr="00A97D34">
        <w:rPr>
          <w:noProof/>
          <w:lang w:val="en-US"/>
        </w:rPr>
        <w:t>(Shayeghi &amp; Younesi, 2020)</w:t>
      </w:r>
      <w:r w:rsidRPr="006350F8">
        <w:rPr>
          <w:lang w:val="en-US"/>
        </w:rPr>
        <w:fldChar w:fldCharType="end"/>
      </w:r>
      <w:r w:rsidRPr="006350F8">
        <w:rPr>
          <w:lang w:val="en-US"/>
        </w:rPr>
        <w:t xml:space="preserve">. A </w:t>
      </w:r>
      <w:r w:rsidR="009861F9">
        <w:rPr>
          <w:lang w:val="en-US"/>
        </w:rPr>
        <w:t>crucial addition to</w:t>
      </w:r>
      <w:r w:rsidRPr="006350F8">
        <w:rPr>
          <w:lang w:val="en-US"/>
        </w:rPr>
        <w:t xml:space="preserve"> power systems that ha</w:t>
      </w:r>
      <w:r w:rsidR="009861F9">
        <w:rPr>
          <w:lang w:val="en-US"/>
        </w:rPr>
        <w:t>s</w:t>
      </w:r>
      <w:r w:rsidRPr="006350F8">
        <w:rPr>
          <w:lang w:val="en-US"/>
        </w:rPr>
        <w:t xml:space="preserve"> made renewable-based microgrids possible is the element of energy storage</w:t>
      </w:r>
      <w:r w:rsidRPr="006350F8">
        <w:rPr>
          <w:lang w:val="en-US"/>
        </w:rPr>
        <w:fldChar w:fldCharType="begin" w:fldLock="1"/>
      </w:r>
      <w:r w:rsidR="008E6BA7">
        <w:rPr>
          <w:lang w:val="en-US"/>
        </w:rPr>
        <w:instrText>ADDIN CSL_CITATION {"citationItems":[{"id":"ITEM-1","itemData":{"DOI":"10.3390/en9050317","ISSN":"19961073","abstract":"Nowadays, an increasing penetration of utility-scale photovoltaic plants (USPVPs) leads to a change in dynamic and operational characteristics of the power distribution system. USPVPs must help to maintain the system stability and reliability while implementing minimum technical requirements (MTRs) imposed by the utility grid. One of the most significant requirements is about frequency regulation (FR). Overall production of USPVPs is reduced significantly by applying FR curves, especially in weak grids with high rate of frequency faults. The introduction of a battery energy storage system (BESS) reduces losses and improves the grid system reliability. Experimental frequency and irradiance data of several weak grids have been used to analyse USPVPs losses related to FR requirements and benefits from the introduction of a BESS. Moreover, its economic viability is showen without the need for any economic incentives.","author":[{"dropping-particle":"","family":"Muñoz-Cruzado-Alba","given":"Jesús","non-dropping-particle":"","parse-names":false,"suffix":""},{"dropping-particle":"","family":"Rojas","given":"Christian A.","non-dropping-particle":"","parse-names":false,"suffix":""},{"dropping-particle":"","family":"Kouro","given":"Samir","non-dropping-particle":"","parse-names":false,"suffix":""},{"dropping-particle":"","family":"Díez","given":"Eduardo Galván","non-dropping-particle":"","parse-names":false,"suffix":""}],"container-title":"Energies","id":"ITEM-1","issue":"5","issued":{"date-parts":[["2016"]]},"page":"1-21","title":"Power production losses study by frequency regulation in weak-grid-connected utility-scale photovoltaic plants","type":"article-journal","volume":"9"},"uris":["http://www.mendeley.com/documents/?uuid=60ffb4df-50a1-4050-9ea3-532b155e9f46"]}],"mendeley":{"formattedCitation":"(Muñoz-Cruzado-Alba et al., 2016)","plainTextFormattedCitation":"(Muñoz-Cruzado-Alba et al., 2016)","previouslyFormattedCitation":"(Muñoz-Cruzado-Alba et al., 2016)"},"properties":{"noteIndex":0},"schema":"https://github.com/citation-style-language/schema/raw/master/csl-citation.json"}</w:instrText>
      </w:r>
      <w:r w:rsidRPr="006350F8">
        <w:rPr>
          <w:lang w:val="en-US"/>
        </w:rPr>
        <w:fldChar w:fldCharType="separate"/>
      </w:r>
      <w:r w:rsidR="00A97D34" w:rsidRPr="00A97D34">
        <w:rPr>
          <w:noProof/>
          <w:lang w:val="en-US"/>
        </w:rPr>
        <w:t>(Muñoz-Cruzado-Alba et al., 2016)</w:t>
      </w:r>
      <w:r w:rsidRPr="006350F8">
        <w:rPr>
          <w:lang w:val="en-US"/>
        </w:rPr>
        <w:fldChar w:fldCharType="end"/>
      </w:r>
      <w:r w:rsidRPr="006350F8">
        <w:rPr>
          <w:lang w:val="en-US"/>
        </w:rPr>
        <w:t>.</w:t>
      </w:r>
    </w:p>
    <w:p w14:paraId="36DA5B02" w14:textId="07CAB74F" w:rsidR="006350F8" w:rsidRPr="006350F8" w:rsidRDefault="006350F8" w:rsidP="00F03645">
      <w:pPr>
        <w:spacing w:line="480" w:lineRule="auto"/>
        <w:rPr>
          <w:lang w:val="en-US"/>
        </w:rPr>
      </w:pPr>
      <w:r w:rsidRPr="006350F8">
        <w:rPr>
          <w:lang w:val="en-US"/>
        </w:rPr>
        <w:t>The intermittency of renewable resources o</w:t>
      </w:r>
      <w:r w:rsidR="009861F9">
        <w:rPr>
          <w:lang w:val="en-US"/>
        </w:rPr>
        <w:t xml:space="preserve">rdinarily means that sometimes, </w:t>
      </w:r>
      <w:r w:rsidRPr="006350F8">
        <w:rPr>
          <w:lang w:val="en-US"/>
        </w:rPr>
        <w:t xml:space="preserve">more instantaneous power is available than is demanded, while at times, the power generated in the microgrid is not enough to meet the demand. For example, a microgrid that relies heavily on solar power without energy storage would be stranded at night, as there is no significant energy harnessed by solar panels at night even during a full moon </w:t>
      </w:r>
      <w:r w:rsidRPr="006350F8">
        <w:rPr>
          <w:lang w:val="en-US"/>
        </w:rPr>
        <w:fldChar w:fldCharType="begin" w:fldLock="1"/>
      </w:r>
      <w:r w:rsidR="00AC5C84">
        <w:rPr>
          <w:lang w:val="en-US"/>
        </w:rPr>
        <w:instrText>ADDIN CSL_CITATION {"citationItems":[{"id":"ITEM-1","itemData":{"DOI":"10.1109/ESW41044.2018.9063869","ISSN":"2326330X","abstract":"Solar photovoltaic (PV) systems are common and growing, with 42.4 GW of installed capacity currently in the United States and nearly 15 GW added in 2016. This paper will help electrical workers and firefighters understand some basic operating principles and hazards of PV DC arrays. We briefly discuss the effects of solar radiation and temperature on power output; PV module testing standards; methods for calculating the number of modules in a PV string; some National Electrical Code guidelines that are aimed toward improving array safety; DC array commissioning, periodic maintenance, and testing; arc flash hazard potential; ways firefighters can and do work safely around PV arrays; potential risk posed by moonlight and other light sources; and some unique DC-system hazards. We also present some statistics on PV DC array electrical incidents and injuries.","author":[{"dropping-particle":"","family":"McNutt","given":"Peter","non-dropping-particle":"","parse-names":false,"suffix":""},{"dropping-particle":"","family":"Sekulic","given":"William R.","non-dropping-particle":"","parse-names":false,"suffix":""},{"dropping-particle":"","family":"Dreifuerst","given":"Gary","non-dropping-particle":"","parse-names":false,"suffix":""}],"container-title":"IEEE IAS Electrical Safety Workshop","id":"ITEM-1","issued":{"date-parts":[["2018"]]},"publisher":"IEEE Computer Society","title":"Solar/Photovoltaic DC Systems: Basics and Safety","type":"paper-conference","volume":"2018-Janua"},"uris":["http://www.mendeley.com/documents/?uuid=81de4e2b-b28f-486c-8873-8314c75eedc2"]}],"mendeley":{"formattedCitation":"(McNutt et al., 2018)","plainTextFormattedCitation":"(McNutt et al., 2018)","previouslyFormattedCitation":"(McNutt et al., 2018)"},"properties":{"noteIndex":0},"schema":"https://github.com/citation-style-language/schema/raw/master/csl-citation.json"}</w:instrText>
      </w:r>
      <w:r w:rsidRPr="006350F8">
        <w:rPr>
          <w:lang w:val="en-US"/>
        </w:rPr>
        <w:fldChar w:fldCharType="separate"/>
      </w:r>
      <w:r w:rsidR="00A97D34" w:rsidRPr="00A97D34">
        <w:rPr>
          <w:noProof/>
          <w:lang w:val="en-US"/>
        </w:rPr>
        <w:t>(McNutt et al., 2018)</w:t>
      </w:r>
      <w:r w:rsidRPr="006350F8">
        <w:rPr>
          <w:lang w:val="en-US"/>
        </w:rPr>
        <w:fldChar w:fldCharType="end"/>
      </w:r>
      <w:r w:rsidRPr="006350F8">
        <w:rPr>
          <w:lang w:val="en-US"/>
        </w:rPr>
        <w:t>. However, with the inclusion of storage technology on the microgrid, the excess energy harnessed at times when demand is lower than generation can be utilized when demand is higher than generation.</w:t>
      </w:r>
    </w:p>
    <w:p w14:paraId="71E23BB5" w14:textId="59B4C0EF" w:rsidR="006350F8" w:rsidRPr="006350F8" w:rsidRDefault="006350F8" w:rsidP="00F03645">
      <w:pPr>
        <w:spacing w:line="480" w:lineRule="auto"/>
        <w:rPr>
          <w:lang w:val="en-US"/>
        </w:rPr>
      </w:pPr>
      <w:r w:rsidRPr="006350F8">
        <w:rPr>
          <w:lang w:val="en-US"/>
        </w:rPr>
        <w:t xml:space="preserve">A microgrid is a power system that contains its own sources and loads within a small area, with the ability to operate in standalone mode, or while connected to the larger power system or macrogrid </w:t>
      </w:r>
      <w:r w:rsidRPr="006350F8">
        <w:rPr>
          <w:lang w:val="en-US"/>
        </w:rPr>
        <w:fldChar w:fldCharType="begin" w:fldLock="1"/>
      </w:r>
      <w:r w:rsidR="008E6BA7">
        <w:rPr>
          <w:lang w:val="en-US"/>
        </w:rPr>
        <w:instrText>ADDIN CSL_CITATION {"citationItems":[{"id":"ITEM-1","itemData":{"ISBN":"978-3-030-23722-6","ISSN":"18604676","abstract":"The primary aim of this chapter is the design and application of intelligent methods based on reinforcement learning (RL) for adaptive and online controlling the hybrid microgrids (HMGs). The traditional structure of the power systems is being changed continuously due to environmental limitations and depreciated infrastructures. The creation of distinct electrical boundaries between different areas of the power system with the ability to connect/disconnect and locating distributed generation (DG) resources near the load points has transformed the face of power systems. However, in this case, the power system’s efficiency increases, but its control is faced with bigger challenges. Coordination between HMGs, resource scheduling in the island and main utility-connected modes, exchanging power between different microgrids, and etc., are the reasons that necessitate the use of adaptive control methods in controlling such power systems. Reinforcement Learning is an adaptive control structure that is considered in this chapter. RL is a branch of multi-agent systems in the field of machine learning which is the main solution method for Markov decision process (MDP). In this chapter, based on RL features like an unpretentious structure, robust versus severe disturbances, and online behavior a novel method will be suggested for controlling different aspects of HMGs. The proposed control method uses the features of the RL and capabilities of the classical controllers to give an effective online controller with plain anatomy which is robust versus uncertainties and operating condition changes.","author":[{"dropping-particle":"","family":"Shayeghi","given":"Hossein","non-dropping-particle":"","parse-names":false,"suffix":""},{"dropping-particle":"","family":"Younesi","given":"Abdollah","non-dropping-particle":"","parse-names":false,"suffix":""}],"container-title":"Power Systems","id":"ITEM-1","issue":"January","issued":{"date-parts":[["2020"]]},"number-of-pages":"577-602","title":"Microgrid Architectures, Control and Protection Methods","type":"book"},"uris":["http://www.mendeley.com/documents/?uuid=5c712317-16e3-481d-b8e9-5a1ea56affc7"]}],"mendeley":{"formattedCitation":"(Shayeghi &amp; Younesi, 2020)","plainTextFormattedCitation":"(Shayeghi &amp; Younesi, 2020)","previouslyFormattedCitation":"(Shayeghi &amp; Younesi, 2020)"},"properties":{"noteIndex":0},"schema":"https://github.com/citation-style-language/schema/raw/master/csl-citation.json"}</w:instrText>
      </w:r>
      <w:r w:rsidRPr="006350F8">
        <w:rPr>
          <w:lang w:val="en-US"/>
        </w:rPr>
        <w:fldChar w:fldCharType="separate"/>
      </w:r>
      <w:r w:rsidR="00A97D34" w:rsidRPr="00A97D34">
        <w:rPr>
          <w:noProof/>
          <w:lang w:val="en-US"/>
        </w:rPr>
        <w:t>(Shayeghi &amp; Younesi, 2020)</w:t>
      </w:r>
      <w:r w:rsidRPr="006350F8">
        <w:rPr>
          <w:lang w:val="en-US"/>
        </w:rPr>
        <w:fldChar w:fldCharType="end"/>
      </w:r>
      <w:r w:rsidRPr="006350F8">
        <w:rPr>
          <w:lang w:val="en-US"/>
        </w:rPr>
        <w:t xml:space="preserve">. Microgrids usually integrate multiple alternative energy sources such as solar photovoltaic, wind turbines, </w:t>
      </w:r>
      <w:r w:rsidR="009861F9">
        <w:rPr>
          <w:lang w:val="en-US"/>
        </w:rPr>
        <w:t xml:space="preserve">and </w:t>
      </w:r>
      <w:r w:rsidRPr="006350F8">
        <w:rPr>
          <w:lang w:val="en-US"/>
        </w:rPr>
        <w:t xml:space="preserve">energy storage systems, sometimes with conventional sources such as diesel generators, to serve local loads </w:t>
      </w:r>
      <w:r w:rsidRPr="006350F8">
        <w:rPr>
          <w:lang w:val="en-US"/>
        </w:rPr>
        <w:fldChar w:fldCharType="begin" w:fldLock="1"/>
      </w:r>
      <w:r w:rsidR="008E6BA7">
        <w:rPr>
          <w:lang w:val="en-US"/>
        </w:rPr>
        <w:instrText>ADDIN CSL_CITATION {"citationItems":[{"id":"ITEM-1","itemData":{"DOI":"10.3390/inventions5030042","ISBN":"2411-5134","ISSN":"24115134","abstract":"The shift from centralized to distributed generation and the need to address energy shortage and achieve the sustainability goals are among the important factors that drive increasing interests of governments, planners, and other relevant stakeholders in microgrid systems. Apart from the distributed renewable energy resources, fuel cells (FCs) are a clean, pollution-free, highly efficient, flexible, and promising energy resource for microgrid applications that need more attention in research and development terms. Furthermore, they can offer continuous operation and do not require recharging. This paper examines the exciting potential of FCs and their utilization in microgrid systems. It presents a comprehensive review of FCs, with emphasis on the developmental status of the different technologies, comparison of operational characteristics, and the prevailing techno-economic barriers to their progress and the future outlook. Furthermore, particular attention is paid to the applications of the FC technologies in microgrid systems such as grid-integrated, grid-parallel, stand-alone, backup or emergency power, and direct current systems, including the FC control mechanisms and hybrid designs, and the technical challenges faced when employing FCs in microgrids based on recent developments. Microgrids can help to strengthen the existing power grid and are also suitable for mitigating the problem of energy poverty in remote locations. The paper is expected to provide useful insights into advancing research and developments in clean energy generation through microgrid systems based on FCs.","author":[{"dropping-particle":"","family":"Akinyele","given":"Daniel","non-dropping-particle":"","parse-names":false,"suffix":""},{"dropping-particle":"","family":"Olabode","given":"Elijah","non-dropping-particle":"","parse-names":false,"suffix":""},{"dropping-particle":"","family":"Amole","given":"Abraham","non-dropping-particle":"","parse-names":false,"suffix":""}],"container-title":"Inventions","id":"ITEM-1","issue":"3","issued":{"date-parts":[["2020"]]},"page":"1-35","title":"Review of Fuel Cell Technologies and Applications for Sustainable Microgrid Systems","type":"article-journal","volume":"5"},"uris":["http://www.mendeley.com/documents/?uuid=e38465a5-9e26-48f9-9eb2-55dfc9403529"]},{"id":"ITEM-2","itemData":{"DOI":"10.1016/j.rser.2018.03.040","ISSN":"18790690","abstract":"Microgrids are now emerging from lab benches and pilot demonstration sites into commercial markets, driven by technological improvements, falling costs, a proven track record, and growing recognition of their benefits. They are being used to improve reliability and resilience of electrical grids, to manage the addition of distributed clean energy resources like wind and solar photovoltaic (PV) generation to reduce fossil fuel emissions, and to provide electricity in areas not served by centralized electrical infrastructure. This review article (1) explains what a microgrid is, and (2) provides a multi-disciplinary portrait of today's microgrid drivers, real-world applications, challenges, and future prospects.","author":[{"dropping-particle":"","family":"Hirsch","given":"Adam","non-dropping-particle":"","parse-names":false,"suffix":""},{"dropping-particle":"","family":"Parag","given":"Yael","non-dropping-particle":"","parse-names":false,"suffix":""},{"dropping-particle":"","family":"Guerrero","given":"Josep","non-dropping-particle":"","parse-names":false,"suffix":""}],"container-title":"Renewable and Sustainable Energy Reviews","id":"ITEM-2","issued":{"date-parts":[["2018","7","1"]]},"page":"402-411","publisher":"Pergamon","title":"Microgrids: A review of technologies, key drivers, and outstanding issues","type":"article-journal","volume":"90"},"uris":["http://www.mendeley.com/documents/?uuid=518c920d-4540-3c40-91b7-4f4b4e96ed7d"]}],"mendeley":{"formattedCitation":"(Akinyele et al., 2020; Hirsch et al., 2018)","plainTextFormattedCitation":"(Akinyele et al., 2020; Hirsch et al., 2018)","previouslyFormattedCitation":"(Akinyele et al., 2020; Hirsch et al., 2018)"},"properties":{"noteIndex":0},"schema":"https://github.com/citation-style-language/schema/raw/master/csl-citation.json"}</w:instrText>
      </w:r>
      <w:r w:rsidRPr="006350F8">
        <w:rPr>
          <w:lang w:val="en-US"/>
        </w:rPr>
        <w:fldChar w:fldCharType="separate"/>
      </w:r>
      <w:r w:rsidR="00A97D34" w:rsidRPr="00A97D34">
        <w:rPr>
          <w:noProof/>
          <w:lang w:val="en-US"/>
        </w:rPr>
        <w:t>(Akinyele et al., 2020; Hirsch et al., 2018)</w:t>
      </w:r>
      <w:r w:rsidRPr="006350F8">
        <w:rPr>
          <w:lang w:val="en-US"/>
        </w:rPr>
        <w:fldChar w:fldCharType="end"/>
      </w:r>
      <w:r w:rsidRPr="006350F8">
        <w:rPr>
          <w:lang w:val="en-US"/>
        </w:rPr>
        <w:t xml:space="preserve">. They also sometimes exchange power with the macrogrid or other microgrids. The sources that are connected to a microgrid are known as Distributed Generation Units (DGUs) </w:t>
      </w:r>
      <w:r w:rsidRPr="006350F8">
        <w:rPr>
          <w:lang w:val="en-US"/>
        </w:rPr>
        <w:fldChar w:fldCharType="begin" w:fldLock="1"/>
      </w:r>
      <w:r w:rsidR="008E6BA7">
        <w:rPr>
          <w:lang w:val="en-US"/>
        </w:rPr>
        <w:instrText>ADDIN CSL_CITATION {"citationItems":[{"id":"ITEM-1","itemData":{"DOI":"10.1007/978-3-319-98687-6_4","ISBN":"9783319986876","abstract":"Over the last few years, the need for electricity has increased in households as new and different appliances are progressively introduced. This increased demand for electricity raises a concern to many developed and developing countries since it is a human's responsibility to assure a sustainable future. Energy demand management can be an effective approach to reduce the energy consumption; this approach requires final consumers to be empowered with more information for improving their decision-making and actions on the energy usage through increased awareness. Therefore, metering and behind the meter monitoring systems have a crucial role in the exploitation of this potential in the customer side. A significant disadvantage of traditional meters is the fact that they do not provide detailed information to the customers, which is achieved with the help of smart meters. A smart meter allows the customers to have access to the information about electricity consumption of the appliances in their houses. The acceptance of smart meters by customers is the fundamental step to achieve the potential carbon emission reductions that are provided by the use of advanced metering infrastructures. The smart meter is an advanced energy meter that measures consumption of electrical energy such as a traditional meter but also provides additional information in real time, making it the key element of the new energy demand management system. Integration of smart meters into electricity grids implies the implementation of several technologies, depending on the features that each situation request. The design of a smart meter has been in constant development since it is increasingly necessary to satisfy both the requirements of the utility company and those of the customer. Therefore, smart metering provides benefits to the energy utilities optimizing their business, and beyond that it can provide advantages to the final customers. All over the world many smart metering projects have been developed. However, it is still not entirely clear which are the associated costs, the characteristics, and the mechanisms internal to projects that bring advantages and benefits for the different concerned parties. The smart metering methods and the communication technologies used in smart grid are being substantially studied due to widespread applications of smart grid. The monitoring and control processes are largely used in industrial systems. Nevertheless, the energy management requi…","author":[{"dropping-particle":"","family":"Souza","given":"Antonio Carlos Zambroni","non-dropping-particle":"De","parse-names":false,"suffix":""},{"dropping-particle":"","family":"Castilla","given":"Miguel","non-dropping-particle":"","parse-names":false,"suffix":""}],"container-title":"Microgrids Design and Implementation","id":"ITEM-1","issued":{"date-parts":[["2019"]]},"title":"Microgrids Design and Implementation","type":"book"},"uris":["http://www.mendeley.com/documents/?uuid=224a7c75-21d5-4ca4-a224-ec920469547d"]}],"mendeley":{"formattedCitation":"(De Souza &amp; Castilla, 2019)","plainTextFormattedCitation":"(De Souza &amp; Castilla, 2019)","previouslyFormattedCitation":"(De Souza &amp; Castilla, 2019)"},"properties":{"noteIndex":0},"schema":"https://github.com/citation-style-language/schema/raw/master/csl-citation.json"}</w:instrText>
      </w:r>
      <w:r w:rsidRPr="006350F8">
        <w:rPr>
          <w:lang w:val="en-US"/>
        </w:rPr>
        <w:fldChar w:fldCharType="separate"/>
      </w:r>
      <w:r w:rsidR="00A97D34" w:rsidRPr="00A97D34">
        <w:rPr>
          <w:noProof/>
          <w:lang w:val="en-US"/>
        </w:rPr>
        <w:t>(De Souza &amp; Castilla, 2019)</w:t>
      </w:r>
      <w:r w:rsidRPr="006350F8">
        <w:rPr>
          <w:lang w:val="en-US"/>
        </w:rPr>
        <w:fldChar w:fldCharType="end"/>
      </w:r>
      <w:r w:rsidRPr="006350F8">
        <w:rPr>
          <w:lang w:val="en-US"/>
        </w:rPr>
        <w:t>. Decentralization of electricity generation, when properly designed, can enhance system overall reliability because the power system has more generators, and the failure of a DGU is, in theory, not as catastrophic as the failure of a big generator in a traditional system.</w:t>
      </w:r>
    </w:p>
    <w:p w14:paraId="0F1982BF" w14:textId="4B2CC7A7" w:rsidR="006350F8" w:rsidRPr="006350F8" w:rsidRDefault="006350F8" w:rsidP="00F03645">
      <w:pPr>
        <w:spacing w:line="480" w:lineRule="auto"/>
        <w:rPr>
          <w:lang w:val="en-US"/>
        </w:rPr>
      </w:pPr>
      <w:r w:rsidRPr="006350F8">
        <w:rPr>
          <w:lang w:val="en-US"/>
        </w:rPr>
        <w:t xml:space="preserve">However, in practice, the interactions of the many various sources and loads in the system </w:t>
      </w:r>
      <w:r w:rsidR="009861F9">
        <w:rPr>
          <w:lang w:val="en-US"/>
        </w:rPr>
        <w:t>are</w:t>
      </w:r>
      <w:r w:rsidRPr="006350F8">
        <w:rPr>
          <w:lang w:val="en-US"/>
        </w:rPr>
        <w:t xml:space="preserve"> more likely to lead to some destabilizing event in the microgrid, potentially h</w:t>
      </w:r>
      <w:r w:rsidR="009861F9">
        <w:rPr>
          <w:lang w:val="en-US"/>
        </w:rPr>
        <w:t>urting</w:t>
      </w:r>
      <w:r w:rsidRPr="006350F8">
        <w:rPr>
          <w:lang w:val="en-US"/>
        </w:rPr>
        <w:t xml:space="preserve"> the quality of service </w:t>
      </w:r>
      <w:r w:rsidRPr="006350F8">
        <w:rPr>
          <w:lang w:val="en-US"/>
        </w:rPr>
        <w:fldChar w:fldCharType="begin" w:fldLock="1"/>
      </w:r>
      <w:r w:rsidR="005357FC">
        <w:rPr>
          <w:lang w:val="en-US"/>
        </w:rPr>
        <w:instrText>ADDIN CSL_CITATION {"citationItems":[{"id":"ITEM-1","itemData":{"ISSN":"0885-8969","author":[{"dropping-particle":"","family":"Xie","given":"Xiaorong","non-dropping-particle":"","parse-names":false,"suffix":""},{"dropping-particle":"","family":"Zhang","given":"Xu","non-dropping-particle":"","parse-names":false,"suffix":""},{"dropping-particle":"","family":"Liu","given":"Huakun","non-dropping-particle":"","parse-names":false,"suffix":""},{"dropping-particle":"","family":"Liu","given":"Hui","non-dropping-particle":"","parse-names":false,"suffix":""},{"dropping-particle":"","family":"Li","given":"Yunhong","non-dropping-particle":"","parse-names":false,"suffix":""},{"dropping-particle":"","family":"Zhang","given":"Chuanyu","non-dropping-particle":"","parse-names":false,"suffix":""}],"container-title":"IEEE Transactions on Energy Conversion","id":"ITEM-1","issue":"3","issued":{"date-parts":[["2017"]]},"page":"1117-1126","publisher":"IEEE","title":"Characteristic analysis of subsynchronous resonance in practical wind farms connected to series-compensated transmissions","type":"article-journal","volume":"32"},"uris":["http://www.mendeley.com/documents/?uuid=6bd9baaa-9942-45b5-a68f-9d246b76d632"]}],"mendeley":{"formattedCitation":"(X. Xie et al., 2017)","plainTextFormattedCitation":"(X. Xie et al., 2017)","previouslyFormattedCitation":"(X. Xie et al., 2017)"},"properties":{"noteIndex":0},"schema":"https://github.com/citation-style-language/schema/raw/master/csl-citation.json"}</w:instrText>
      </w:r>
      <w:r w:rsidRPr="006350F8">
        <w:rPr>
          <w:lang w:val="en-US"/>
        </w:rPr>
        <w:fldChar w:fldCharType="separate"/>
      </w:r>
      <w:r w:rsidR="00046467" w:rsidRPr="00046467">
        <w:rPr>
          <w:noProof/>
          <w:lang w:val="en-US"/>
        </w:rPr>
        <w:t>(X. Xie et al., 2017)</w:t>
      </w:r>
      <w:r w:rsidRPr="006350F8">
        <w:rPr>
          <w:lang w:val="en-US"/>
        </w:rPr>
        <w:fldChar w:fldCharType="end"/>
      </w:r>
      <w:r w:rsidRPr="006350F8">
        <w:rPr>
          <w:lang w:val="en-US"/>
        </w:rPr>
        <w:t>. Thus, the presence of many generation nodes (powered by intermittent resources) on a grid, with the potential for disconnection and reconnection to other power systems presents a complex grid structure in which special care must be taken to ensure stability of the system. This engineering problem has been widely identified in research as requiring the design of novel control strategies and power dispatch methods to allow for seamless integration and utilization of energy storage systems, especially when the renewable penetration level in the microgrid is very high</w:t>
      </w:r>
      <w:r w:rsidRPr="006350F8">
        <w:rPr>
          <w:lang w:val="en-US"/>
        </w:rPr>
        <w:fldChar w:fldCharType="begin" w:fldLock="1"/>
      </w:r>
      <w:r w:rsidR="00AC5C84">
        <w:rPr>
          <w:lang w:val="en-US"/>
        </w:rPr>
        <w:instrText>ADDIN CSL_CITATION {"citationItems":[{"id":"ITEM-1","itemData":{"DOI":"10.1016/B978-0-12-812959-3.00014-9","ISBN":"9780128132173","abstract":"The development of wind power industry is rapid. Large-scale wind farms are being connected to power systems. The integration of wind power and solar with high penetration has large impacts on the stability and reliability of power systems. Recent studies focus on the advanced solutions to prevent severe consequences for the power systems considered. As a result, wind farms are a sink for reactive power. The management of reactive power system is required to avoid low-voltage issues in the wind power system. Flexible AC Transmission Systems devices enhance the performance of the electric power, which include a group of shunt and series devices such as static synchronous compensator (STATCOM) that can support the required reactive power for stabilization voltage. STATCOM applications in wind farms have been studied and the results from previous studies indicate that it can support the reactive power required to the wind farm under various operating conditions, thereby improving the stability of the network.","author":[{"dropping-particle":"","family":"Youssef","given":"Erhab","non-dropping-particle":"","parse-names":false,"suffix":""},{"dropping-particle":"","family":"Sharaf","given":"Adel","non-dropping-particle":"","parse-names":false,"suffix":""},{"dropping-particle":"","family":"Amin","given":"Amr","non-dropping-particle":"","parse-names":false,"suffix":""},{"dropping-particle":"","family":"Samhey","given":"Adel","non-dropping-particle":"El","parse-names":false,"suffix":""}],"container-title":"Advances in Renewable Energies and Power Technologies","id":"ITEM-1","issued":{"date-parts":[["2018"]]},"number-of-pages":"431-460","publisher":"Elsevier Inc.","title":"Wind Energy FACTS Applications and Stabilization Schemes","type":"book","volume":"1"},"uris":["http://www.mendeley.com/documents/?uuid=25b6f34f-1a1e-4bfb-b05b-f539fa711eb1"]},{"id":"ITEM-2","itemData":{"DOI":"10.1002/er.4847","ISSN":"1099114X","abstract":"Increased energy demands due to rapid industrialization, environmental concerns with fossil fuel–based generation, diminishing fossil energy resources, transmission network congestion, and technical performance deterioration are the motivations behind the integration of small renewable distributed generation (DG) units and turning the existing power systems into a restructured one. Optimizing the technical benefits offered by DG placement is a well-known challenge for distribution network operators (DNOs) for both fossil and renewable energy resource–based DGs, but renewable DG systems have several power quality (PQ) challenges associated additionally. Power quality is a very significant characteristic of renewable DG systems because today's loads are more sensitive to PQ disturbances and penetration of renewable energy as well as nonlinear loads is proliferating in distribution power networks. So the need for innovative power quality improvement (PQI) techniques becomes inevitable due to ongoing reformation in traditional distribution networks by the integration of renewable energy. This article presents a comprehensive analysis of power quality challenges with grid integration of renewable DG systems and current research status of associated mitigation techniques. Firstly, this paper puts emphasis on theoretically illustrating all the crucial power quality challenges associated with grid integration of renewable energy, and secondly, a thorough survey, of all PQI techniques introduced till date, is elaborated along with highlighting the opportunities for future research. Furthermore, all the crucial power quality issues, the impact of high penetration of renewable energy and mitigation techniques on power quality, are demonstrated also by simulating a grid integrated PV-based DG system in MATLAB/Simulink. This article is believed to be very beneficial for academics as well as industry professionals to understand existing PQ challenges, PQI techniques, and future research directions for renewable energy technologies.","author":[{"dropping-particle":"","family":"Bajaj","given":"Mohit","non-dropping-particle":"","parse-names":false,"suffix":""},{"dropping-particle":"","family":"Singh","given":"Amit Kumar","non-dropping-particle":"","parse-names":false,"suffix":""}],"container-title":"International Journal of Energy Research","id":"ITEM-2","issue":"1","issued":{"date-parts":[["2020"]]},"page":"26-69","title":"Grid integrated renewable DG systems: A review of power quality challenges and state-of-the-art mitigation techniques","type":"article-journal","volume":"44"},"uris":["http://www.mendeley.com/documents/?uuid=135db8fa-a9d4-4bc4-baa1-468e46a1f8d9"]},{"id":"ITEM-3","itemData":{"DOI":"10.1016/j.segan.2021.100502","ISSN":"23524677","abstract":"In grid-connected Distributed Generation (DG) systems, with high-penetrations of renewable and energy storage assets, the prediction of grid voltage and frequency plays an important role in enabling the power quality support, the stabilization and monitoring of distribution networks. In this paper, a method based on Artificial Neural Networks (ANNs) and Deep Recurrent Neural Networks (DRNN) has been developed for very short-term prediction of grid voltage and frequency. For different time scales (183ms, 1s, 10s, 60s), one-step and multistep ahead forecasters are developed to predict the future behavior of grid parameters. This type of predictors can be used in distributed generation systems to enhance the control performance, to prevent the occurrence of grid faults and to improve the power systems stability. The data used to establish and validate the ANNs forecasters are provided from grid connected battery storage system installed at the University of Manchester. The developed prediction models have been validated experimentally via a dSPACE real-time controller. The obtained results show that the ANNs forecasters are able to predict in real time the grid voltage and frequency with satisfactory accuracy as the largest mean absolute percent error is 0.32%.","author":[{"dropping-particle":"","family":"Chettibi","given":"N.","non-dropping-particle":"","parse-names":false,"suffix":""},{"dropping-particle":"","family":"Massi Pavan","given":"A.","non-dropping-particle":"","parse-names":false,"suffix":""},{"dropping-particle":"","family":"Mellit","given":"A.","non-dropping-particle":"","parse-names":false,"suffix":""},{"dropping-particle":"","family":"Forsyth","given":"A. J.","non-dropping-particle":"","parse-names":false,"suffix":""},{"dropping-particle":"","family":"Todd","given":"R.","non-dropping-particle":"","parse-names":false,"suffix":""}],"container-title":"Sustainable Energy, Grids and Networks","id":"ITEM-3","issued":{"date-parts":[["2021"]]},"page":"100502","publisher":"Elsevier Ltd","title":"Real-time prediction of grid voltage and frequency using artificial neural networks: An experimental validation","type":"article-journal","volume":"27"},"uris":["http://www.mendeley.com/documents/?uuid=52c6972d-3fe7-4ae6-b53c-f7fa8a480c1d"]},{"id":"ITEM-4","itemData":{"DOI":"10.1109/ACCESS.2017.2747086","ISSN":"21693536","abstract":"Photovoltaic embedded generation in low-voltage ac networks is quite popular; however, despite its benefits, there are some problems especially when photovoltaic (PV) penetration exceeds certain thresholds. Among others, voltage violation is of prime importance. Our review of the literature focused on PV penetration limits due to voltage violations in low-voltage (LV) networks. The review revealed that voltage violations can occur at a penetration level as low as 2.5% when a large distributed generator (DG) is installed at a single point. Alternatively, a LV network can host a large number of photovoltaic distributed generators (PVDGs), with a penetration level up to 110% if evenly distributed over shorter lengths. However, an LV network has no rules of thumb for safe penetration limits. Penetration-level calculations have been found that they used numerous approaches, which we have analyzed and discussed to adopt a more rational and unified approach. Our literature review revealed that, in LVs, a very high penetration level can be achieved as compared with medium-voltage (MV) networks. However, MV voltage-level control problems impose a limit for PV hosting in LV networks. There is a need to evolve strategies for robust voltage control at the MV level and to develop certain rules of thumb for PV penetration limits in LV networks independent of the MV level, to increase the PV hosting capacity.","author":[{"dropping-particle":"","family":"Aziz","given":"Tariq","non-dropping-particle":"","parse-names":false,"suffix":""},{"dropping-particle":"","family":"Ketjoy","given":"Nipon","non-dropping-particle":"","parse-names":false,"suffix":""}],"container-title":"IEEE Access","id":"ITEM-4","issued":{"date-parts":[["2017"]]},"page":"16784-16792","title":"PV Penetration Limits in Low Voltage Networks and Voltage Variations","type":"article-journal","volume":"5"},"uris":["http://www.mendeley.com/documents/?uuid=1a372595-ce2d-49d5-b596-f19f1a3ea8d4"]},{"id":"ITEM-5","itemData":{"DOI":"10.1007/978-3-319-51343-0","ISBN":"9783319513423","abstract":"This book features extensive coverage of all Distributed Energy Generation technologies, highlighting the technical, environmental and economic aspects of distributed resource integration, such as line loss reduction, protection, control, storage, power electronics, reliability improvement, and voltage profile optimization. It explains how electric power system planners, developers, operators, designers, regulators and policy makers can derive many benefits with increased penetration of distributed generation units into smart distribution networks. It further demonstrates how to best realize these benefits via skillful integration of distributed energy sources, based upon an understanding of the characteristics of loads and network configuration.","author":[{"dropping-particle":"","family":"Bansal","given":"Ramesh","non-dropping-particle":"","parse-names":false,"suffix":""}],"container-title":"Handbook of Distributed Generation","id":"ITEM-5","issued":{"date-parts":[["2017"]]},"title":"Handbook of Distributed Generation","type":"book"},"uris":["http://www.mendeley.com/documents/?uuid=f431509b-e0b3-4490-a9de-21c8689662ed"]},{"id":"ITEM-6","itemData":{"DOI":"https://doi.org/10.1016/j.enconman.2020.113608","ISSN":"0196-8904","abstract":"Significant dependence on fossil fuels and freshwater shortage are common problems in remote and arid regions. In this context, the operation of a wind-solar-diesel-battery-reverse osmosis hybrid energy system has become a suitable option to solve this problem. However, owing to the uncertainties of renewable energy availability and load demand, it is a challenge for operators to develop an energy management scheme for such a system. This study aims to determine a real-time dynamic energy management strategy considering the uncertainties of the system. To this end, the energy management of a hybrid energy system is presented as an optimal control objective, and multi-targets are considered along with constraints. The information entropy theory is introduced to calculate the weight factor for the trade-off between different targets. Then, a deep reinforcement learning algorithm is adopted to solve this problem and obtain the optimal control policy. Finally, the proposed method is applied to a typical hybrid energy system, and numerous data are applied to train an agent to obtain the optimal energy management policy. Simulation results demonstrate that a well-trained agent can provide a better control policy and reduce costs by up to 14.17% in comparison with other methods.","author":[{"dropping-particle":"","family":"Zhang","given":"Guozhou","non-dropping-particle":"","parse-names":false,"suffix":""},{"dropping-particle":"","family":"Hu","given":"Weihao","non-dropping-particle":"","parse-names":false,"suffix":""},{"dropping-particle":"","family":"Cao","given":"Di","non-dropping-particle":"","parse-names":false,"suffix":""},{"dropping-particle":"","family":"Liu","given":"Wen","non-dropping-particle":"","parse-names":false,"suffix":""},{"dropping-particle":"","family":"Huang","given":"Rui","non-dropping-particle":"","parse-names":false,"suffix":""},{"dropping-particle":"","family":"Huang","given":"Qi","non-dropping-particle":"","parse-names":false,"suffix":""},{"dropping-particle":"","family":"Chen","given":"Zhe","non-dropping-particle":"","parse-names":false,"suffix":""},{"dropping-particle":"","family":"Blaabjerg","given":"Frede","non-dropping-particle":"","parse-names":false,"suffix":""}],"container-title":"Energy Conversion and Management","id":"ITEM-6","issued":{"date-parts":[["2021"]]},"page":"113608","title":"Data-driven optimal energy management for a wind-solar-diesel-battery-reverse osmosis hybrid energy system using a deep reinforcement learning approach","type":"article-journal","volume":"227"},"uris":["http://www.mendeley.com/documents/?uuid=e22af371-2bca-41a8-aa78-04588014fad8"]},{"id":"ITEM-7","itemData":{"DOI":"10.1109/TPWRS.2019.2895573","ISSN":"15580679","abstract":"This letter describes an enhanced multi-period dispatch model for microgrids, in which frequency-aware islanding constraints are established to ensure microgrids with the capability to ride through unplanned islanding events. Rather than specifying the upward/downward primary reserve requirements as fixed amounts, the proposed dispatch scheme determines the primary reserve requirements by explicitly simulating under- or over-frequency dynamics caused by potential islanding events. To remove the nonlinearity, a two-stage solution strategy is proposed. Case studies demonstrate the effectiveness of the proposed microgrid dispatch scheme.","author":[{"dropping-particle":"","family":"Wen","given":"Yunfeng","non-dropping-particle":"","parse-names":false,"suffix":""},{"dropping-particle":"","family":"Chung","given":"C Y","non-dropping-particle":"","parse-names":false,"suffix":""},{"dropping-particle":"","family":"Liu","given":"Xuan","non-dropping-particle":"","parse-names":false,"suffix":""},{"dropping-particle":"","family":"Che","given":"Liang","non-dropping-particle":"","parse-names":false,"suffix":""}],"container-title":"IEEE Transactions on Power Systems","id":"ITEM-7","issue":"3","issued":{"date-parts":[["2019"]]},"page":"2465-2468","publisher":"IEEE","title":"Microgrid dispatch with frequency-aware islanding constraints","type":"article-journal","volume":"34"},"uris":["http://www.mendeley.com/documents/?uuid=8f44b5a8-2dbe-4bdb-8d8a-b19d77c7d730"]}],"mendeley":{"formattedCitation":"(Aziz &amp; Ketjoy, 2017; Bajaj &amp; Singh, 2020; Bansal, 2017; Chettibi et al., 2021; Wen et al., 2019; Youssef et al., 2018; Zhang et al., 2021)","plainTextFormattedCitation":"(Aziz &amp; Ketjoy, 2017; Bajaj &amp; Singh, 2020; Bansal, 2017; Chettibi et al., 2021; Wen et al., 2019; Youssef et al., 2018; Zhang et al., 2021)","previouslyFormattedCitation":"(Aziz &amp; Ketjoy, 2017; Bajaj &amp; Singh, 2020; Bansal, 2017; Chettibi et al., 2021; Wen et al., 2019; Youssef et al., 2018; Zhang et al., 2021)"},"properties":{"noteIndex":0},"schema":"https://github.com/citation-style-language/schema/raw/master/csl-citation.json"}</w:instrText>
      </w:r>
      <w:r w:rsidRPr="006350F8">
        <w:rPr>
          <w:lang w:val="en-US"/>
        </w:rPr>
        <w:fldChar w:fldCharType="separate"/>
      </w:r>
      <w:r w:rsidR="00A97D34" w:rsidRPr="00A97D34">
        <w:rPr>
          <w:noProof/>
          <w:lang w:val="en-US"/>
        </w:rPr>
        <w:t>(Aziz &amp; Ketjoy, 2017; Bajaj &amp; Singh, 2020; Bansal, 2017; Chettibi et al., 2021; Wen et al., 2019; Youssef et al., 2018; Zhang et al., 2021)</w:t>
      </w:r>
      <w:r w:rsidRPr="006350F8">
        <w:rPr>
          <w:lang w:val="en-US"/>
        </w:rPr>
        <w:fldChar w:fldCharType="end"/>
      </w:r>
      <w:r w:rsidRPr="006350F8">
        <w:rPr>
          <w:lang w:val="en-US"/>
        </w:rPr>
        <w:t>.</w:t>
      </w:r>
    </w:p>
    <w:p w14:paraId="60B993C1" w14:textId="6FBC6AB2" w:rsidR="006350F8" w:rsidRPr="006350F8" w:rsidRDefault="006350F8" w:rsidP="00F03645">
      <w:pPr>
        <w:spacing w:line="480" w:lineRule="auto"/>
        <w:rPr>
          <w:lang w:val="en-US"/>
        </w:rPr>
      </w:pPr>
      <w:r w:rsidRPr="006350F8">
        <w:rPr>
          <w:lang w:val="en-US"/>
        </w:rPr>
        <w:t xml:space="preserve">In most microgrids, the primary source of energy is not one massive synchronous generator, but usually asynchronous machines and semiconductor-based electricity generation technologies. As such, traditional droop control </w:t>
      </w:r>
      <w:r w:rsidR="009861F9">
        <w:rPr>
          <w:lang w:val="en-US"/>
        </w:rPr>
        <w:t xml:space="preserve">as </w:t>
      </w:r>
      <w:r w:rsidRPr="006350F8">
        <w:rPr>
          <w:lang w:val="en-US"/>
        </w:rPr>
        <w:t>us</w:t>
      </w:r>
      <w:r w:rsidR="009861F9">
        <w:rPr>
          <w:lang w:val="en-US"/>
        </w:rPr>
        <w:t>ed</w:t>
      </w:r>
      <w:r w:rsidRPr="006350F8">
        <w:rPr>
          <w:lang w:val="en-US"/>
        </w:rPr>
        <w:t xml:space="preserve"> for machine-only power systems </w:t>
      </w:r>
      <w:r w:rsidR="009861F9">
        <w:rPr>
          <w:lang w:val="en-US"/>
        </w:rPr>
        <w:t>is</w:t>
      </w:r>
      <w:r w:rsidRPr="006350F8">
        <w:rPr>
          <w:lang w:val="en-US"/>
        </w:rPr>
        <w:t xml:space="preserve"> mostly found to be inadequate</w:t>
      </w:r>
      <w:r w:rsidRPr="006350F8">
        <w:rPr>
          <w:lang w:val="en-US"/>
        </w:rPr>
        <w:fldChar w:fldCharType="begin" w:fldLock="1"/>
      </w:r>
      <w:r w:rsidR="00AC5C84">
        <w:rPr>
          <w:lang w:val="en-US"/>
        </w:rPr>
        <w:instrText>ADDIN CSL_CITATION {"citationItems":[{"id":"ITEM-1","itemData":{"DOI":"10.1109/PECON.2018.8684119","ISBN":"9781538654316","abstract":"This paper proposes a current control strategy for a Photovoltaic (PV) system in three-phase three-wire grid-connected microgrids under unbalanced and nonlinear load conditions. The proposed control strategy comprise of a multi-loop control technique to provide balanced output current, multi-resonant harmonic compensator to reduce the Total Harmonic Distortion (THD) and a droop-based control scheme to achieve accurate power sharing. Additionally, the current THDs were reduced from above 17.51% to lower than 3% with the proposed control strategy under nonlinear load conditions. The effectiveness of the proposed control strategy was proven via simulation using MATLAB/Simulink.","author":[{"dropping-particle":"","family":"Naderipour","given":"A.","non-dropping-particle":"","parse-names":false,"suffix":""},{"dropping-particle":"","family":"Abdul-Malek","given":"Z.","non-dropping-particle":"","parse-names":false,"suffix":""},{"dropping-particle":"","family":"Abohamzeh","given":"E.","non-dropping-particle":"","parse-names":false,"suffix":""},{"dropping-particle":"","family":"Ramachandaramurthy","given":"Vigna K.","non-dropping-particle":"","parse-names":false,"suffix":""},{"dropping-particle":"","family":"Miveh","given":"M. R.","non-dropping-particle":"","parse-names":false,"suffix":""}],"container-title":"2018 IEEE 7th International Conference on Power and Energy, PECon 2018","id":"ITEM-1","issued":{"date-parts":[["2018"]]},"page":"45-49","publisher":"IEEE","title":"Control strategy of Grid-Connected PV Inverters in Microgrid with Nonlinear Operating Conditions","type":"article-journal"},"uris":["http://www.mendeley.com/documents/?uuid=b6e5d8fe-90a4-436b-b3c7-4ee39e46ec37"]},{"id":"ITEM-2","itemData":{"DOI":"10.1109/ICISC.2018.8399123","ISBN":"9781538608074","abstract":"In the evolving power system, DC micro-grid is an attractive alternate structure given its smooth interface with renewable power sources, electric loads, and storage technology. This paper presents a survey of the important research works already reported focusing on various power quality issues and control strategies related to dc microgrid. Different control concepts such as fuzzy control, droop control, hierarchical control and multi agent based control have been briefly discussed in this paper. Various configurations of DC microgrid have been comprehensively covered and reviewed.","author":[{"dropping-particle":"","family":"Rawat","given":"Gajraj Singh","non-dropping-particle":"","parse-names":false,"suffix":""},{"dropping-particle":"","family":"Sathans","given":"","non-dropping-particle":"","parse-names":false,"suffix":""}],"container-title":"Proceedings of the 2nd International Conference on Inventive Systems and Control, ICISC 2018","id":"ITEM-2","issue":"Icisc","issued":{"date-parts":[["2018"]]},"page":"500-505","publisher":"IEEE","title":"Survey on DC microgrid architecture, power quality issues and control strategies","type":"article-journal"},"uris":["http://www.mendeley.com/documents/?uuid=7bb91499-7173-4018-861b-43b4a5b72ae7"]},{"id":"ITEM-3","itemData":{"DOI":"10.1109/TSG.2017.2651147","ISSN":"19493053","abstract":"The massive integration of distributed generation in the grid poses new challenges to the system operators, like the reverse power flow from the low voltage (LV) to medium voltage (MV) grid. In the case of high DG power production and low load absorption, the voltage rises in the line reaching the upper voltage limit. At this regard the smart transformer (ST) offers a new possibility to limit the reverse power flow in the MV grids. The ST can adapt the voltage waveform modifying the frequency in order to interact with the local distributed generation, that are normally equipped with droop characteristic. However, when a fast change in the frequency is applied to avoid reverse power flow to MV grid, stability problems, so far not investigated, arise. In this paper, the stability analysis has been performed analytically and validated by means of control-hardware-in-loop in a real time digital simulator and with experimental results in laboratory.","author":[{"dropping-particle":"","family":"Carne","given":"Giovanni","non-dropping-particle":"De","parse-names":false,"suffix":""},{"dropping-particle":"","family":"Buticchi","given":"Giampaolo","non-dropping-particle":"","parse-names":false,"suffix":""},{"dropping-particle":"","family":"Zou","given":"Zhixiang","non-dropping-particle":"","parse-names":false,"suffix":""},{"dropping-particle":"","family":"Liserre","given":"Marco","non-dropping-particle":"","parse-names":false,"suffix":""}],"container-title":"IEEE Transactions on Smart Grid","id":"ITEM-3","issue":"4","issued":{"date-parts":[["2018","7","1"]]},"page":"3811-3819","publisher":"Institute of Electrical and Electronics Engineers Inc.","title":"Reverse Power Flow Control in a ST-Fed Distribution Grid","type":"article-journal","volume":"9"},"uris":["http://www.mendeley.com/documents/?uuid=71a8a494-99e7-49bf-be82-5707970607f6"]}],"mendeley":{"formattedCitation":"(De Carne et al., 2018; Naderipour et al., 2018; Rawat &amp; Sathans, 2018)","plainTextFormattedCitation":"(De Carne et al., 2018; Naderipour et al., 2018; Rawat &amp; Sathans, 2018)","previouslyFormattedCitation":"(De Carne et al., 2018; Naderipour et al., 2018; Rawat &amp; Sathans, 2018)"},"properties":{"noteIndex":0},"schema":"https://github.com/citation-style-language/schema/raw/master/csl-citation.json"}</w:instrText>
      </w:r>
      <w:r w:rsidRPr="006350F8">
        <w:rPr>
          <w:lang w:val="en-US"/>
        </w:rPr>
        <w:fldChar w:fldCharType="separate"/>
      </w:r>
      <w:r w:rsidR="00A97D34" w:rsidRPr="00A97D34">
        <w:rPr>
          <w:noProof/>
          <w:lang w:val="en-US"/>
        </w:rPr>
        <w:t>(De Carne et al., 2018; Naderipour et al., 2018; Rawat &amp; Sathans, 2018)</w:t>
      </w:r>
      <w:r w:rsidRPr="006350F8">
        <w:rPr>
          <w:lang w:val="en-US"/>
        </w:rPr>
        <w:fldChar w:fldCharType="end"/>
      </w:r>
      <w:r w:rsidRPr="006350F8">
        <w:rPr>
          <w:lang w:val="en-US"/>
        </w:rPr>
        <w:t>. The control strategies that are developed to operate these kinds of hybrid power systems frequently contribute to stability issues faced in microgrids, which has attracted significant research investigations into their effects on power system stability</w:t>
      </w:r>
      <w:r w:rsidRPr="006350F8">
        <w:rPr>
          <w:lang w:val="en-US"/>
        </w:rPr>
        <w:fldChar w:fldCharType="begin" w:fldLock="1"/>
      </w:r>
      <w:r w:rsidR="008E6BA7">
        <w:rPr>
          <w:lang w:val="en-US"/>
        </w:rPr>
        <w:instrText>ADDIN CSL_CITATION {"citationItems":[{"id":"ITEM-1","itemData":{"DOI":"10.3390/en14061540","ISSN":"19961073","abstract":"This paper proposes a Hybrid Microgrid (HmG) model including distributed generation (DG) and a hydrogen-based storage system, controlled through a tailored control strategy. The HmG is composed of three DG units, two of them supplied by solar and wind sources, and the latter one based on the exploitation of the Proton Exchange Membrane (PEM) technology. Furthermore, the system includes an alkaline electrolyser, which is used as a responsive load to balance the excess of Variable Renewable Energy Sources (VRES) production, and to produce the hydrogen that will be stored into the hydrogen tank and that will be used to supply the fuel cell in case of lack of generation. The main objectives of this work are to present a validated dynamic model for every component of the HmG and to provide a strategy to reduce as much as possible the power absorption from the grid by exploiting the VRES production. The alkaline electrolyser and PEM fuel cell models are validated through real measurements. The State of Charge (SoC) of the hydrogen tank is adjusted through an adaptive scheme. Furthermore, the designed supervisor power control allows reducing the power exchange and improving the system stability. Finally, a case, considering a summer load profile measured in an electrical substation of Politecnico di Torino, is presented. The results demonstrates the advantages of a hydrogen-based micro-grid, where the hydrogen is used as medium to store the energy produced by photovoltaic and wind systems, with the aim to improve the self-sufficiency of the system.","author":[{"dropping-particle":"","family":"Londono","given":"Jonny Esteban Villa","non-dropping-particle":"","parse-names":false,"suffix":""},{"dropping-particle":"","family":"Mazza","given":"Andrea","non-dropping-particle":"","parse-names":false,"suffix":""},{"dropping-particle":"","family":"Pons","given":"Enrico","non-dropping-particle":"","parse-names":false,"suffix":""},{"dropping-particle":"","family":"Lok","given":"Harm","non-dropping-particle":"","parse-names":false,"suffix":""},{"dropping-particle":"","family":"Bompard","given":"Ettore","non-dropping-particle":"","parse-names":false,"suffix":""}],"container-title":"Energies","id":"ITEM-1","issue":"6","issued":{"date-parts":[["2021"]]},"page":"1-25","title":"Modelling and control of a grid-connected RES-hydrogen hybrid microgrid","type":"article-journal","volume":"14"},"uris":["http://www.mendeley.com/documents/?uuid=b92f8fa1-fe50-4e13-b601-62049c55ccd7"]},{"id":"ITEM-2","itemData":{"DOI":"https://doi.org/10.1016/j.ijhydene.2020.11.243","ISSN":"0360-3199","abstract":"Energy management of hybrid photovoltaic (PV)-battery systems still serve as a challenging task owing to their complex and nonlinear characteristics, multicomponent structures, and the extensive range of environmental factors disturbing their nominal performance. The hybrid energy system developed in this study encompasses PV arrays, a battery component, one boost converter, and one bidirectional boost converter. In this paper, we propose a novel adaptive robust control framework for the optimal energy management of the PV-battery systems under many operating conditions and subject to unmodelled dynamics. An improved exponential-like adaptive integral sliding mode (EISM) control coupled to neural network approximator is introduced using a multi-rate convergence tweaking mechanism for the sliding surface to improve the transient performance of the closed-loop system. Furthermore, the entire dynamics of the hybrid energy system is considered unknown, unlike the previous studies that only assumed the parametric uncertainties. The global asymptotic stability of the system is guaranteed, and the effectiveness of this novel framework is compared to benchmark studies.","author":[{"dropping-particle":"","family":"Taghavifar","given":"Hadi","non-dropping-particle":"","parse-names":false,"suffix":""},{"dropping-particle":"","family":"Taghavifar","given":"Hamid","non-dropping-particle":"","parse-names":false,"suffix":""}],"container-title":"International Journal of Hydrogen Energy","id":"ITEM-2","issue":"10","issued":{"date-parts":[["2021"]]},"page":"7442-7453","title":"Adaptive robust control-based energy management of hybrid PV-Battery systems with improved transient performance","type":"article-journal","volume":"46"},"uris":["http://www.mendeley.com/documents/?uuid=96d319d6-fc23-4aa6-b9a8-3ac11280f645"]}],"mendeley":{"formattedCitation":"(Londono et al., 2021; Taghavifar &amp; Taghavifar, 2021)","plainTextFormattedCitation":"(Londono et al., 2021; Taghavifar &amp; Taghavifar, 2021)","previouslyFormattedCitation":"(Londono et al., 2021; Taghavifar &amp; Taghavifar, 2021)"},"properties":{"noteIndex":0},"schema":"https://github.com/citation-style-language/schema/raw/master/csl-citation.json"}</w:instrText>
      </w:r>
      <w:r w:rsidRPr="006350F8">
        <w:rPr>
          <w:lang w:val="en-US"/>
        </w:rPr>
        <w:fldChar w:fldCharType="separate"/>
      </w:r>
      <w:r w:rsidR="00A97D34" w:rsidRPr="00A97D34">
        <w:rPr>
          <w:noProof/>
          <w:lang w:val="en-US"/>
        </w:rPr>
        <w:t>(Londono et al., 2021; Taghavifar &amp; Taghavifar, 2021)</w:t>
      </w:r>
      <w:r w:rsidRPr="006350F8">
        <w:rPr>
          <w:lang w:val="en-US"/>
        </w:rPr>
        <w:fldChar w:fldCharType="end"/>
      </w:r>
      <w:r w:rsidRPr="006350F8">
        <w:rPr>
          <w:lang w:val="en-US"/>
        </w:rPr>
        <w:t>.</w:t>
      </w:r>
    </w:p>
    <w:p w14:paraId="4A66400F" w14:textId="7B57C076" w:rsidR="006350F8" w:rsidRPr="006350F8" w:rsidRDefault="006350F8" w:rsidP="00F03645">
      <w:pPr>
        <w:spacing w:line="480" w:lineRule="auto"/>
        <w:rPr>
          <w:lang w:val="en-US"/>
        </w:rPr>
      </w:pPr>
      <w:r w:rsidRPr="006350F8">
        <w:rPr>
          <w:lang w:val="en-US"/>
        </w:rPr>
        <w:t xml:space="preserve"> It is important to note that microgrids can be AC</w:t>
      </w:r>
      <w:r w:rsidR="009861F9">
        <w:rPr>
          <w:lang w:val="en-US"/>
        </w:rPr>
        <w:t>-</w:t>
      </w:r>
      <w:r w:rsidRPr="006350F8">
        <w:rPr>
          <w:lang w:val="en-US"/>
        </w:rPr>
        <w:t>based like traditional power systems</w:t>
      </w:r>
      <w:r w:rsidRPr="006350F8">
        <w:rPr>
          <w:lang w:val="en-US"/>
        </w:rPr>
        <w:fldChar w:fldCharType="begin" w:fldLock="1"/>
      </w:r>
      <w:r w:rsidR="008E6BA7">
        <w:rPr>
          <w:lang w:val="en-US"/>
        </w:rPr>
        <w:instrText>ADDIN CSL_CITATION {"citationItems":[{"id":"ITEM-1","itemData":{"DOI":"10.1016/j.segan.2021.100482","ISSN":"23524677","abstract":"This paper proposes a novel sequential optimization strategy (SOS) for optimal allocation of both active and reactive power among dispatchable distributed generator (DDG) units present in a droop controlled islanded AC microgrid. Active power is optimally dispatched based on the simultaneous satisfaction of an economic objective of total operational cost (TOC) minimization, along with an environmental objective of total operational emission (TOE) minimization, as well as a network-related objective of total active power loss (Ploss) minimization. A fuzzy-embedded multi-objective particle swarm optimization (FMOPSO) technique is used to solve this optimization problem. Reactive power is optimally allocated depending on the objective of capacity based reactive power sharing, which is solved using the conventional particle swarm optimization (PSO) algorithm. Node voltage deviation index (NVDI) and total active power loss in the network (Ploss) are used as two main attributes to quantitatively measure the improvement in node voltage profile as a result of optimal sharing of reactive power among the dispatchable distributed generator units. The presence of local heat demand and uncertainties inherent in weather dependent load demand and renewable generation are taken into consideration. A novel mixed probabilistic–possibilistic scenario based approach (MPPSBA) is put forward to model the uncertainties associated with both the electrical and heat load demand and renewable distributed generator (RDG) output. The effectiveness of the proposed methods is demonstrated on a 33-node droop controlled islanded microgrid (DCIMG) test network.","author":[{"dropping-particle":"","family":"Roy","given":"Nibir Baran","non-dropping-particle":"","parse-names":false,"suffix":""},{"dropping-particle":"","family":"Das","given":"Debapriya","non-dropping-particle":"","parse-names":false,"suffix":""}],"container-title":"Sustainable Energy, Grids and Networks","id":"ITEM-1","issued":{"date-parts":[["2021"]]},"page":"100482","publisher":"Elsevier Ltd","title":"Optimal allocation of active and reactive power of dispatchable distributed generators in a droop controlled islanded microgrid considering renewable generation and load demand uncertainties","type":"article-journal","volume":"27"},"uris":["http://www.mendeley.com/documents/?uuid=8c26748d-9e25-426b-a7a7-8ebe25011227"]}],"mendeley":{"formattedCitation":"(Roy &amp; Das, 2021)","plainTextFormattedCitation":"(Roy &amp; Das, 2021)","previouslyFormattedCitation":"(Roy &amp; Das, 2021)"},"properties":{"noteIndex":0},"schema":"https://github.com/citation-style-language/schema/raw/master/csl-citation.json"}</w:instrText>
      </w:r>
      <w:r w:rsidRPr="006350F8">
        <w:rPr>
          <w:lang w:val="en-US"/>
        </w:rPr>
        <w:fldChar w:fldCharType="separate"/>
      </w:r>
      <w:r w:rsidR="00A97D34" w:rsidRPr="00A97D34">
        <w:rPr>
          <w:noProof/>
          <w:lang w:val="en-US"/>
        </w:rPr>
        <w:t>(Roy &amp; Das, 2021)</w:t>
      </w:r>
      <w:r w:rsidRPr="006350F8">
        <w:rPr>
          <w:lang w:val="en-US"/>
        </w:rPr>
        <w:fldChar w:fldCharType="end"/>
      </w:r>
      <w:r w:rsidRPr="006350F8">
        <w:rPr>
          <w:lang w:val="en-US"/>
        </w:rPr>
        <w:t>, or they can be DC</w:t>
      </w:r>
      <w:r w:rsidR="009861F9">
        <w:rPr>
          <w:lang w:val="en-US"/>
        </w:rPr>
        <w:t>-</w:t>
      </w:r>
      <w:r w:rsidRPr="006350F8">
        <w:rPr>
          <w:lang w:val="en-US"/>
        </w:rPr>
        <w:t>based depending on the known nature of the loads to be used on them</w:t>
      </w:r>
      <w:r w:rsidRPr="006350F8">
        <w:rPr>
          <w:lang w:val="en-US"/>
        </w:rPr>
        <w:fldChar w:fldCharType="begin" w:fldLock="1"/>
      </w:r>
      <w:r w:rsidR="008E6BA7">
        <w:rPr>
          <w:lang w:val="en-US"/>
        </w:rPr>
        <w:instrText>ADDIN CSL_CITATION {"citationItems":[{"id":"ITEM-1","itemData":{"DOI":"10.1109/ICPERE.2018.8739686","ISBN":"9781538674567","abstract":"This paper proposes a power conditioner system (PCS), a basic building block for isolated microgrid system based on photovoltaic (PV) as the main power source. The power conditioner system consists of a PV chopper, battery chopper, inverter, and DC grid chopper in a single unit. The proposed system is designed for ease of installation and modularity that are important in remote areas. This paper shows measurement results under several conditions. The evaluation shows promising results and a solid basis for electrification in remote areas based on PV.","author":[{"dropping-particle":"","family":"Ardriani","given":"Tri","non-dropping-particle":"","parse-names":false,"suffix":""},{"dropping-particle":"","family":"Sastya","given":"Pungky Dwi","non-dropping-particle":"","parse-names":false,"suffix":""},{"dropping-particle":"","family":"Husnan Arofat","given":"Ahmad","non-dropping-particle":"","parse-names":false,"suffix":""},{"dropping-particle":"","family":"Dahono","given":"Pekik Argo","non-dropping-particle":"","parse-names":false,"suffix":""}],"container-title":"4th IEEE Conference on Power Engineering and Renewable Energy, ICPERE 2018 - Proceedings","id":"ITEM-1","issued":{"date-parts":[["2018"]]},"page":"1-5","publisher":"IEEE","title":"A novel power conditioner system for isolated DC microgrid system","type":"article-journal"},"uris":["http://www.mendeley.com/documents/?uuid=44fbc0e8-dc1a-46db-9d13-e16c2d66cf47"]},{"id":"ITEM-2","itemData":{"DOI":"10.3390/en14020493","ISSN":"19961073","abstract":"DC microgrid has been gaining popularity as solution as a more efficient and simpler power system especially for remote areas, where the main grid has yet to be built. This paper proposes a DC microgrid system based on renewable energy sources that employs decentralized control and without communication between one grid point and another. It can be deployed as an individual isolated unit or to form an expandable DC microgrid through DC bus for better reliability and efficiency. The key element of the proposed system is the power conditioner system (PCS) that works as an interface between energy sources, storage system, and load. PCS consists of modular power electronics devices and a power management unit, which controls power delivery to the AC load and the grid as well as the storage system charging and discharging sequence. Prototypes with 3 kWp solar PV and 13.8 kWh energy storage were developed and adopt a pole-mounted structure for ease of transportation and installation that are important in remote areas. This paper presents measurement results under several conditions of the developed prototypes. The evaluation shows promising results and a solid basis for electrification in remote areas.","author":[{"dropping-particle":"","family":"Ardriani","given":"Tri","non-dropping-particle":"","parse-names":false,"suffix":""},{"dropping-particle":"","family":"Dahono","given":"Pekik Argo","non-dropping-particle":"","parse-names":false,"suffix":""},{"dropping-particle":"","family":"Rizqiawan","given":"Arwindra","non-dropping-particle":"","parse-names":false,"suffix":""},{"dropping-particle":"","family":"Garnia","given":"Erna","non-dropping-particle":"","parse-names":false,"suffix":""},{"dropping-particle":"","family":"Sastya","given":"Pungky Dwi","non-dropping-particle":"","parse-names":false,"suffix":""},{"dropping-particle":"","family":"Arofat","given":"Ahmad Husnan","non-dropping-particle":"","parse-names":false,"suffix":""},{"dropping-particle":"","family":"Ridwan","given":"Muhammad","non-dropping-particle":"","parse-names":false,"suffix":""}],"container-title":"Energies","id":"ITEM-2","issue":"2","issued":{"date-parts":[["2021"]]},"title":"A dc microgrid system for powering remote areas","type":"article-journal","volume":"14"},"uris":["http://www.mendeley.com/documents/?uuid=8d2cb895-f664-433e-9731-6b7f482ffa70"]}],"mendeley":{"formattedCitation":"(Ardriani et al., 2018, 2021)","plainTextFormattedCitation":"(Ardriani et al., 2018, 2021)","previouslyFormattedCitation":"(Ardriani et al., 2018, 2021)"},"properties":{"noteIndex":0},"schema":"https://github.com/citation-style-language/schema/raw/master/csl-citation.json"}</w:instrText>
      </w:r>
      <w:r w:rsidRPr="006350F8">
        <w:rPr>
          <w:lang w:val="en-US"/>
        </w:rPr>
        <w:fldChar w:fldCharType="separate"/>
      </w:r>
      <w:r w:rsidR="00A97D34" w:rsidRPr="00A97D34">
        <w:rPr>
          <w:noProof/>
          <w:lang w:val="en-US"/>
        </w:rPr>
        <w:t>(Ardriani et al., 2018, 2021)</w:t>
      </w:r>
      <w:r w:rsidRPr="006350F8">
        <w:rPr>
          <w:lang w:val="en-US"/>
        </w:rPr>
        <w:fldChar w:fldCharType="end"/>
      </w:r>
      <w:r w:rsidRPr="006350F8">
        <w:rPr>
          <w:lang w:val="en-US"/>
        </w:rPr>
        <w:t>. This is possible because long</w:t>
      </w:r>
      <w:r w:rsidR="009861F9">
        <w:rPr>
          <w:lang w:val="en-US"/>
        </w:rPr>
        <w:t>-</w:t>
      </w:r>
      <w:r w:rsidRPr="006350F8">
        <w:rPr>
          <w:lang w:val="en-US"/>
        </w:rPr>
        <w:t xml:space="preserve">distance transmission which usually calls for voltage level transformation (which is the main advantage of AC) is not always needed in microgrids. Also, where DC voltage transformation is needed, due to the smaller scale of the grid, power electronic converters of sufficient capacity are </w:t>
      </w:r>
      <w:r w:rsidR="00542B6A">
        <w:rPr>
          <w:lang w:val="en-US"/>
        </w:rPr>
        <w:t xml:space="preserve">more </w:t>
      </w:r>
      <w:r w:rsidRPr="006350F8">
        <w:rPr>
          <w:lang w:val="en-US"/>
        </w:rPr>
        <w:t>likely to be furnishable as opposed to when the volume of power to be handled is very large, such as a national grid.</w:t>
      </w:r>
    </w:p>
    <w:p w14:paraId="4FB45D55" w14:textId="28BB0283" w:rsidR="006350F8" w:rsidRPr="006350F8" w:rsidRDefault="006350F8" w:rsidP="00F03645">
      <w:pPr>
        <w:spacing w:line="480" w:lineRule="auto"/>
        <w:rPr>
          <w:lang w:val="en-US"/>
        </w:rPr>
      </w:pPr>
      <w:r w:rsidRPr="006350F8">
        <w:rPr>
          <w:lang w:val="en-US"/>
        </w:rPr>
        <w:t xml:space="preserve">Furthermore, a single microgrid can have both AC and DC buses and sections </w:t>
      </w:r>
      <w:r w:rsidRPr="006350F8">
        <w:rPr>
          <w:lang w:val="en-US"/>
        </w:rPr>
        <w:fldChar w:fldCharType="begin" w:fldLock="1"/>
      </w:r>
      <w:r w:rsidR="008E6BA7">
        <w:rPr>
          <w:lang w:val="en-US"/>
        </w:rPr>
        <w:instrText>ADDIN CSL_CITATION {"citationItems":[{"id":"ITEM-1","itemData":{"DOI":"10.1016/j.ijepes.2020.106265","ISSN":"01420615","abstract":"In this paper, a novel flexible power support control with voltage fluctuation suppression is proposed for islanded hybrid AC/DC microgrid involving distributed energy storage units. The virtual inertia and the interactive relationship between DC bus voltage and AC frequency are introduced into energy storage units (ESs) both in AC and DC subgrids. Therefore, mutual power support from opposite subgrid can be realized and the system inertia can be enhanced while the AC frequency and DC bus voltage are managed. Then, the active power reference of bidirectional interlinking converter (BIC) is modified with the proposed control strategy to achieve proportional power sharing in the whole islanded hybrid AC/DC microgrid. In addition, a controller based on linear active disturbance rejection control (LADRC) is designed according to the BIC model to suppress AC bus voltage fluctuation by using the estimates of disturbances obtained from linear extended state observer (LESO). Finally, stability of the system is analyzed and the results of an RT-LAB-based real-time simulation platform verify the correctness and effectiveness of the proposed control strategy.","author":[{"dropping-particle":"","family":"Li","given":"Song","non-dropping-particle":"","parse-names":false,"suffix":""},{"dropping-particle":"","family":"Li","given":"Yongli","non-dropping-particle":"","parse-names":false,"suffix":""},{"dropping-particle":"","family":"Chen","given":"Xiaolong","non-dropping-particle":"","parse-names":false,"suffix":""},{"dropping-particle":"","family":"Li","given":"Tao","non-dropping-particle":"","parse-names":false,"suffix":""},{"dropping-particle":"","family":"Zhang","given":"Wei","non-dropping-particle":"","parse-names":false,"suffix":""}],"container-title":"International Journal of Electrical Power and Energy Systems","id":"ITEM-1","issue":"June","issued":{"date-parts":[["2020"]]},"page":"106265","publisher":"Elsevier","title":"A novel flexible power support control with voltage fluctuation suppression for islanded hybrid AC/DC microgrid involving distributed energy storage units","type":"article-journal","volume":"123"},"uris":["http://www.mendeley.com/documents/?uuid=eee81989-f7fd-486d-8b2a-cb73bb0911d7"]},{"id":"ITEM-2","itemData":{"DOI":"10.1109/TPWRS.2017.2726444","ISSN":"08858950","abstract":"Frequency stability management of asynchronously interconnected grids is becoming a great challenge. This paper investigates how asynchronous sending- and receiving-end grids can be operated in a synergistic and interactive manner to guarantee frequency stability following the worst case HVDC bipole block while still ensuring operational economy. A novel enhanced frequency stability constrained multiperiod optimal power flow model (EFOPF) with flexible fast-acting HVDC corrective control is proposed. EFOPF dynamically schedules the distribution of primary reserves and HVDC corrective actions to simultaneously handle postcontingency over- and under-frequency disturbances occurring in the sending- and receiving-end grids, respectively. An alternating direction method of multipliers based distributed algorithm was developed to solve this problem. A case study of a modified two-area RTS-96 system demonstrates the effectiveness of the proposed EFOPF.","author":[{"dropping-particle":"","family":"Wen","given":"Yunfeng","non-dropping-particle":"","parse-names":false,"suffix":""},{"dropping-particle":"","family":"Chung","given":"C Y","non-dropping-particle":"","parse-names":false,"suffix":""},{"dropping-particle":"","family":"Ye","given":"Xi","non-dropping-particle":"","parse-names":false,"suffix":""}],"container-title":"IEEE Transactions on Power Systems","id":"ITEM-2","issue":"2","issued":{"date-parts":[["2018"]]},"page":"1800-1810","title":"Enhancing Frequency Stability of Asynchronous Grids Interconnected with HVDC Links","type":"article-journal","volume":"33"},"uris":["http://www.mendeley.com/documents/?uuid=9744908f-0f25-4a88-be4d-d4e79c359989"]}],"mendeley":{"formattedCitation":"(S. Li et al., 2020; Wen et al., 2018)","plainTextFormattedCitation":"(S. Li et al., 2020; Wen et al., 2018)","previouslyFormattedCitation":"(S. Li et al., 2020; Wen et al., 2018)"},"properties":{"noteIndex":0},"schema":"https://github.com/citation-style-language/schema/raw/master/csl-citation.json"}</w:instrText>
      </w:r>
      <w:r w:rsidRPr="006350F8">
        <w:rPr>
          <w:lang w:val="en-US"/>
        </w:rPr>
        <w:fldChar w:fldCharType="separate"/>
      </w:r>
      <w:r w:rsidR="00A97D34" w:rsidRPr="00A97D34">
        <w:rPr>
          <w:noProof/>
          <w:lang w:val="en-US"/>
        </w:rPr>
        <w:t>(S. Li et al., 2020; Wen et al., 2018)</w:t>
      </w:r>
      <w:r w:rsidRPr="006350F8">
        <w:rPr>
          <w:lang w:val="en-US"/>
        </w:rPr>
        <w:fldChar w:fldCharType="end"/>
      </w:r>
      <w:r w:rsidRPr="006350F8">
        <w:rPr>
          <w:lang w:val="en-US"/>
        </w:rPr>
        <w:t>. The choice of any of these configurations tends to depend on local requirements, constraints, and existing infrastructure. However, it is worth noting that distributed generation is not always the optimal way of deploying renewable resources, as there are cases in which the abundance of the renewable resource to be harnessed is found at significantly long distances from the load cent</w:t>
      </w:r>
      <w:r w:rsidR="009861F9">
        <w:rPr>
          <w:lang w:val="en-US"/>
        </w:rPr>
        <w:t>re</w:t>
      </w:r>
      <w:r w:rsidRPr="006350F8">
        <w:rPr>
          <w:lang w:val="en-US"/>
        </w:rPr>
        <w:t>s</w:t>
      </w:r>
      <w:r w:rsidR="00542B6A">
        <w:rPr>
          <w:lang w:val="en-US"/>
        </w:rPr>
        <w:t xml:space="preserve"> </w:t>
      </w:r>
      <w:r w:rsidRPr="006350F8">
        <w:rPr>
          <w:lang w:val="en-US"/>
        </w:rPr>
        <w:fldChar w:fldCharType="begin" w:fldLock="1"/>
      </w:r>
      <w:r w:rsidR="00AC5C84">
        <w:rPr>
          <w:lang w:val="en-US"/>
        </w:rPr>
        <w:instrText>ADDIN CSL_CITATION {"citationItems":[{"id":"ITEM-1","itemData":{"DOI":"10.17775/cseejpes.2017.01200","ISSN":"20960042","abstract":"Rapid development of renewable energy in China is driving a major shift in the characteristics and control requirements of the electricity grid. Since the best renewable energy resources are far away from load centers in the east and southeast, transmission over long distances is required. Over 20 high-voltage DC (HVDC) transmission lines, with a combined capacity exceeding 150 GW, are in operation or are currently under construction. This rapid expansion of new generation and transmission capacities based on power electronics starts to change the characteristics of the grid, especially in areas where they concentrate, creating new stability problems and operational challenges. New system theories and technologies are required to support the development and operation of a future grid that relies more and more on power electronics. This paper highlights the characteristics of power electronics as used in renewable energy generation and HVDC transmission systems, discusses the impacts of these power-electronics-based assets on grid stability and operational requirements, and identifies opportunities for the development of both new system theories and system technologies to support a national energy policy that emphasizes the use of clean energy.","author":[{"dropping-particle":"","family":"Sun","given":"Jian","non-dropping-particle":"","parse-names":false,"suffix":""},{"dropping-particle":"","family":"Li","given":"Mingjie","non-dropping-particle":"","parse-names":false,"suffix":""},{"dropping-particle":"","family":"Zhang","given":"Zhigang","non-dropping-particle":"","parse-names":false,"suffix":""},{"dropping-particle":"","family":"Xu","given":"Tao","non-dropping-particle":"","parse-names":false,"suffix":""},{"dropping-particle":"","family":"He","given":"Jingbo","non-dropping-particle":"","parse-names":false,"suffix":""},{"dropping-particle":"","family":"Wang","given":"Haijiao","non-dropping-particle":"","parse-names":false,"suffix":""},{"dropping-particle":"","family":"Li","given":"Guanghui","non-dropping-particle":"","parse-names":false,"suffix":""}],"container-title":"CSEE Journal of Power and Energy Systems","id":"ITEM-1","issue":"4","issued":{"date-parts":[["2017"]]},"page":"353-364","title":"Renewable energy transmission by HVDC across the continent: system challenges and opportunities","type":"article-journal","volume":"3"},"uris":["http://www.mendeley.com/documents/?uuid=e772245f-6598-407d-b578-e95a09630eb0"]}],"mendeley":{"formattedCitation":"(Sun et al., 2017)","plainTextFormattedCitation":"(Sun et al., 2017)","previouslyFormattedCitation":"(Sun et al., 2017)"},"properties":{"noteIndex":0},"schema":"https://github.com/citation-style-language/schema/raw/master/csl-citation.json"}</w:instrText>
      </w:r>
      <w:r w:rsidRPr="006350F8">
        <w:rPr>
          <w:lang w:val="en-US"/>
        </w:rPr>
        <w:fldChar w:fldCharType="separate"/>
      </w:r>
      <w:r w:rsidR="00A97D34" w:rsidRPr="00A97D34">
        <w:rPr>
          <w:noProof/>
          <w:lang w:val="en-US"/>
        </w:rPr>
        <w:t>(Sun et al., 2017)</w:t>
      </w:r>
      <w:r w:rsidRPr="006350F8">
        <w:rPr>
          <w:lang w:val="en-US"/>
        </w:rPr>
        <w:fldChar w:fldCharType="end"/>
      </w:r>
      <w:r w:rsidRPr="006350F8">
        <w:rPr>
          <w:lang w:val="en-US"/>
        </w:rPr>
        <w:t>. For example, offshore renewable energy such as that captured by offshore wind turbines needs to be transmitted to the load cent</w:t>
      </w:r>
      <w:r w:rsidR="009861F9">
        <w:rPr>
          <w:lang w:val="en-US"/>
        </w:rPr>
        <w:t>re</w:t>
      </w:r>
      <w:r w:rsidRPr="006350F8">
        <w:rPr>
          <w:lang w:val="en-US"/>
        </w:rPr>
        <w:t>s, possibly over long distances.</w:t>
      </w:r>
    </w:p>
    <w:p w14:paraId="556D7692" w14:textId="5F546EC6" w:rsidR="006350F8" w:rsidRPr="006350F8" w:rsidRDefault="002829A3" w:rsidP="00F03645">
      <w:pPr>
        <w:pStyle w:val="Heading3"/>
        <w:spacing w:line="480" w:lineRule="auto"/>
      </w:pPr>
      <w:bookmarkStart w:id="27" w:name="_Toc110502565"/>
      <w:r>
        <w:t>2.4</w:t>
      </w:r>
      <w:r w:rsidR="006350F8" w:rsidRPr="006350F8">
        <w:t xml:space="preserve"> </w:t>
      </w:r>
      <w:r w:rsidR="00072952" w:rsidRPr="006350F8">
        <w:t>CLASSIFICATIONS OF MICROGRIDS BY PURPOSE</w:t>
      </w:r>
      <w:bookmarkEnd w:id="27"/>
    </w:p>
    <w:p w14:paraId="636AA012" w14:textId="4DFAC518" w:rsidR="006350F8" w:rsidRPr="006350F8" w:rsidRDefault="006350F8" w:rsidP="00F03645">
      <w:pPr>
        <w:spacing w:line="480" w:lineRule="auto"/>
        <w:rPr>
          <w:lang w:val="en-US"/>
        </w:rPr>
      </w:pPr>
      <w:r w:rsidRPr="006350F8">
        <w:rPr>
          <w:lang w:val="en-US"/>
        </w:rPr>
        <w:t>The purposes for which microgrids are developed vary. Military microgrids are built to cater to the requirements of military bases, boost energy supply for power</w:t>
      </w:r>
      <w:r w:rsidR="009861F9">
        <w:rPr>
          <w:lang w:val="en-US"/>
        </w:rPr>
        <w:t>-</w:t>
      </w:r>
      <w:r w:rsidRPr="006350F8">
        <w:rPr>
          <w:lang w:val="en-US"/>
        </w:rPr>
        <w:t>intensive military operations and eliminate dependence on the grid</w:t>
      </w:r>
      <w:r w:rsidR="00542B6A">
        <w:rPr>
          <w:lang w:val="en-US"/>
        </w:rPr>
        <w:t xml:space="preserve"> </w:t>
      </w:r>
      <w:r w:rsidRPr="006350F8">
        <w:rPr>
          <w:lang w:val="en-US"/>
        </w:rPr>
        <w:fldChar w:fldCharType="begin" w:fldLock="1"/>
      </w:r>
      <w:r w:rsidR="00AC5C84">
        <w:rPr>
          <w:lang w:val="en-US"/>
        </w:rPr>
        <w:instrText>ADDIN CSL_CITATION {"citationItems":[{"id":"ITEM-1","itemData":{"DOI":"10.1109/CPE.2018.8372506","ISBN":"9781538625088","abstract":"As non-renewable resources of energy depletes at an alarming rate, the energy market strives to find alternatives that are renewable and environmentally sustainable in the long run. The conventional power generation system burns a massive amount of coal on a daily basis to provide energy for customers. This contributes to worldwide pollution and consequently harms the environment. Besides the irreversible harmful effects inflicted on the planet, fuels are a non-renewable resource and thus it is vital that renewable resources are considered for power generation. As far as military applications are concerned, reliability and security of available energy are highly sought after. This paper reviews the concept of microgrid technology, an off-grid energy generation system used by military forces in efforts to face the energy crisis that is beginning to gain momentum in today's world. It also discusses the key features of the recently developed smart grid.","author":[{"dropping-particle":"","family":"Kashem","given":"Saad Bin Abul","non-dropping-particle":"","parse-names":false,"suffix":""},{"dropping-particle":"","family":"Souza","given":"Stephanie","non-dropping-particle":"De","parse-names":false,"suffix":""},{"dropping-particle":"","family":"Iqbal","given":"Atif","non-dropping-particle":"","parse-names":false,"suffix":""},{"dropping-particle":"","family":"Ahmed","given":"Jubaer","non-dropping-particle":"","parse-names":false,"suffix":""}],"container-title":"Proceedings - 2018 IEEE 12th International Conference on Compatibility, Power Electronics and Power Engineering, CPE-POWERENG 2018","id":"ITEM-1","issued":{"date-parts":[["2018","6","4"]]},"page":"1-5","publisher":"Institute of Electrical and Electronics Engineers Inc.","title":"Microgrid in military applications","type":"paper-conference"},"uris":["http://www.mendeley.com/documents/?uuid=ef684e44-2230-3cf2-903b-13502c4cec2c"]}],"mendeley":{"formattedCitation":"(Kashem et al., 2018)","plainTextFormattedCitation":"(Kashem et al., 2018)","previouslyFormattedCitation":"(Kashem et al., 2018)"},"properties":{"noteIndex":0},"schema":"https://github.com/citation-style-language/schema/raw/master/csl-citation.json"}</w:instrText>
      </w:r>
      <w:r w:rsidRPr="006350F8">
        <w:rPr>
          <w:lang w:val="en-US"/>
        </w:rPr>
        <w:fldChar w:fldCharType="separate"/>
      </w:r>
      <w:r w:rsidR="00A97D34" w:rsidRPr="00A97D34">
        <w:rPr>
          <w:noProof/>
          <w:lang w:val="en-US"/>
        </w:rPr>
        <w:t>(Kashem et al., 2018)</w:t>
      </w:r>
      <w:r w:rsidRPr="006350F8">
        <w:rPr>
          <w:lang w:val="en-US"/>
        </w:rPr>
        <w:fldChar w:fldCharType="end"/>
      </w:r>
      <w:r w:rsidRPr="006350F8">
        <w:rPr>
          <w:lang w:val="en-US"/>
        </w:rPr>
        <w:t>. Military microgrids are also made to be physically and digitally immune to attacks that may put down the civilian grids</w:t>
      </w:r>
      <w:r w:rsidR="00542B6A">
        <w:rPr>
          <w:lang w:val="en-US"/>
        </w:rPr>
        <w:t xml:space="preserve">  </w:t>
      </w:r>
      <w:r w:rsidRPr="006350F8">
        <w:rPr>
          <w:lang w:val="en-US"/>
        </w:rPr>
        <w:fldChar w:fldCharType="begin" w:fldLock="1"/>
      </w:r>
      <w:r w:rsidR="008E6BA7">
        <w:rPr>
          <w:lang w:val="en-US"/>
        </w:rPr>
        <w:instrText>ADDIN CSL_CITATION {"citationItems":[{"id":"ITEM-1","itemData":{"DOI":"10.3390/en13081954","ISSN":"19961073","abstract":"Due to the wide integration of information technology in equipment and weapons, a stable and reliable power supply has become one of the pivotal factors in modern warfare to achieve victory. As a critical infrastructure to provide continuous energy supply during long-duration electrical outage, military microgrid always suffers fierce attacks from the enemy. In order to improve the defense effect, a lot of investigation has been made into resource allocation, Distributed Generator (DG) distribution, network reconfiguration, and so forth. Nevertheless, the information gap between defender and attacker has not been considered in the literature. Therefore, this paper is intended to highlight this information mismatch to appeal for community attention and evaluate its capability to improve defensive performance. Firstly, a novel assessment metric is proposed to identify the level of asymmetric information. Then, an Attacker-Defender (AD) model is developed to describe the zero-sum game between two opposite agents, which is subsequently tackled with dual theory and big-M method. Finally, three cases ranging from 6-bus to 57-bus are utilized for numerical experiments to analyze the influence of asymmetric information on military microgrid confrontation. Results on various levels of attack strength validated the effectiveness and significance of asymmetric information in eliminating the attack damage and improving the defensive performance.","author":[{"dropping-particle":"","family":"Jiang","given":"Peng","non-dropping-particle":"","parse-names":false,"suffix":""},{"dropping-particle":"","family":"Huang","given":"Shengjun","non-dropping-particle":"","parse-names":false,"suffix":""},{"dropping-particle":"","family":"Zhang","given":"Tao","non-dropping-particle":"","parse-names":false,"suffix":""}],"container-title":"Energies","id":"ITEM-1","issue":"8","issued":{"date-parts":[["2020","4","1"]]},"publisher":"MDPI AG","title":"Asymmetric information in military microgrid confrontations-evaluation metric and influence analysis","type":"article-journal","volume":"13"},"uris":["http://www.mendeley.com/documents/?uuid=5653827a-3351-4590-bf52-fe35b9ee5995"]}],"mendeley":{"formattedCitation":"(Jiang et al., 2020)","plainTextFormattedCitation":"(Jiang et al., 2020)","previouslyFormattedCitation":"(Jiang et al., 2020)"},"properties":{"noteIndex":0},"schema":"https://github.com/citation-style-language/schema/raw/master/csl-citation.json"}</w:instrText>
      </w:r>
      <w:r w:rsidRPr="006350F8">
        <w:rPr>
          <w:lang w:val="en-US"/>
        </w:rPr>
        <w:fldChar w:fldCharType="separate"/>
      </w:r>
      <w:r w:rsidR="00A97D34" w:rsidRPr="00A97D34">
        <w:rPr>
          <w:noProof/>
          <w:lang w:val="en-US"/>
        </w:rPr>
        <w:t>(Jiang et al., 2020)</w:t>
      </w:r>
      <w:r w:rsidRPr="006350F8">
        <w:rPr>
          <w:lang w:val="en-US"/>
        </w:rPr>
        <w:fldChar w:fldCharType="end"/>
      </w:r>
      <w:r w:rsidRPr="006350F8">
        <w:rPr>
          <w:lang w:val="en-US"/>
        </w:rPr>
        <w:t>. Renewable-based military microgrids eliminate the reliance on external fuel supply which could be a vulnerable link in the chain of operations. This is because transportation equipment could be attacked at any point on a long supply route, and fuel transport is always inherently risky</w:t>
      </w:r>
      <w:r w:rsidR="00542B6A">
        <w:rPr>
          <w:lang w:val="en-US"/>
        </w:rPr>
        <w:t xml:space="preserve"> </w:t>
      </w:r>
      <w:r w:rsidRPr="006350F8">
        <w:rPr>
          <w:lang w:val="en-US"/>
        </w:rPr>
        <w:fldChar w:fldCharType="begin" w:fldLock="1"/>
      </w:r>
      <w:r w:rsidR="008E6BA7">
        <w:rPr>
          <w:lang w:val="en-US"/>
        </w:rPr>
        <w:instrText>ADDIN CSL_CITATION {"citationItems":[{"id":"ITEM-1","itemData":{"DOI":"10.1109/TSG.2019.2945278","ISSN":"19493061","abstract":"In small microgrids and individual branches of a bulk electrical grid, the aggregate electrical load can contain significant and frequent peaks caused by large individual loads. These peaks can reduce overall system efficiencies if generation resources, e.g., diesel generators, are dispatched based on peak demand. This problem is particularly severe in military forward operating base (FOB) microgrids, in which the load profile is dominated by environmental control units (ECUs) that operate under thermostatic control. Leveraging the intrinsic energy storage capabilities associated with large loads such as these ECUs and coordinating their operations across neighboring facilities provides an opportunity to reduce peak demand while maintaining system performance. Using a military FOB microgrid as a use case, this paper presents two direct load control (DLC) algorithms for coordinating ECU operations and reducing peak demand. This coordinated control is demonstrated through simulations and field tests at the U.S. Army's Base Camp Integration Laboratory using novel controller hardware. Both simulation and field tests indicate that the DLC algorithms can reduce peak loads by 25% or more without sacrificing thermal comfort.","author":[{"dropping-particle":"","family":"Shabshab","given":"Spencer C.","non-dropping-particle":"","parse-names":false,"suffix":""},{"dropping-particle":"","family":"Lindahl","given":"Peter A.","non-dropping-particle":"","parse-names":false,"suffix":""},{"dropping-particle":"","family":"Nowocin","given":"J. Kendall","non-dropping-particle":"","parse-names":false,"suffix":""},{"dropping-particle":"","family":"Donnal","given":"John","non-dropping-particle":"","parse-names":false,"suffix":""},{"dropping-particle":"","family":"Blum","given":"David","non-dropping-particle":"","parse-names":false,"suffix":""},{"dropping-particle":"","family":"Norford","given":"Les","non-dropping-particle":"","parse-names":false,"suffix":""},{"dropping-particle":"","family":"Leeb","given":"Steven B.","non-dropping-particle":"","parse-names":false,"suffix":""}],"container-title":"IEEE Transactions on Smart Grid","id":"ITEM-1","issue":"3","issued":{"date-parts":[["2020"]]},"page":"1917-1927","publisher":"IEEE","title":"Demand Smoothing in Military Microgrids through Coordinated Direct Load Control","type":"article-journal","volume":"11"},"uris":["http://www.mendeley.com/documents/?uuid=21d46ec1-9c89-4e5a-8fb8-9a411e5b726b"]}],"mendeley":{"formattedCitation":"(Shabshab et al., 2020)","plainTextFormattedCitation":"(Shabshab et al., 2020)","previouslyFormattedCitation":"(Shabshab et al., 2020)"},"properties":{"noteIndex":0},"schema":"https://github.com/citation-style-language/schema/raw/master/csl-citation.json"}</w:instrText>
      </w:r>
      <w:r w:rsidRPr="006350F8">
        <w:rPr>
          <w:lang w:val="en-US"/>
        </w:rPr>
        <w:fldChar w:fldCharType="separate"/>
      </w:r>
      <w:r w:rsidR="00A97D34" w:rsidRPr="00A97D34">
        <w:rPr>
          <w:noProof/>
          <w:lang w:val="en-US"/>
        </w:rPr>
        <w:t>(Shabshab et al., 2020)</w:t>
      </w:r>
      <w:r w:rsidRPr="006350F8">
        <w:rPr>
          <w:lang w:val="en-US"/>
        </w:rPr>
        <w:fldChar w:fldCharType="end"/>
      </w:r>
      <w:r w:rsidRPr="006350F8">
        <w:rPr>
          <w:lang w:val="en-US"/>
        </w:rPr>
        <w:t>.</w:t>
      </w:r>
    </w:p>
    <w:p w14:paraId="0C8BB500" w14:textId="62C4012C" w:rsidR="006350F8" w:rsidRPr="006350F8" w:rsidRDefault="006350F8" w:rsidP="00F03645">
      <w:pPr>
        <w:spacing w:line="480" w:lineRule="auto"/>
        <w:rPr>
          <w:lang w:val="en-US"/>
        </w:rPr>
      </w:pPr>
      <w:r w:rsidRPr="006350F8">
        <w:rPr>
          <w:lang w:val="en-US"/>
        </w:rPr>
        <w:t>Commercial microgrids, on the other hand, are developed to help in optimizing the financial profitability of an enterprise and usually operate in grid-connected mode</w:t>
      </w:r>
      <w:r w:rsidR="00542B6A">
        <w:rPr>
          <w:lang w:val="en-US"/>
        </w:rPr>
        <w:t xml:space="preserve"> </w:t>
      </w:r>
      <w:r w:rsidRPr="006350F8">
        <w:rPr>
          <w:lang w:val="en-US"/>
        </w:rPr>
        <w:fldChar w:fldCharType="begin" w:fldLock="1"/>
      </w:r>
      <w:r w:rsidR="008E6BA7">
        <w:rPr>
          <w:lang w:val="en-US"/>
        </w:rPr>
        <w:instrText>ADDIN CSL_CITATION {"citationItems":[{"id":"ITEM-1","itemData":{"DOI":"10.1016/j.rser.2021.111226","ISSN":"18790690","abstract":"Facilities such as ports that are associated with goods movement face challenges in managing energy requirements including growing demands, maintaining economic competitiveness, increasing efficiencies of operation, and improving the resiliency, reliability, and security of the energy supply. Furthermore, ports face pressure to meet environmental goals including reducing the emissions of both pollutants and greenhouse gases and increasing the levels of renewable sources. Within this framework, many port operators are pursuing the development of microgrids supported by self-generation including fuel cell systems. Given the breadth of energy requirements of ports, the range of fuel cell applications is an attractive resource for stationary power generation, motive power and fuel generation, and backup/auxiliary power in concert with base load power. This work involves a review of the literature, from a technical perspective, to assess microgrids and fuel cell systems at ports including comparison with combustion-based power distributed generation sources. Additionally, novel simulations are presented to provide insight into economic and emission considerations associated with fuel cell deployment in critical facilities. Important distinctions of fuel cells for ports include flexibility of size and fuel, low to negligible emissions, capability to operate in grid-forming mode, and high electric-only efficiencies. While combined cooling, heating, and power improves performance and should be pursued, the mismatch in port electrical and thermal loads is a potential barrier and increases the importance of high electric-only efficiencies of fuel cells. Tri-generation systems have the potential to maximize benefits with the production of hydrogen along with electricity and, if needed, heat.","author":[{"dropping-particle":"Mac","family":"Kinnon","given":"Michael","non-dropping-particle":"","parse-names":false,"suffix":""},{"dropping-particle":"","family":"Razeghi","given":"Ghazal","non-dropping-particle":"","parse-names":false,"suffix":""},{"dropping-particle":"","family":"Samuelsen","given":"Scott (ORCID:0000000204203951)","non-dropping-particle":"","parse-names":false,"suffix":""}],"container-title":"Renewable and Sustainable Energy Reviews","id":"ITEM-1","issue":"April","issued":{"date-parts":[["2021"]]},"language":"English","page":"111226","publisher":"Elsevier","publisher-place":"United Kingdom","title":"The role of fuel cells in port microgrids to support sustainable goods movement","type":"article-journal","volume":"147"},"uris":["http://www.mendeley.com/documents/?uuid=f413bbe2-87e4-4b28-8f51-4296abf1b8fa"]}],"mendeley":{"formattedCitation":"(Kinnon et al., 2021)","plainTextFormattedCitation":"(Kinnon et al., 2021)","previouslyFormattedCitation":"(Kinnon et al., 2021)"},"properties":{"noteIndex":0},"schema":"https://github.com/citation-style-language/schema/raw/master/csl-citation.json"}</w:instrText>
      </w:r>
      <w:r w:rsidRPr="006350F8">
        <w:rPr>
          <w:lang w:val="en-US"/>
        </w:rPr>
        <w:fldChar w:fldCharType="separate"/>
      </w:r>
      <w:r w:rsidR="00A97D34" w:rsidRPr="00A97D34">
        <w:rPr>
          <w:noProof/>
          <w:lang w:val="en-US"/>
        </w:rPr>
        <w:t>(Kinnon et al., 2021)</w:t>
      </w:r>
      <w:r w:rsidRPr="006350F8">
        <w:rPr>
          <w:lang w:val="en-US"/>
        </w:rPr>
        <w:fldChar w:fldCharType="end"/>
      </w:r>
      <w:r w:rsidRPr="006350F8">
        <w:rPr>
          <w:lang w:val="en-US"/>
        </w:rPr>
        <w:t xml:space="preserve">. The establishment of this kind of microgrid is to optimize demand and costs. For example, the microgrid may be designed to use external power when energy is cheap while switching to low-cost internal generation in an optimal manner as the price of energy rises </w:t>
      </w:r>
      <w:r w:rsidRPr="006350F8">
        <w:rPr>
          <w:lang w:val="en-US"/>
        </w:rPr>
        <w:fldChar w:fldCharType="begin" w:fldLock="1"/>
      </w:r>
      <w:r w:rsidR="008E6BA7">
        <w:rPr>
          <w:lang w:val="en-US"/>
        </w:rPr>
        <w:instrText>ADDIN CSL_CITATION {"citationItems":[{"id":"ITEM-1","itemData":{"DOI":"10.1016/J.EST.2017.12.017","ISSN":"2352-152X","abstract":"This paper explores the load shaping ability of microgrid power systems coupled with flexible operation of HVAC systems for commercial customers. In the proposed framework, this integrated system is treated as a dispatchable power source/sink in order to mitigate the uncertainty and variability imposed on the external utility company. The load shaping required is enabled by the natural flexibility in space heating and cooling, along with dispatchable microgrid resources such as batteries. A hierarchical control approach is formulated for the scheduling and supervisory control of the flexible loads and dispatchable energy units within the microgrid. Stochastic optimization is used for scheduling at the slow time scale to ensure forecasting errors in renewable availability and energy demands can be rejected. Deterministic optimization is used at the fast time scale to update dispatch decisions in response to realized conditions. A case study demonstrates that this proposed control approach is able to substantially reduce the uncertainty and variability in energy exchange with the external utility across a variety of commercial load types and in different seasons.","author":[{"dropping-particle":"","family":"Zachar","given":"Michael","non-dropping-particle":"","parse-names":false,"suffix":""},{"dropping-particle":"","family":"Daoutidis","given":"Prodromos","non-dropping-particle":"","parse-names":false,"suffix":""}],"container-title":"Journal of Energy Storage","id":"ITEM-1","issued":{"date-parts":[["2018","4","1"]]},"page":"61-75","publisher":"Elsevier","title":"Energy management and load shaping for commercial microgrids coupled with flexible building environment control","type":"article-journal","volume":"16"},"uris":["http://www.mendeley.com/documents/?uuid=63eca635-cf1e-39f4-8583-872ce732c0e0"]}],"mendeley":{"formattedCitation":"(Zachar &amp; Daoutidis, 2018)","plainTextFormattedCitation":"(Zachar &amp; Daoutidis, 2018)","previouslyFormattedCitation":"(Zachar &amp; Daoutidis, 2018)"},"properties":{"noteIndex":0},"schema":"https://github.com/citation-style-language/schema/raw/master/csl-citation.json"}</w:instrText>
      </w:r>
      <w:r w:rsidRPr="006350F8">
        <w:rPr>
          <w:lang w:val="en-US"/>
        </w:rPr>
        <w:fldChar w:fldCharType="separate"/>
      </w:r>
      <w:r w:rsidR="00A97D34" w:rsidRPr="00A97D34">
        <w:rPr>
          <w:noProof/>
          <w:lang w:val="en-US"/>
        </w:rPr>
        <w:t>(Zachar &amp; Daoutidis, 2018)</w:t>
      </w:r>
      <w:r w:rsidRPr="006350F8">
        <w:rPr>
          <w:lang w:val="en-US"/>
        </w:rPr>
        <w:fldChar w:fldCharType="end"/>
      </w:r>
      <w:r w:rsidRPr="006350F8">
        <w:rPr>
          <w:lang w:val="en-US"/>
        </w:rPr>
        <w:t>. Commercial microgrids also alleviate the risks that could be incurred due to power outages from large</w:t>
      </w:r>
      <w:r w:rsidR="009861F9">
        <w:rPr>
          <w:lang w:val="en-US"/>
        </w:rPr>
        <w:t>-</w:t>
      </w:r>
      <w:r w:rsidRPr="006350F8">
        <w:rPr>
          <w:lang w:val="en-US"/>
        </w:rPr>
        <w:t xml:space="preserve">scale utilities. An advantage of commercial microgrids is that they can be constructed faster than new power plants in situations where grid access is not yet well-established or problematic </w:t>
      </w:r>
      <w:r w:rsidRPr="006350F8">
        <w:rPr>
          <w:lang w:val="en-US"/>
        </w:rPr>
        <w:fldChar w:fldCharType="begin" w:fldLock="1"/>
      </w:r>
      <w:r w:rsidR="008E6BA7">
        <w:rPr>
          <w:lang w:val="en-US"/>
        </w:rPr>
        <w:instrText>ADDIN CSL_CITATION {"citationItems":[{"id":"ITEM-1","itemData":{"DOI":"10.1016/J.IJEPES.2018.02.022","ISSN":"0142-0615","abstract":"This paper aims at enhancing the resilience of a photovoltaic-based microgrid equipped with battery storage, supplying a typical commercial building. When extreme weather conditions such as hurricane, tsunami and similar events occur, leading to islanding of the microgrid from the main power grid, it is not expected that the microgrid would be taken out of service for a long time. At the same time, it is not cost effective to make the electrical system to be absolutely reliable to provide service for the customers. The main contribution of this paper lies in its ability to determine the optimal point between the operational cost and grid resilience. In other words, this work proposes an optimal management system of battery energy storage in a way to enhance the resilience of the proposed microgrid while maintaining its operational cost at a minimum level. The optimization is achieved by solving a linear optimization programming problem while the Conditional Value at Risk (CVaR) is incorporated in the objective function. The CVaR is used to account for the uncertainty in the intermittent PV system generated power and that in the electricity price. Simulation analyses are carried out in MATLAB to evaluate the performance of the proposed method. Results reveal that the commercial building microgrid resilience is improved remarkably at a slight increase in the operational cost.","author":[{"dropping-particle":"","family":"Tavakoli","given":"Mehdi","non-dropping-particle":"","parse-names":false,"suffix":""},{"dropping-particle":"","family":"Shokridehaki","given":"Fatemeh","non-dropping-particle":"","parse-names":false,"suffix":""},{"dropping-particle":"","family":"Funsho Akorede","given":"Mudathir","non-dropping-particle":"","parse-names":false,"suffix":""},{"dropping-particle":"","family":"Marzband","given":"Mousa","non-dropping-particle":"","parse-names":false,"suffix":""},{"dropping-particle":"","family":"Vechiu","given":"Ionel","non-dropping-particle":"","parse-names":false,"suffix":""},{"dropping-particle":"","family":"Pouresmaeil","given":"Edris","non-dropping-particle":"","parse-names":false,"suffix":""}],"container-title":"International Journal of Electrical Power &amp; Energy Systems","id":"ITEM-1","issued":{"date-parts":[["2018","9","1"]]},"page":"1-9","publisher":"Elsevier","title":"CVaR-based energy management scheme for optimal resilience and operational cost in commercial building microgrids","type":"article-journal","volume":"100"},"uris":["http://www.mendeley.com/documents/?uuid=2f00a2df-bbda-32e0-a4c2-7c76317e39cc"]}],"mendeley":{"formattedCitation":"(Tavakoli et al., 2018)","plainTextFormattedCitation":"(Tavakoli et al., 2018)","previouslyFormattedCitation":"(Tavakoli et al., 2018)"},"properties":{"noteIndex":0},"schema":"https://github.com/citation-style-language/schema/raw/master/csl-citation.json"}</w:instrText>
      </w:r>
      <w:r w:rsidRPr="006350F8">
        <w:rPr>
          <w:lang w:val="en-US"/>
        </w:rPr>
        <w:fldChar w:fldCharType="separate"/>
      </w:r>
      <w:r w:rsidR="00A97D34" w:rsidRPr="00A97D34">
        <w:rPr>
          <w:noProof/>
          <w:lang w:val="en-US"/>
        </w:rPr>
        <w:t>(Tavakoli et al., 2018)</w:t>
      </w:r>
      <w:r w:rsidRPr="006350F8">
        <w:rPr>
          <w:lang w:val="en-US"/>
        </w:rPr>
        <w:fldChar w:fldCharType="end"/>
      </w:r>
      <w:r w:rsidRPr="006350F8">
        <w:rPr>
          <w:lang w:val="en-US"/>
        </w:rPr>
        <w:t>.</w:t>
      </w:r>
    </w:p>
    <w:p w14:paraId="66AB6809" w14:textId="327946E9" w:rsidR="006350F8" w:rsidRPr="006350F8" w:rsidRDefault="006350F8" w:rsidP="00F03645">
      <w:pPr>
        <w:spacing w:line="480" w:lineRule="auto"/>
        <w:rPr>
          <w:lang w:val="en-US"/>
        </w:rPr>
      </w:pPr>
      <w:r w:rsidRPr="006350F8">
        <w:rPr>
          <w:lang w:val="en-US"/>
        </w:rPr>
        <w:t>Community microgrids are different from commercial microgrids in that they are established to shore up the quality of service and complement the functioning of electric utility companies in already-existing localities</w:t>
      </w:r>
      <w:r w:rsidR="00542B6A">
        <w:rPr>
          <w:lang w:val="en-US"/>
        </w:rPr>
        <w:t xml:space="preserve"> </w:t>
      </w:r>
      <w:r w:rsidRPr="006350F8">
        <w:rPr>
          <w:lang w:val="en-US"/>
        </w:rPr>
        <w:fldChar w:fldCharType="begin" w:fldLock="1"/>
      </w:r>
      <w:r w:rsidR="008E6BA7">
        <w:rPr>
          <w:lang w:val="en-US"/>
        </w:rPr>
        <w:instrText>ADDIN CSL_CITATION {"citationItems":[{"id":"ITEM-1","itemData":{"ISBN":"978-3-030-23722-6","ISSN":"18604676","abstract":"The primary aim of this chapter is the design and application of intelligent methods based on reinforcement learning (RL) for adaptive and online controlling the hybrid microgrids (HMGs). The traditional structure of the power systems is being changed continuously due to environmental limitations and depreciated infrastructures. The creation of distinct electrical boundaries between different areas of the power system with the ability to connect/disconnect and locating distributed generation (DG) resources near the load points has transformed the face of power systems. However, in this case, the power system’s efficiency increases, but its control is faced with bigger challenges. Coordination between HMGs, resource scheduling in the island and main utility-connected modes, exchanging power between different microgrids, and etc., are the reasons that necessitate the use of adaptive control methods in controlling such power systems. Reinforcement Learning is an adaptive control structure that is considered in this chapter. RL is a branch of multi-agent systems in the field of machine learning which is the main solution method for Markov decision process (MDP). In this chapter, based on RL features like an unpretentious structure, robust versus severe disturbances, and online behavior a novel method will be suggested for controlling different aspects of HMGs. The proposed control method uses the features of the RL and capabilities of the classical controllers to give an effective online controller with plain anatomy which is robust versus uncertainties and operating condition changes.","author":[{"dropping-particle":"","family":"Shayeghi","given":"Hossein","non-dropping-particle":"","parse-names":false,"suffix":""},{"dropping-particle":"","family":"Younesi","given":"Abdollah","non-dropping-particle":"","parse-names":false,"suffix":""}],"container-title":"Power Systems","id":"ITEM-1","issue":"January","issued":{"date-parts":[["2020"]]},"number-of-pages":"577-602","title":"Microgrid Architectures, Control and Protection Methods","type":"book"},"uris":["http://www.mendeley.com/documents/?uuid=5c712317-16e3-481d-b8e9-5a1ea56affc7"]}],"mendeley":{"formattedCitation":"(Shayeghi &amp; Younesi, 2020)","plainTextFormattedCitation":"(Shayeghi &amp; Younesi, 2020)","previouslyFormattedCitation":"(Shayeghi &amp; Younesi, 2020)"},"properties":{"noteIndex":0},"schema":"https://github.com/citation-style-language/schema/raw/master/csl-citation.json"}</w:instrText>
      </w:r>
      <w:r w:rsidRPr="006350F8">
        <w:rPr>
          <w:lang w:val="en-US"/>
        </w:rPr>
        <w:fldChar w:fldCharType="separate"/>
      </w:r>
      <w:r w:rsidR="00A97D34" w:rsidRPr="00A97D34">
        <w:rPr>
          <w:noProof/>
          <w:lang w:val="en-US"/>
        </w:rPr>
        <w:t>(Shayeghi &amp; Younesi, 2020)</w:t>
      </w:r>
      <w:r w:rsidRPr="006350F8">
        <w:rPr>
          <w:lang w:val="en-US"/>
        </w:rPr>
        <w:fldChar w:fldCharType="end"/>
      </w:r>
      <w:r w:rsidRPr="006350F8">
        <w:rPr>
          <w:lang w:val="en-US"/>
        </w:rPr>
        <w:t>. A community microgrid may be an aggregation of houses, some of which have solar photovoltaic arrays installed on their roofs, using the energy for their own purposes, and sending the excess to the grid to be used by other houses, or to the utility</w:t>
      </w:r>
      <w:r w:rsidR="00332D23">
        <w:rPr>
          <w:lang w:val="en-US"/>
        </w:rPr>
        <w:t xml:space="preserve"> </w:t>
      </w:r>
      <w:r w:rsidRPr="006350F8">
        <w:rPr>
          <w:lang w:val="en-US"/>
        </w:rPr>
        <w:fldChar w:fldCharType="begin" w:fldLock="1"/>
      </w:r>
      <w:r w:rsidR="008E6BA7">
        <w:rPr>
          <w:lang w:val="en-US"/>
        </w:rPr>
        <w:instrText>ADDIN CSL_CITATION {"citationItems":[{"id":"ITEM-1","itemData":{"ISBN":"1118633490","author":[{"dropping-particle":"","family":"Masters","given":"Gilbert M","non-dropping-particle":"","parse-names":false,"suffix":""}],"edition":"2","id":"ITEM-1","issued":{"date-parts":[["2013"]]},"publisher":"John Wiley &amp; Sons","title":"Renewable and efficient electric power systems","type":"book"},"uris":["http://www.mendeley.com/documents/?uuid=0352a3b8-da7c-4b31-8477-5fa11cdee0b4"]}],"mendeley":{"formattedCitation":"(Masters, 2013)","plainTextFormattedCitation":"(Masters, 2013)","previouslyFormattedCitation":"(Masters, 2013)"},"properties":{"noteIndex":0},"schema":"https://github.com/citation-style-language/schema/raw/master/csl-citation.json"}</w:instrText>
      </w:r>
      <w:r w:rsidRPr="006350F8">
        <w:rPr>
          <w:lang w:val="en-US"/>
        </w:rPr>
        <w:fldChar w:fldCharType="separate"/>
      </w:r>
      <w:r w:rsidR="00A97D34" w:rsidRPr="00A97D34">
        <w:rPr>
          <w:noProof/>
          <w:lang w:val="en-US"/>
        </w:rPr>
        <w:t>(Masters, 2013)</w:t>
      </w:r>
      <w:r w:rsidRPr="006350F8">
        <w:rPr>
          <w:lang w:val="en-US"/>
        </w:rPr>
        <w:fldChar w:fldCharType="end"/>
      </w:r>
      <w:r w:rsidRPr="006350F8">
        <w:rPr>
          <w:lang w:val="en-US"/>
        </w:rPr>
        <w:t xml:space="preserve">. The excess energy could also be stored for the night. There may also be electric vehicle charging functions in the microgrid </w:t>
      </w:r>
      <w:r w:rsidRPr="006350F8">
        <w:rPr>
          <w:lang w:val="en-US"/>
        </w:rPr>
        <w:fldChar w:fldCharType="begin" w:fldLock="1"/>
      </w:r>
      <w:r w:rsidR="008E6BA7">
        <w:rPr>
          <w:lang w:val="en-US"/>
        </w:rPr>
        <w:instrText>ADDIN CSL_CITATION {"citationItems":[{"id":"ITEM-1","itemData":{"DOI":"10.1016/J.RSER.2019.109690","ISSN":"1364-0321","abstract":"Community microgrids implemented in existing electricity grids can meet both development targets set out in the Paris agreement: 1. mitigate greenhouse gas emissions through increased implementation of renewable energy sources, and 2. to adapt to climate related disturbances and risk of catastrophes. Community microgrids are, however, complex to implement and institutional change is needed to reach their full potential. The purpose of this article is to review existing literature and analyze institutional developments influencing the growth of community microgrids. The literature describes a concentration of microgrid activities in specific regions: USA, EU, Asia and Australia. Varying reasons for implementing community microgrids were found in the different regions but similar institutional developments occurred, albeit with differing emphasis due to contextual specificities. Formal directions do however influence informal institutions even though their aims differ. Power utilities stand out as a critical actor and both formal and informal institutions put pressure on utilities to update their traditional business models. This article illustrates how informal and formal institutions play a significant role in the growth of community microgrids in existing electricity grids and provide interesting examples which can be utilized by policymakers. Microgrid development is still in a formative phase and further institutional change in the form of updated regulations is needed.","author":[{"dropping-particle":"","family":"Warneryd","given":"Martin","non-dropping-particle":"","parse-names":false,"suffix":""},{"dropping-particle":"","family":"Håkansson","given":"Maria","non-dropping-particle":"","parse-names":false,"suffix":""},{"dropping-particle":"","family":"Karltorp","given":"Kersti","non-dropping-particle":"","parse-names":false,"suffix":""}],"container-title":"Renewable and Sustainable Energy Reviews","id":"ITEM-1","issued":{"date-parts":[["2020","4","1"]]},"page":"109690","publisher":"Pergamon","title":"Unpacking the complexity of community microgrids: A review of institutions’ roles for development of microgrids","type":"article-journal","volume":"121"},"uris":["http://www.mendeley.com/documents/?uuid=c928fa23-0654-38fe-92af-03d7e90a9a1f"]}],"mendeley":{"formattedCitation":"(Warneryd et al., 2020)","plainTextFormattedCitation":"(Warneryd et al., 2020)","previouslyFormattedCitation":"(Warneryd et al., 2020)"},"properties":{"noteIndex":0},"schema":"https://github.com/citation-style-language/schema/raw/master/csl-citation.json"}</w:instrText>
      </w:r>
      <w:r w:rsidRPr="006350F8">
        <w:rPr>
          <w:lang w:val="en-US"/>
        </w:rPr>
        <w:fldChar w:fldCharType="separate"/>
      </w:r>
      <w:r w:rsidR="00A97D34" w:rsidRPr="00A97D34">
        <w:rPr>
          <w:noProof/>
          <w:lang w:val="en-US"/>
        </w:rPr>
        <w:t>(Warneryd et al., 2020)</w:t>
      </w:r>
      <w:r w:rsidRPr="006350F8">
        <w:rPr>
          <w:lang w:val="en-US"/>
        </w:rPr>
        <w:fldChar w:fldCharType="end"/>
      </w:r>
      <w:r w:rsidRPr="006350F8">
        <w:rPr>
          <w:lang w:val="en-US"/>
        </w:rPr>
        <w:t xml:space="preserve">. This kind of microgrid is a community enterprise and thus can be very complex to optimize in any particular way. Determination of </w:t>
      </w:r>
      <w:r w:rsidR="009861F9">
        <w:rPr>
          <w:lang w:val="en-US"/>
        </w:rPr>
        <w:t xml:space="preserve">the </w:t>
      </w:r>
      <w:r w:rsidRPr="006350F8">
        <w:rPr>
          <w:lang w:val="en-US"/>
        </w:rPr>
        <w:t xml:space="preserve">optimum mix of storage and generation infrastructure in community microgrids </w:t>
      </w:r>
      <w:r w:rsidR="009861F9">
        <w:rPr>
          <w:lang w:val="en-US"/>
        </w:rPr>
        <w:t>is</w:t>
      </w:r>
      <w:r w:rsidRPr="006350F8">
        <w:rPr>
          <w:lang w:val="en-US"/>
        </w:rPr>
        <w:t xml:space="preserve"> highly</w:t>
      </w:r>
      <w:r w:rsidR="009861F9">
        <w:rPr>
          <w:lang w:val="en-US"/>
        </w:rPr>
        <w:t xml:space="preserve"> </w:t>
      </w:r>
      <w:r w:rsidRPr="006350F8">
        <w:rPr>
          <w:lang w:val="en-US"/>
        </w:rPr>
        <w:t>location</w:t>
      </w:r>
      <w:r w:rsidR="009861F9">
        <w:rPr>
          <w:lang w:val="en-US"/>
        </w:rPr>
        <w:t>-</w:t>
      </w:r>
      <w:r w:rsidRPr="006350F8">
        <w:rPr>
          <w:lang w:val="en-US"/>
        </w:rPr>
        <w:t xml:space="preserve">specific </w:t>
      </w:r>
      <w:r w:rsidRPr="006350F8">
        <w:rPr>
          <w:lang w:val="en-US"/>
        </w:rPr>
        <w:fldChar w:fldCharType="begin" w:fldLock="1"/>
      </w:r>
      <w:r w:rsidR="008E6BA7">
        <w:rPr>
          <w:lang w:val="en-US"/>
        </w:rPr>
        <w:instrText>ADDIN CSL_CITATION {"citationItems":[{"id":"ITEM-1","itemData":{"DOI":"10.1016/J.APENERGY.2019.01.210","ISSN":"0306-2619","abstract":"A distributed energy management system for community microgrids is developed in this paper. Unlike a centralized optimization-based energy management system, it schedules distributed energy resources and energy storage systems, as well as residential appliances, indirectly through iterative interaction between the microgrid central controller and home energy management systems, based on price signals. In each iteration, the microgrid central controller adjusts the scheduling of distributed energy resources and energy storage systems at the microgrid level. Meanwhile, the home energy management system of each house adjusts the scheduling of residential appliances. Then, the energy price at each bus is updated according to the unbalanced power between generation and demand. The optimization converges when the unbalanced power of all buses is close to zero, i.e., the microgrid central controller and home energy management systems reach an agreement on the energy price and generation/consumption. In particular, a detailed thermal dynamic model of the house is integrated into the HEMS scheduling for intelligent control of the heating, ventilation, and air-conditioning system by customers. The distribution network is also considered to make the energy price signal locational. Results of case studies validate the efficacy of the proposed distributed energy management system.","author":[{"dropping-particle":"","family":"Liu","given":"Guodong","non-dropping-particle":"","parse-names":false,"suffix":""},{"dropping-particle":"","family":"Jiang","given":"Tao","non-dropping-particle":"","parse-names":false,"suffix":""},{"dropping-particle":"","family":"Ollis","given":"Thomas B.","non-dropping-particle":"","parse-names":false,"suffix":""},{"dropping-particle":"","family":"Zhang","given":"Xiaohu","non-dropping-particle":"","parse-names":false,"suffix":""},{"dropping-particle":"","family":"Tomsovic","given":"Kevin","non-dropping-particle":"","parse-names":false,"suffix":""}],"container-title":"Applied Energy","id":"ITEM-1","issued":{"date-parts":[["2019","4","1"]]},"page":"83-95","publisher":"Elsevier","title":"Distributed energy management for community microgrids considering network operational constraints and building thermal dynamics","type":"article-journal","volume":"239"},"uris":["http://www.mendeley.com/documents/?uuid=af7078e6-920e-3a29-bd2e-b268e2748b41"]},{"id":"ITEM-2","itemData":{"DOI":"10.1016/J.EST.2018.12.021","ISSN":"2352-152X","abstract":"A storage system is a key component of a microgrid. Over the last few years, research has been undertaken to determine optimal management of microgrid resources. Battery storage has a significant impact on the total operational cost as the lifetime of the battery reduces during charging and discharging cycles. In this paper, we propose optimal energy management of a community microgrid in which the cost function includes the degradation cost of the battery and a dynamic penalty to reflect the true operational cost. Particle swarm optimisation (PSO) is used to determine the battery control actions for real-time energy management. Several case studies are presented to demonstrate the effectiveness of the proposed framework in which the new cost function reduces electricity cost by up to 44.50% compared to a baseline method and 37.16% compared to another existing approach.","author":[{"dropping-particle":"","family":"Hossain","given":"Md Alamgir","non-dropping-particle":"","parse-names":false,"suffix":""},{"dropping-particle":"","family":"Pota","given":"Hemanshu Roy","non-dropping-particle":"","parse-names":false,"suffix":""},{"dropping-particle":"","family":"Squartini","given":"Stefano","non-dropping-particle":"","parse-names":false,"suffix":""},{"dropping-particle":"","family":"Zaman","given":"Forhad","non-dropping-particle":"","parse-names":false,"suffix":""},{"dropping-particle":"","family":"Muttaqi","given":"Kashem M.","non-dropping-particle":"","parse-names":false,"suffix":""}],"container-title":"Journal of Energy Storage","id":"ITEM-2","issued":{"date-parts":[["2019","4","1"]]},"page":"257-269","publisher":"Elsevier","title":"Energy management of community microgrids considering degradation cost of battery","type":"article-journal","volume":"22"},"uris":["http://www.mendeley.com/documents/?uuid=6035b554-c47f-3407-b015-7c70b7aaa8c6"]}],"mendeley":{"formattedCitation":"(Hossain et al., 2019; Liu et al., 2019)","plainTextFormattedCitation":"(Hossain et al., 2019; Liu et al., 2019)","previouslyFormattedCitation":"(Hossain et al., 2019; Liu et al., 2019)"},"properties":{"noteIndex":0},"schema":"https://github.com/citation-style-language/schema/raw/master/csl-citation.json"}</w:instrText>
      </w:r>
      <w:r w:rsidRPr="006350F8">
        <w:rPr>
          <w:lang w:val="en-US"/>
        </w:rPr>
        <w:fldChar w:fldCharType="separate"/>
      </w:r>
      <w:r w:rsidR="00A97D34" w:rsidRPr="00A97D34">
        <w:rPr>
          <w:noProof/>
          <w:lang w:val="en-US"/>
        </w:rPr>
        <w:t>(Hossain et al., 2019; Liu et al., 2019)</w:t>
      </w:r>
      <w:r w:rsidRPr="006350F8">
        <w:rPr>
          <w:lang w:val="en-US"/>
        </w:rPr>
        <w:fldChar w:fldCharType="end"/>
      </w:r>
      <w:r w:rsidRPr="006350F8">
        <w:rPr>
          <w:lang w:val="en-US"/>
        </w:rPr>
        <w:t>.</w:t>
      </w:r>
    </w:p>
    <w:p w14:paraId="58C31376" w14:textId="186E34EF" w:rsidR="006350F8" w:rsidRPr="006350F8" w:rsidRDefault="006350F8" w:rsidP="00F03645">
      <w:pPr>
        <w:spacing w:line="480" w:lineRule="auto"/>
        <w:rPr>
          <w:lang w:val="en-US"/>
        </w:rPr>
      </w:pPr>
      <w:r w:rsidRPr="006350F8">
        <w:rPr>
          <w:lang w:val="en-US"/>
        </w:rPr>
        <w:t xml:space="preserve">Campus microgrids are developed in institutions such as universities, industries, medical establishments, and technology hubs </w:t>
      </w:r>
      <w:r w:rsidRPr="006350F8">
        <w:rPr>
          <w:lang w:val="en-US"/>
        </w:rPr>
        <w:fldChar w:fldCharType="begin" w:fldLock="1"/>
      </w:r>
      <w:r w:rsidR="008E6BA7">
        <w:rPr>
          <w:lang w:val="en-US"/>
        </w:rPr>
        <w:instrText>ADDIN CSL_CITATION {"citationItems":[{"id":"ITEM-1","itemData":{"DOI":"10.1016/j.rser.2021.111226","ISSN":"18790690","abstract":"Facilities such as ports that are associated with goods movement face challenges in managing energy requirements including growing demands, maintaining economic competitiveness, increasing efficiencies of operation, and improving the resiliency, reliability, and security of the energy supply. Furthermore, ports face pressure to meet environmental goals including reducing the emissions of both pollutants and greenhouse gases and increasing the levels of renewable sources. Within this framework, many port operators are pursuing the development of microgrids supported by self-generation including fuel cell systems. Given the breadth of energy requirements of ports, the range of fuel cell applications is an attractive resource for stationary power generation, motive power and fuel generation, and backup/auxiliary power in concert with base load power. This work involves a review of the literature, from a technical perspective, to assess microgrids and fuel cell systems at ports including comparison with combustion-based power distributed generation sources. Additionally, novel simulations are presented to provide insight into economic and emission considerations associated with fuel cell deployment in critical facilities. Important distinctions of fuel cells for ports include flexibility of size and fuel, low to negligible emissions, capability to operate in grid-forming mode, and high electric-only efficiencies. While combined cooling, heating, and power improves performance and should be pursued, the mismatch in port electrical and thermal loads is a potential barrier and increases the importance of high electric-only efficiencies of fuel cells. Tri-generation systems have the potential to maximize benefits with the production of hydrogen along with electricity and, if needed, heat.","author":[{"dropping-particle":"Mac","family":"Kinnon","given":"Michael","non-dropping-particle":"","parse-names":false,"suffix":""},{"dropping-particle":"","family":"Razeghi","given":"Ghazal","non-dropping-particle":"","parse-names":false,"suffix":""},{"dropping-particle":"","family":"Samuelsen","given":"Scott (ORCID:0000000204203951)","non-dropping-particle":"","parse-names":false,"suffix":""}],"container-title":"Renewable and Sustainable Energy Reviews","id":"ITEM-1","issue":"April","issued":{"date-parts":[["2021"]]},"language":"English","page":"111226","publisher":"Elsevier","publisher-place":"United Kingdom","title":"The role of fuel cells in port microgrids to support sustainable goods movement","type":"article-journal","volume":"147"},"uris":["http://www.mendeley.com/documents/?uuid=f413bbe2-87e4-4b28-8f51-4296abf1b8fa"]}],"mendeley":{"formattedCitation":"(Kinnon et al., 2021)","plainTextFormattedCitation":"(Kinnon et al., 2021)","previouslyFormattedCitation":"(Kinnon et al., 2021)"},"properties":{"noteIndex":0},"schema":"https://github.com/citation-style-language/schema/raw/master/csl-citation.json"}</w:instrText>
      </w:r>
      <w:r w:rsidRPr="006350F8">
        <w:rPr>
          <w:lang w:val="en-US"/>
        </w:rPr>
        <w:fldChar w:fldCharType="separate"/>
      </w:r>
      <w:r w:rsidR="00A97D34" w:rsidRPr="00A97D34">
        <w:rPr>
          <w:noProof/>
          <w:lang w:val="en-US"/>
        </w:rPr>
        <w:t>(Kinnon et al., 2021)</w:t>
      </w:r>
      <w:r w:rsidRPr="006350F8">
        <w:rPr>
          <w:lang w:val="en-US"/>
        </w:rPr>
        <w:fldChar w:fldCharType="end"/>
      </w:r>
      <w:r w:rsidRPr="006350F8">
        <w:rPr>
          <w:lang w:val="en-US"/>
        </w:rPr>
        <w:t xml:space="preserve">. They are usually established due to elevated requirements for </w:t>
      </w:r>
      <w:r w:rsidR="009861F9">
        <w:rPr>
          <w:lang w:val="en-US"/>
        </w:rPr>
        <w:t xml:space="preserve">an </w:t>
      </w:r>
      <w:r w:rsidRPr="006350F8">
        <w:rPr>
          <w:lang w:val="en-US"/>
        </w:rPr>
        <w:t>uninterruptible power supply and special loads</w:t>
      </w:r>
      <w:r w:rsidR="009861F9">
        <w:rPr>
          <w:lang w:val="en-US"/>
        </w:rPr>
        <w:t xml:space="preserve"> </w:t>
      </w:r>
      <w:r w:rsidRPr="006350F8">
        <w:rPr>
          <w:lang w:val="en-US"/>
        </w:rPr>
        <w:fldChar w:fldCharType="begin" w:fldLock="1"/>
      </w:r>
      <w:r w:rsidR="008E6BA7">
        <w:rPr>
          <w:lang w:val="en-US"/>
        </w:rPr>
        <w:instrText>ADDIN CSL_CITATION {"citationItems":[{"id":"ITEM-1","itemData":{"ISBN":"978-3-030-23722-6","ISSN":"18604676","abstract":"The primary aim of this chapter is the design and application of intelligent methods based on reinforcement learning (RL) for adaptive and online controlling the hybrid microgrids (HMGs). The traditional structure of the power systems is being changed continuously due to environmental limitations and depreciated infrastructures. The creation of distinct electrical boundaries between different areas of the power system with the ability to connect/disconnect and locating distributed generation (DG) resources near the load points has transformed the face of power systems. However, in this case, the power system’s efficiency increases, but its control is faced with bigger challenges. Coordination between HMGs, resource scheduling in the island and main utility-connected modes, exchanging power between different microgrids, and etc., are the reasons that necessitate the use of adaptive control methods in controlling such power systems. Reinforcement Learning is an adaptive control structure that is considered in this chapter. RL is a branch of multi-agent systems in the field of machine learning which is the main solution method for Markov decision process (MDP). In this chapter, based on RL features like an unpretentious structure, robust versus severe disturbances, and online behavior a novel method will be suggested for controlling different aspects of HMGs. The proposed control method uses the features of the RL and capabilities of the classical controllers to give an effective online controller with plain anatomy which is robust versus uncertainties and operating condition changes.","author":[{"dropping-particle":"","family":"Shayeghi","given":"Hossein","non-dropping-particle":"","parse-names":false,"suffix":""},{"dropping-particle":"","family":"Younesi","given":"Abdollah","non-dropping-particle":"","parse-names":false,"suffix":""}],"container-title":"Power Systems","id":"ITEM-1","issue":"January","issued":{"date-parts":[["2020"]]},"number-of-pages":"577-602","title":"Microgrid Architectures, Control and Protection Methods","type":"book"},"uris":["http://www.mendeley.com/documents/?uuid=5c712317-16e3-481d-b8e9-5a1ea56affc7"]}],"mendeley":{"formattedCitation":"(Shayeghi &amp; Younesi, 2020)","plainTextFormattedCitation":"(Shayeghi &amp; Younesi, 2020)","previouslyFormattedCitation":"(Shayeghi &amp; Younesi, 2020)"},"properties":{"noteIndex":0},"schema":"https://github.com/citation-style-language/schema/raw/master/csl-citation.json"}</w:instrText>
      </w:r>
      <w:r w:rsidRPr="006350F8">
        <w:rPr>
          <w:lang w:val="en-US"/>
        </w:rPr>
        <w:fldChar w:fldCharType="separate"/>
      </w:r>
      <w:r w:rsidR="00A97D34" w:rsidRPr="00A97D34">
        <w:rPr>
          <w:noProof/>
          <w:lang w:val="en-US"/>
        </w:rPr>
        <w:t>(Shayeghi &amp; Younesi, 2020)</w:t>
      </w:r>
      <w:r w:rsidRPr="006350F8">
        <w:rPr>
          <w:lang w:val="en-US"/>
        </w:rPr>
        <w:fldChar w:fldCharType="end"/>
      </w:r>
      <w:r w:rsidRPr="006350F8">
        <w:rPr>
          <w:lang w:val="en-US"/>
        </w:rPr>
        <w:t>. Unlike community microgrids, these can be designed with fewer uncertainties to consider and a centralized layer of control is also easier to implement on campus microgrids</w:t>
      </w:r>
      <w:r w:rsidR="002757AE">
        <w:rPr>
          <w:lang w:val="en-US"/>
        </w:rPr>
        <w:t xml:space="preserve"> </w:t>
      </w:r>
      <w:r w:rsidRPr="006350F8">
        <w:rPr>
          <w:lang w:val="en-US"/>
        </w:rPr>
        <w:fldChar w:fldCharType="begin" w:fldLock="1"/>
      </w:r>
      <w:r w:rsidR="008E6BA7">
        <w:rPr>
          <w:lang w:val="en-US"/>
        </w:rPr>
        <w:instrText>ADDIN CSL_CITATION {"citationItems":[{"id":"ITEM-1","itemData":{"DOI":"10.1016/J.ENERGY.2021.122200","ISSN":"0360-5442","abstract":"Considering the time-delay of energy transmission in cooling/heating pipelines and the uncertainty of renewable energy (RE), a distributionally robust optimal (DRO) dispatch model of combined cooling, heating and power campus microgrids (CCHP-CMG) is established. The method of characteristics is used to obtain the analytical algebraic solution of the partial differential equation (PDE) describing the energy transmission in pipelines and to add the solution to the optimal dispatch model. Based on the Jensen–Shannon divergence distance, an ambiguity set including the probability distribution (PD) information of the actual historical data is proposed to describe the uncertainty of RE outputs, and a min–max bi-level DRO dispatch model is established. An alternative iteration method is proposed to solve the bi-level model to obtain the solution that satisfies the constraints for the worst PD of uncertain variables. Additionally, a method for reconstructing the inner-layer problem is proposed to significantly reduce the computational complexity. Test results for an actual CCHP-CMG demonstrated the high computational accuracy and efficiency of the method of characteristics in solving the PDE compared to the finite difference method. The proposed reconstruction method is accurate and efficient, and the proposed DRO method can easily adjust the conservativeness of the obtained dispatch scheme.","author":[{"dropping-particle":"","family":"Liang","given":"Weikun","non-dropping-particle":"","parse-names":false,"suffix":""},{"dropping-particle":"","family":"Lin","given":"Shunjiang","non-dropping-particle":"","parse-names":false,"suffix":""},{"dropping-particle":"","family":"Lei","given":"Shunbo","non-dropping-particle":"","parse-names":false,"suffix":""},{"dropping-particle":"","family":"Xie","given":"Yuquan","non-dropping-particle":"","parse-names":false,"suffix":""},{"dropping-particle":"","family":"Tang","given":"Zhiqiang","non-dropping-particle":"","parse-names":false,"suffix":""},{"dropping-particle":"","family":"Liu","given":"Mingbo","non-dropping-particle":"","parse-names":false,"suffix":""}],"container-title":"Energy","id":"ITEM-1","issued":{"date-parts":[["2022","1","15"]]},"page":"122200","publisher":"Pergamon","title":"Distributionally robust optimal dispatch of CCHP campus microgrids considering the time-delay of pipelines and the uncertainty of renewable energy","type":"article-journal","volume":"239"},"uris":["http://www.mendeley.com/documents/?uuid=8198aa0d-ad33-3d64-b164-d8bb7866f3de"]}],"mendeley":{"formattedCitation":"(W. Liang et al., 2022)","plainTextFormattedCitation":"(W. Liang et al., 2022)","previouslyFormattedCitation":"(W. Liang et al., 2022)"},"properties":{"noteIndex":0},"schema":"https://github.com/citation-style-language/schema/raw/master/csl-citation.json"}</w:instrText>
      </w:r>
      <w:r w:rsidRPr="006350F8">
        <w:rPr>
          <w:lang w:val="en-US"/>
        </w:rPr>
        <w:fldChar w:fldCharType="separate"/>
      </w:r>
      <w:r w:rsidR="00A97D34" w:rsidRPr="00A97D34">
        <w:rPr>
          <w:noProof/>
          <w:lang w:val="en-US"/>
        </w:rPr>
        <w:t>(W. Liang et al., 2022)</w:t>
      </w:r>
      <w:r w:rsidRPr="006350F8">
        <w:rPr>
          <w:lang w:val="en-US"/>
        </w:rPr>
        <w:fldChar w:fldCharType="end"/>
      </w:r>
      <w:r w:rsidRPr="006350F8">
        <w:rPr>
          <w:lang w:val="en-US"/>
        </w:rPr>
        <w:t xml:space="preserve">. They </w:t>
      </w:r>
      <w:r w:rsidR="009861F9">
        <w:rPr>
          <w:lang w:val="en-US"/>
        </w:rPr>
        <w:t>can</w:t>
      </w:r>
      <w:r w:rsidRPr="006350F8">
        <w:rPr>
          <w:lang w:val="en-US"/>
        </w:rPr>
        <w:t xml:space="preserve"> help the institutions to optimize their energy costs</w:t>
      </w:r>
      <w:r w:rsidR="002757AE">
        <w:rPr>
          <w:lang w:val="en-US"/>
        </w:rPr>
        <w:t xml:space="preserve"> </w:t>
      </w:r>
      <w:r w:rsidRPr="006350F8">
        <w:rPr>
          <w:lang w:val="en-US"/>
        </w:rPr>
        <w:fldChar w:fldCharType="begin" w:fldLock="1"/>
      </w:r>
      <w:r w:rsidR="008E6BA7">
        <w:rPr>
          <w:lang w:val="en-US"/>
        </w:rPr>
        <w:instrText>ADDIN CSL_CITATION {"citationItems":[{"id":"ITEM-1","itemData":{"DOI":"10.1016/J.APENERGY.2018.05.036","ISSN":"0306-2619","abstract":"Microgrids are gradually being recognized as an important option for sustainable and reliable energy, especially in university and military campuses. In this paper, we investigate the technical and financial feasibility of deploying a microgrid in a university campus. We consider various incentives such as renewable energy investment-based incentives, tax benefits, and grid ancillary services. In this study, we developed a microgrid planning model, called Microgrid Decision Support Tool (MDSTool). The model is structured into two sub-models-performance and economic models. Performance model simulates the optimal operation of the microgrid and is used to analyze energy usage and investigate technical feasibility. The economic model calculates all the system cash flows, its purpose is to determine the optimal sizing of distributed energy resources and financial feasibility. The overall model is used to design a campus microgrid at Seoul National University, South Korea. The results show that renewable energy incentives, tax benefits, and grid ancillary services influence both the financial feasibility and renewable energy penetration in a microgrid.","author":[{"dropping-particle":"","family":"Husein","given":"Munir","non-dropping-particle":"","parse-names":false,"suffix":""},{"dropping-particle":"","family":"Chung","given":"Il Yop","non-dropping-particle":"","parse-names":false,"suffix":""}],"container-title":"Applied Energy","id":"ITEM-1","issued":{"date-parts":[["2018","9","1"]]},"page":"273-289","publisher":"Elsevier","title":"Optimal design and financial feasibility of a university campus microgrid considering renewable energy incentives","type":"article-journal","volume":"225"},"uris":["http://www.mendeley.com/documents/?uuid=de4538da-a4ef-39a3-a31e-acf7f377b013"]}],"mendeley":{"formattedCitation":"(Husein &amp; Chung, 2018)","plainTextFormattedCitation":"(Husein &amp; Chung, 2018)","previouslyFormattedCitation":"(Husein &amp; Chung, 2018)"},"properties":{"noteIndex":0},"schema":"https://github.com/citation-style-language/schema/raw/master/csl-citation.json"}</w:instrText>
      </w:r>
      <w:r w:rsidRPr="006350F8">
        <w:rPr>
          <w:lang w:val="en-US"/>
        </w:rPr>
        <w:fldChar w:fldCharType="separate"/>
      </w:r>
      <w:r w:rsidR="00A97D34" w:rsidRPr="00A97D34">
        <w:rPr>
          <w:noProof/>
          <w:lang w:val="en-US"/>
        </w:rPr>
        <w:t>(Husein &amp; Chung, 2018)</w:t>
      </w:r>
      <w:r w:rsidRPr="006350F8">
        <w:rPr>
          <w:lang w:val="en-US"/>
        </w:rPr>
        <w:fldChar w:fldCharType="end"/>
      </w:r>
      <w:r w:rsidRPr="006350F8">
        <w:rPr>
          <w:lang w:val="en-US"/>
        </w:rPr>
        <w:t>. Also, campus microgrids provide good study and test locations for novel designs and academic research on power systems to any educational institution that has them.</w:t>
      </w:r>
    </w:p>
    <w:p w14:paraId="4ECE68D0" w14:textId="72373F60" w:rsidR="006350F8" w:rsidRPr="006350F8" w:rsidRDefault="006350F8" w:rsidP="00F03645">
      <w:pPr>
        <w:spacing w:line="480" w:lineRule="auto"/>
        <w:rPr>
          <w:lang w:val="en-US"/>
        </w:rPr>
      </w:pPr>
      <w:r w:rsidRPr="006350F8">
        <w:rPr>
          <w:lang w:val="en-US"/>
        </w:rPr>
        <w:t xml:space="preserve">Remote microgrids are mostly operated off-grid (in standalone/islanded mode) in locations where utility access is unavailable or </w:t>
      </w:r>
      <w:r w:rsidR="00542B6A">
        <w:rPr>
          <w:lang w:val="en-US"/>
        </w:rPr>
        <w:t xml:space="preserve">unprofitable for local reasons </w:t>
      </w:r>
      <w:r w:rsidRPr="006350F8">
        <w:rPr>
          <w:lang w:val="en-US"/>
        </w:rPr>
        <w:t>such as a disproportionately high cost of building and mai</w:t>
      </w:r>
      <w:r w:rsidR="00542B6A">
        <w:rPr>
          <w:lang w:val="en-US"/>
        </w:rPr>
        <w:t>ntaining the transmission lines</w:t>
      </w:r>
      <w:r w:rsidRPr="006350F8">
        <w:rPr>
          <w:lang w:val="en-US"/>
        </w:rPr>
        <w:t xml:space="preserve"> </w:t>
      </w:r>
      <w:r w:rsidRPr="006350F8">
        <w:rPr>
          <w:lang w:val="en-US"/>
        </w:rPr>
        <w:fldChar w:fldCharType="begin" w:fldLock="1"/>
      </w:r>
      <w:r w:rsidR="008E6BA7">
        <w:rPr>
          <w:lang w:val="en-US"/>
        </w:rPr>
        <w:instrText>ADDIN CSL_CITATION {"citationItems":[{"id":"ITEM-1","itemData":{"DOI":"10.1109/MELE.2017.2685958","ISSN":"23255889","abstract":"Microgrids, as self-contained entities, are of increasing interest in modern electric grids. Microgrids provide a sustainable solution to aggregate distributed energy resources (DERs) [e.g., photovoltaics (PVs), wind turbines], energy storage, and loads in a localized manner, especially in distribution systems. As a controllable unit, a microgrid can manage and balance the source and load power inside it to ensure stable and reliable operation. Moreover, through coordination with upper-level control systems, it can be dispatched and respond to the control commands issued by the central controller in the distribution system-in other words, a system that is effectively a distribution management system (DMS).","author":[{"dropping-particle":"","family":"Lu","given":"Xiaonan","non-dropping-particle":"","parse-names":false,"suffix":""},{"dropping-particle":"","family":"Wang","given":"Jianhui","non-dropping-particle":"","parse-names":false,"suffix":""}],"container-title":"IEEE Electrification Magazine","id":"ITEM-1","issue":"2","issued":{"date-parts":[["2017","6","1"]]},"page":"56-63","publisher":"Institute of Electrical and Electronics Engineers Inc.","title":"A game changer: Electrifying remote communities by using isolated microgrids","type":"article-journal","volume":"5"},"uris":["http://www.mendeley.com/documents/?uuid=88f679e3-d0df-3e23-9dc8-569fa0b59dc7"]}],"mendeley":{"formattedCitation":"(Lu &amp; Wang, 2017)","plainTextFormattedCitation":"(Lu &amp; Wang, 2017)","previouslyFormattedCitation":"(Lu &amp; Wang, 2017)"},"properties":{"noteIndex":0},"schema":"https://github.com/citation-style-language/schema/raw/master/csl-citation.json"}</w:instrText>
      </w:r>
      <w:r w:rsidRPr="006350F8">
        <w:rPr>
          <w:lang w:val="en-US"/>
        </w:rPr>
        <w:fldChar w:fldCharType="separate"/>
      </w:r>
      <w:r w:rsidR="00A97D34" w:rsidRPr="00A97D34">
        <w:rPr>
          <w:noProof/>
          <w:lang w:val="en-US"/>
        </w:rPr>
        <w:t>(Lu &amp; Wang, 2017)</w:t>
      </w:r>
      <w:r w:rsidRPr="006350F8">
        <w:rPr>
          <w:lang w:val="en-US"/>
        </w:rPr>
        <w:fldChar w:fldCharType="end"/>
      </w:r>
      <w:r w:rsidRPr="006350F8">
        <w:rPr>
          <w:lang w:val="en-US"/>
        </w:rPr>
        <w:t>. Usually, where remote microgrids are found, the alternatives are diesel and propane generators</w:t>
      </w:r>
      <w:r w:rsidR="002757AE">
        <w:rPr>
          <w:lang w:val="en-US"/>
        </w:rPr>
        <w:t xml:space="preserve"> </w:t>
      </w:r>
      <w:r w:rsidRPr="006350F8">
        <w:rPr>
          <w:lang w:val="en-US"/>
        </w:rPr>
        <w:fldChar w:fldCharType="begin" w:fldLock="1"/>
      </w:r>
      <w:r w:rsidR="008E6BA7">
        <w:rPr>
          <w:lang w:val="en-US"/>
        </w:rPr>
        <w:instrText>ADDIN CSL_CITATION {"citationItems":[{"id":"ITEM-1","itemData":{"DOI":"10.1016/j.rser.2018.11.035","ISSN":"18790690","abstract":"1.1 billion of the world's population still does not have access to electricity in the 21st century. Most of that population resides in the rural communities in developing countries in South Asia, Latin America and Sub-Saharan Africa. Access to electricity can eliminate existing problems related to health, education, social life, economy and the environment, and can increase the income of underserved communities. Most of the yet to be energized regions are in remote, isolated areas, that cannot be serviced through the central grid. While decentralized diesel generators can potentially be installed in these areas, they have a poor effect on climate change mitigation. Clean renewable energy alternatives for off-grid systems are being deployed to reduce the non-electrification rate in the world, and The United Nation Foundation's 2030 Agenda has the objective of universal access to electricity by 2030. While there has been some progress towards that goal, the challenges are countless. If no changes in models, policies and practices are made, the universal access objective will not be achieved, especially in Sub-Saharan Africa that has a level of electrification projection of 30% by 2030. To determine the necessary changes, this paper reviews the rural electrification initiatives in eight developing countries, from Asia to Sub-Saharan Africa to Latin America, and aims to provide an assessment of their success and to discuss the lessons that can be learned and applied on future initiatives.","author":[{"dropping-particle":"","family":"Almeshqab","given":"Fatema","non-dropping-particle":"","parse-names":false,"suffix":""},{"dropping-particle":"","family":"Ustun","given":"Taha Selim","non-dropping-particle":"","parse-names":false,"suffix":""}],"container-title":"Renewable and Sustainable Energy Reviews","id":"ITEM-1","issue":"November 2018","issued":{"date-parts":[["2019"]]},"page":"35-53","title":"Lessons learned from rural electrification initiatives in developing countries: Insights for technical, social, financial and public policy aspects","type":"article-journal","volume":"102"},"uris":["http://www.mendeley.com/documents/?uuid=67498b10-5eb4-40f1-801e-92fb528a66c7"]}],"mendeley":{"formattedCitation":"(Almeshqab &amp; Ustun, 2019)","plainTextFormattedCitation":"(Almeshqab &amp; Ustun, 2019)","previouslyFormattedCitation":"(Almeshqab &amp; Ustun, 2019)"},"properties":{"noteIndex":0},"schema":"https://github.com/citation-style-language/schema/raw/master/csl-citation.json"}</w:instrText>
      </w:r>
      <w:r w:rsidRPr="006350F8">
        <w:rPr>
          <w:lang w:val="en-US"/>
        </w:rPr>
        <w:fldChar w:fldCharType="separate"/>
      </w:r>
      <w:r w:rsidR="00A97D34" w:rsidRPr="00A97D34">
        <w:rPr>
          <w:noProof/>
          <w:lang w:val="en-US"/>
        </w:rPr>
        <w:t>(Almeshqab &amp; Ustun, 2019)</w:t>
      </w:r>
      <w:r w:rsidRPr="006350F8">
        <w:rPr>
          <w:lang w:val="en-US"/>
        </w:rPr>
        <w:fldChar w:fldCharType="end"/>
      </w:r>
      <w:r w:rsidRPr="006350F8">
        <w:rPr>
          <w:lang w:val="en-US"/>
        </w:rPr>
        <w:t xml:space="preserve">. </w:t>
      </w:r>
      <w:r w:rsidR="00D2712E">
        <w:rPr>
          <w:lang w:val="en-US"/>
        </w:rPr>
        <w:t xml:space="preserve">In Nigeria, however, gasoline generators are also very common. </w:t>
      </w:r>
      <w:r w:rsidRPr="006350F8">
        <w:rPr>
          <w:lang w:val="en-US"/>
        </w:rPr>
        <w:t>Establishing microgrids in these areas enables the incorporation of renewable resources as opposed to relying totally on fossil-fuel generators. This not only aims to reduce the carbon footprint of such power systems but also cut down on fuel-related running costs.</w:t>
      </w:r>
    </w:p>
    <w:p w14:paraId="5F97D052" w14:textId="6A708B66" w:rsidR="006350F8" w:rsidRPr="006350F8" w:rsidRDefault="006350F8" w:rsidP="00F03645">
      <w:pPr>
        <w:spacing w:line="480" w:lineRule="auto"/>
        <w:rPr>
          <w:lang w:val="en-US"/>
        </w:rPr>
      </w:pPr>
      <w:r w:rsidRPr="006350F8">
        <w:rPr>
          <w:lang w:val="en-US"/>
        </w:rPr>
        <w:t xml:space="preserve">Usually, there is a choice of relying completely on renewable energy in an islanded microgrid, but this will require a considerable amount of energy storage capacity for there to be any dispatchability </w:t>
      </w:r>
      <w:r w:rsidR="00542B6A">
        <w:rPr>
          <w:lang w:val="en-US"/>
        </w:rPr>
        <w:t xml:space="preserve">(capacity to vary power supply according to demand) </w:t>
      </w:r>
      <w:r w:rsidRPr="006350F8">
        <w:rPr>
          <w:lang w:val="en-US"/>
        </w:rPr>
        <w:t>of power on the microgrid. However, this kind of system would have no running costs associated with fueling. It would also be lacking in rotational inertia (except for hydropower) and its stability could be more complex to design for, especially given a high proportion of inverter-sourced power</w:t>
      </w:r>
      <w:r w:rsidR="00542B6A">
        <w:rPr>
          <w:lang w:val="en-US"/>
        </w:rPr>
        <w:t xml:space="preserve"> </w:t>
      </w:r>
      <w:r w:rsidRPr="006350F8">
        <w:rPr>
          <w:lang w:val="en-US"/>
        </w:rPr>
        <w:fldChar w:fldCharType="begin" w:fldLock="1"/>
      </w:r>
      <w:r w:rsidR="008E6BA7">
        <w:rPr>
          <w:lang w:val="en-US"/>
        </w:rPr>
        <w:instrText>ADDIN CSL_CITATION {"citationItems":[{"id":"ITEM-1","itemData":{"DOI":"10.1109/JESTPE.2019.2959271","ISSN":"21686785","abstract":"Increasing inverter-based sources reduces the system's inertia resulting in possible frequency stability issues. Understanding low-inertia systems and their stability properties is of crucial importance. This article introduces fundamental ways to integrate high levels of renewable energy (RE) and distributed energy resources (DERs) in the power system while creating a more flexible power system. Using RE and DER in the distribution system has many advantages such as reducing the physical and electrical distance between generation and loads, bringing sources closer to loads contributes to the enhancement of the voltage profile, reduction in distribution and transmission bottlenecks, improved reliability, lower losses, and enhances the potential use of waste heat. A basic issue for high penetration of DER is the technical complexity of controlling hundreds of thousands to millions of inverters. This is addressed through autonomous techniques using local measurements eliminating the need for fast control systems. The key issues addressed in this article include using inverter damping to stabilize frequency in systems with low or no inertia, autonomous operation, methods for relieving inverter overload, energy reserves, and their implementation in photovoltaics (PV) systems. This article provides important insight into the interactions between inverter bases sources and the high-power system. The distinction between grid-forming (GFM) inverter and grid-following (GFL) inverter is profound. GFM inverters provide damping to frequency swings in a mixed system, while GFL inverter can aggravate frequency problems with increased penetration. Rather than acting as a source of inertia, the GFM inverter acts as a source of damping to the system. On the other hand, the application of inverters in the power system has two major issues. One is the complexity of controlling hundreds of thousands to millions of inverters. This is addressed through autonomous techniques using local measurements. The other is the potential of high overcurrent in GFM inverters and techniques for explicitly protecting against overloading. To exploit the innate damping of GFM inverters, energy reserves are critical.","author":[{"dropping-particle":"","family":"Lasseter","given":"Robert H.","non-dropping-particle":"","parse-names":false,"suffix":""},{"dropping-particle":"","family":"Chen","given":"Zhe","non-dropping-particle":"","parse-names":false,"suffix":""},{"dropping-particle":"","family":"Pattabiraman","given":"Dinesh","non-dropping-particle":"","parse-names":false,"suffix":""}],"container-title":"IEEE Journal of Emerging and Selected Topics in Power Electronics","id":"ITEM-1","issue":"2","issued":{"date-parts":[["2020"]]},"page":"925-935","publisher":"IEEE","title":"Grid-Forming Inverters: A Critical Asset for the Power Grid","type":"article-journal","volume":"8"},"uris":["http://www.mendeley.com/documents/?uuid=0d7bdafd-6352-4bb5-b58f-4755a3fc32e9"]}],"mendeley":{"formattedCitation":"(Lasseter et al., 2020)","plainTextFormattedCitation":"(Lasseter et al., 2020)","previouslyFormattedCitation":"(Lasseter et al., 2020)"},"properties":{"noteIndex":0},"schema":"https://github.com/citation-style-language/schema/raw/master/csl-citation.json"}</w:instrText>
      </w:r>
      <w:r w:rsidRPr="006350F8">
        <w:rPr>
          <w:lang w:val="en-US"/>
        </w:rPr>
        <w:fldChar w:fldCharType="separate"/>
      </w:r>
      <w:r w:rsidR="00A97D34" w:rsidRPr="00A97D34">
        <w:rPr>
          <w:noProof/>
          <w:lang w:val="en-US"/>
        </w:rPr>
        <w:t>(Lasseter et al., 2020)</w:t>
      </w:r>
      <w:r w:rsidRPr="006350F8">
        <w:rPr>
          <w:lang w:val="en-US"/>
        </w:rPr>
        <w:fldChar w:fldCharType="end"/>
      </w:r>
      <w:r w:rsidRPr="006350F8">
        <w:rPr>
          <w:lang w:val="en-US"/>
        </w:rPr>
        <w:t>.</w:t>
      </w:r>
      <w:r w:rsidR="00260554">
        <w:rPr>
          <w:lang w:val="en-US"/>
        </w:rPr>
        <w:t xml:space="preserve"> The use of hybrid technology on a microgrid, especially Doubly Fed Induction Generator (DFIG-based) wind turbines can negatively impact the stability of the system </w:t>
      </w:r>
      <w:r w:rsidR="00260554">
        <w:rPr>
          <w:lang w:val="en-US"/>
        </w:rPr>
        <w:fldChar w:fldCharType="begin" w:fldLock="1"/>
      </w:r>
      <w:r w:rsidR="00BE0741">
        <w:rPr>
          <w:lang w:val="en-US"/>
        </w:rPr>
        <w:instrText>ADDIN CSL_CITATION {"citationItems":[{"id":"ITEM-1","itemData":{"DOI":"10.1109/ICIT.2013.6505941","ISBN":"9781467345699","abstract":"The present grid is accommodating mixed energies resulting into increasing complexities and instabilities. The dynamic performance is measured by also considering the impact the integration of new technologies such as distributed generation (DG) and hybrid distributed generation (HDG) have on the grid. Hybrid distributed generation with one or more renewable (stochastic) energy sources interact with the existing grid during import and export of power generation. This interaction contributes more fault current therefore making the system vulnerable to instability more than a single energy source. This study investigates the dynamic impact of hybrid Wind/ PV/small Hydro power on transient stability. To investigate this impact, a detail modeling of grid connected wind / solar PV and small hydropower system with single machine infinite system is carried out. The simulation was done in DIgSILENT power factory software. The configuration of the proposed typical grid connected hybrid distributed generation (HDG) consists of variable speed Wind turbine with doubly -fed induction generator (DFIG), solar PV and small hydropower system. The wind turbine is integrated through PWM converter into the existing Grid while the solar PV incorporated into the system consists of DC sources integrated through PWM inverter and the hydro power is directly connected through a synchronous generator. © 2013 IEEE.","author":[{"dropping-particle":"","family":"Olulope","given":"P. K.","non-dropping-particle":"","parse-names":false,"suffix":""},{"dropping-particle":"","family":"Folly","given":"K. A.","non-dropping-particle":"","parse-names":false,"suffix":""},{"dropping-particle":"","family":"Venayagamoorthy","given":"Ganesh K.","non-dropping-particle":"","parse-names":false,"suffix":""}],"container-title":"Proceedings of the IEEE International Conference on Industrial Technology","id":"ITEM-1","issued":{"date-parts":[["2013"]]},"page":"1757-1762","title":"Modeling and simulation of hybrid distributed generation and its impact on transient stability of power system","type":"paper-conference"},"uris":["http://www.mendeley.com/documents/?uuid=b48f641c-1474-3b66-93df-8d250ac8c977"]}],"mendeley":{"formattedCitation":"(P. K. Olulope et al., 2013)","plainTextFormattedCitation":"(P. K. Olulope et al., 2013)","previouslyFormattedCitation":"(P. K. Olulope et al., 2013)"},"properties":{"noteIndex":0},"schema":"https://github.com/citation-style-language/schema/raw/master/csl-citation.json"}</w:instrText>
      </w:r>
      <w:r w:rsidR="00260554">
        <w:rPr>
          <w:lang w:val="en-US"/>
        </w:rPr>
        <w:fldChar w:fldCharType="separate"/>
      </w:r>
      <w:r w:rsidR="00183F06" w:rsidRPr="00183F06">
        <w:rPr>
          <w:noProof/>
          <w:lang w:val="en-US"/>
        </w:rPr>
        <w:t>(P. K. Olulope et al., 2013)</w:t>
      </w:r>
      <w:r w:rsidR="00260554">
        <w:rPr>
          <w:lang w:val="en-US"/>
        </w:rPr>
        <w:fldChar w:fldCharType="end"/>
      </w:r>
      <w:r w:rsidR="00260554">
        <w:rPr>
          <w:lang w:val="en-US"/>
        </w:rPr>
        <w:t>.</w:t>
      </w:r>
    </w:p>
    <w:p w14:paraId="5E1FD50B" w14:textId="052E6FF5" w:rsidR="006350F8" w:rsidRPr="006350F8" w:rsidRDefault="006350F8" w:rsidP="00F03645">
      <w:pPr>
        <w:spacing w:line="480" w:lineRule="auto"/>
        <w:rPr>
          <w:lang w:val="en-US"/>
        </w:rPr>
      </w:pPr>
      <w:r w:rsidRPr="006350F8">
        <w:rPr>
          <w:lang w:val="en-US"/>
        </w:rPr>
        <w:t>On the other hand, a system with a high proportion of dispatchable fossil-fuel generators running on diesel or propane would need less or no energy storage but would have significant fuel costs and emissions. Such a system is also likely to be more robust than a purely</w:t>
      </w:r>
      <w:r w:rsidR="009861F9">
        <w:rPr>
          <w:lang w:val="en-US"/>
        </w:rPr>
        <w:t xml:space="preserve"> </w:t>
      </w:r>
      <w:r w:rsidRPr="006350F8">
        <w:rPr>
          <w:lang w:val="en-US"/>
        </w:rPr>
        <w:t>renewable-based system without needing complex arrangements for its stability</w:t>
      </w:r>
      <w:r w:rsidR="00260554">
        <w:rPr>
          <w:lang w:val="en-US"/>
        </w:rPr>
        <w:t xml:space="preserve"> </w:t>
      </w:r>
      <w:r w:rsidRPr="006350F8">
        <w:rPr>
          <w:lang w:val="en-US"/>
        </w:rPr>
        <w:fldChar w:fldCharType="begin" w:fldLock="1"/>
      </w:r>
      <w:r w:rsidR="008E6BA7">
        <w:rPr>
          <w:lang w:val="en-US"/>
        </w:rPr>
        <w:instrText>ADDIN CSL_CITATION {"citationItems":[{"id":"ITEM-1","itemData":{"abstract":"This guide provides an overview of inertia’s role in the evolving power system. It describes the sources of inertia in the grid, the intrinsic interplay of inertia and other grid services, the factors that impact the amount of and need for inertia, and the changes that can be made to maintain reliability as it declines. The guide is intended for nontechnical audiences. And it introduces accessible examples to illustrate the concepts of inertia and other grid services that are required to maintain system frequency, which is a key indicator of health in the current grid. The guide also discusses alternatives to traditional inertia and provides several takeaways that may be informative to power system decision makers, planners, operators, analysts, and other stakeholders.","author":[{"dropping-particle":"","family":"Denholm","given":"Paul","non-dropping-particle":"","parse-names":false,"suffix":""},{"dropping-particle":"","family":"Mai","given":"Trieu","non-dropping-particle":"","parse-names":false,"suffix":""},{"dropping-particle":"","family":"Kenyon","given":"Rick Wallace","non-dropping-particle":"","parse-names":false,"suffix":""},{"dropping-particle":"","family":"Kroposki","given":"Ben","non-dropping-particle":"","parse-names":false,"suffix":""},{"dropping-particle":"","family":"Malley","given":"Mark O","non-dropping-particle":"","parse-names":false,"suffix":""}],"container-title":"National Renewable Energy Laboratory","id":"ITEM-1","issue":"May","issued":{"date-parts":[["2020"]]},"page":"48","title":"Inertia and the Power Grid : A Guide Without the Spin","type":"article-journal"},"uris":["http://www.mendeley.com/documents/?uuid=6916721f-0257-4917-81b6-2a8186b1dfcb"]}],"mendeley":{"formattedCitation":"(Denholm et al., 2020)","plainTextFormattedCitation":"(Denholm et al., 2020)","previouslyFormattedCitation":"(Denholm et al., 2020)"},"properties":{"noteIndex":0},"schema":"https://github.com/citation-style-language/schema/raw/master/csl-citation.json"}</w:instrText>
      </w:r>
      <w:r w:rsidRPr="006350F8">
        <w:rPr>
          <w:lang w:val="en-US"/>
        </w:rPr>
        <w:fldChar w:fldCharType="separate"/>
      </w:r>
      <w:r w:rsidR="00A97D34" w:rsidRPr="00A97D34">
        <w:rPr>
          <w:noProof/>
          <w:lang w:val="en-US"/>
        </w:rPr>
        <w:t>(Denholm et al., 2020)</w:t>
      </w:r>
      <w:r w:rsidRPr="006350F8">
        <w:rPr>
          <w:lang w:val="en-US"/>
        </w:rPr>
        <w:fldChar w:fldCharType="end"/>
      </w:r>
      <w:r w:rsidRPr="006350F8">
        <w:rPr>
          <w:lang w:val="en-US"/>
        </w:rPr>
        <w:t>. This presents a common optimization problem that project financiers and engineers face in standalone microgrid development. The optimal solution to this kind of problem depends on factors such as renewable energy resource</w:t>
      </w:r>
      <w:r w:rsidR="009861F9">
        <w:rPr>
          <w:lang w:val="en-US"/>
        </w:rPr>
        <w:t>s</w:t>
      </w:r>
      <w:r w:rsidRPr="006350F8">
        <w:rPr>
          <w:lang w:val="en-US"/>
        </w:rPr>
        <w:t xml:space="preserve">, environmental impact, local regulations, financial constraints, project scale, and government policies. Also, it is usually more costly to develop and operate a self-sufficient standalone system than a grid-reliant system </w:t>
      </w:r>
      <w:r w:rsidRPr="006350F8">
        <w:rPr>
          <w:lang w:val="en-US"/>
        </w:rPr>
        <w:fldChar w:fldCharType="begin" w:fldLock="1"/>
      </w:r>
      <w:r w:rsidR="008E6BA7">
        <w:rPr>
          <w:lang w:val="en-US"/>
        </w:rPr>
        <w:instrText>ADDIN CSL_CITATION {"citationItems":[{"id":"ITEM-1","itemData":{"ISBN":"978-981-287-651-5","author":[{"dropping-particle":"","family":"Khalilpour","given":"Kaveh Rajab","non-dropping-particle":"","parse-names":false,"suffix":""},{"dropping-particle":"","family":"Vassallo","given":"Anthony","non-dropping-particle":"","parse-names":false,"suffix":""}],"id":"ITEM-1","issued":{"date-parts":[["2016"]]},"number-of-pages":"1-191","title":"Community Energy Networks With Storage","type":"book"},"uris":["http://www.mendeley.com/documents/?uuid=90cc1267-33fd-4077-b592-f3c3692c453d"]}],"mendeley":{"formattedCitation":"(Khalilpour &amp; Vassallo, 2016)","plainTextFormattedCitation":"(Khalilpour &amp; Vassallo, 2016)","previouslyFormattedCitation":"(Khalilpour &amp; Vassallo, 2016)"},"properties":{"noteIndex":0},"schema":"https://github.com/citation-style-language/schema/raw/master/csl-citation.json"}</w:instrText>
      </w:r>
      <w:r w:rsidRPr="006350F8">
        <w:rPr>
          <w:lang w:val="en-US"/>
        </w:rPr>
        <w:fldChar w:fldCharType="separate"/>
      </w:r>
      <w:r w:rsidR="00A97D34" w:rsidRPr="00A97D34">
        <w:rPr>
          <w:noProof/>
          <w:lang w:val="en-US"/>
        </w:rPr>
        <w:t>(Khalilpour &amp; Vassallo, 2016)</w:t>
      </w:r>
      <w:r w:rsidRPr="006350F8">
        <w:rPr>
          <w:lang w:val="en-US"/>
        </w:rPr>
        <w:fldChar w:fldCharType="end"/>
      </w:r>
      <w:r w:rsidRPr="006350F8">
        <w:rPr>
          <w:lang w:val="en-US"/>
        </w:rPr>
        <w:t>.</w:t>
      </w:r>
    </w:p>
    <w:p w14:paraId="063CFF7C" w14:textId="2222928F" w:rsidR="006350F8" w:rsidRPr="006350F8" w:rsidRDefault="006350F8" w:rsidP="00F03645">
      <w:pPr>
        <w:spacing w:line="480" w:lineRule="auto"/>
        <w:rPr>
          <w:lang w:val="en-US"/>
        </w:rPr>
      </w:pPr>
      <w:r w:rsidRPr="006350F8">
        <w:rPr>
          <w:lang w:val="en-US"/>
        </w:rPr>
        <w:t>Microgrids are small-scale, localized power systems. As such, they are not physically constrained to have only renewable generation connected. Rather, purely fossil-fuel</w:t>
      </w:r>
      <w:r w:rsidR="009861F9">
        <w:rPr>
          <w:lang w:val="en-US"/>
        </w:rPr>
        <w:t>-</w:t>
      </w:r>
      <w:r w:rsidRPr="006350F8">
        <w:rPr>
          <w:lang w:val="en-US"/>
        </w:rPr>
        <w:t xml:space="preserve">based microgrids also exist. Coal-based generation is largely unacceptable for development in populated areas due to its high and visible impact on its immediate environment, as well as the fact that it is less resource-efficient on the scales likely to be found in a microgrid </w:t>
      </w:r>
      <w:r w:rsidRPr="006350F8">
        <w:rPr>
          <w:lang w:val="en-US"/>
        </w:rPr>
        <w:fldChar w:fldCharType="begin" w:fldLock="1"/>
      </w:r>
      <w:r w:rsidR="008E6BA7">
        <w:rPr>
          <w:lang w:val="en-US"/>
        </w:rPr>
        <w:instrText>ADDIN CSL_CITATION {"citationItems":[{"id":"ITEM-1","itemData":{"DOI":"10.1016/J.RENENE.2015.12.002","ISSN":"0960-1481","abstract":"The state of Bihar in India has approximately 75 million people with no access to electricity. The government of India has pursued a policy of rural electrification through the provision of centralised coal-fired power which has been unable to resolve the low levels of electrification. Coal supply woes in India have led Indian companies to pursue new coal mines in Australia's Galilee Basin. The costs of these mining ventures will be high due to the mining infrastructure required and long transport distances to rural India. A high level analysis of mining, transport and power station investment to meet rural demand in Bihar shows that the absolute investment requirement using coal, especially coal sourced from Australia, as an expensive option. Pursuing electrification through village level, renewable energy micro-systems provides more flexibility. Pollution costs associated with coal-fired generation, employment benefits associated with many village implementations and a rural load unsupported by industry load, show a benefit associated with decentralised, renewable energy electrification.","author":[{"dropping-particle":"","family":"Molyneaux","given":"Lynette","non-dropping-particle":"","parse-names":false,"suffix":""},{"dropping-particle":"","family":"Wagner","given":"Liam","non-dropping-particle":"","parse-names":false,"suffix":""},{"dropping-particle":"","family":"Foster","given":"John","non-dropping-particle":"","parse-names":false,"suffix":""}],"container-title":"Renewable Energy","id":"ITEM-1","issued":{"date-parts":[["2016","4","1"]]},"page":"422-436","publisher":"Pergamon","title":"Rural electrification in India: Galilee Basin coal versus decentralised renewable energy micro grids","type":"article-journal","volume":"89"},"uris":["http://www.mendeley.com/documents/?uuid=3bff76ef-9169-31f7-a934-2d1f1a702a76"]}],"mendeley":{"formattedCitation":"(Molyneaux et al., 2016)","plainTextFormattedCitation":"(Molyneaux et al., 2016)","previouslyFormattedCitation":"(Molyneaux et al., 2016)"},"properties":{"noteIndex":0},"schema":"https://github.com/citation-style-language/schema/raw/master/csl-citation.json"}</w:instrText>
      </w:r>
      <w:r w:rsidRPr="006350F8">
        <w:rPr>
          <w:lang w:val="en-US"/>
        </w:rPr>
        <w:fldChar w:fldCharType="separate"/>
      </w:r>
      <w:r w:rsidR="00A97D34" w:rsidRPr="00A97D34">
        <w:rPr>
          <w:noProof/>
          <w:lang w:val="en-US"/>
        </w:rPr>
        <w:t>(Molyneaux et al., 2016)</w:t>
      </w:r>
      <w:r w:rsidRPr="006350F8">
        <w:rPr>
          <w:lang w:val="en-US"/>
        </w:rPr>
        <w:fldChar w:fldCharType="end"/>
      </w:r>
      <w:r w:rsidRPr="006350F8">
        <w:rPr>
          <w:lang w:val="en-US"/>
        </w:rPr>
        <w:t xml:space="preserve">. However, diesel and natural gas are less obtrusive in their application, and microgrids based on them exist </w:t>
      </w:r>
      <w:r w:rsidRPr="006350F8">
        <w:rPr>
          <w:lang w:val="en-US"/>
        </w:rPr>
        <w:fldChar w:fldCharType="begin" w:fldLock="1"/>
      </w:r>
      <w:r w:rsidR="00AC5C84">
        <w:rPr>
          <w:lang w:val="en-US"/>
        </w:rPr>
        <w:instrText>ADDIN CSL_CITATION {"citationItems":[{"id":"ITEM-1","itemData":{"DOI":"10.1016/j.apenergy.2020.115287","ISSN":"03062619","abstract":"To contribute to “Affordable and Clean Energy”, Goal 7 of United Nations Sustainable Development Goals, this paper presents an economic evaluation of renewable energy microgrids and offers recommendations for government policy-making. Different from the mainstream single case costing studies in the existing literature, which produces results highly specific to the grid configuration and gives limited reference value for future projects, this paper contributes to the knowledge base by gathering publicly available data from 24 renewable energy microgrids worldwide, then presenting a set of economic performance indicators for general understanding, including life-cycle cost, economies of scale and net present value. The investment cost and operating cost are calculated to be 2135 USD/kW and 0.066 USD/kWh respectively, both figures being higher than those of pulverized-coal and natural gas. It is projected that by 2025 the costs of renewable energy microgrids will begin to be competitive with non-renewable energy generation. The economies of the scale factor is 0.9, which means although savings can still be enjoyed, the effect of economies of scale is weak. The net present value calculation reveals that investment in renewable energy microgrid is not a profitable one. Based on the above results, recommendations for government policy-making are made. It is suggested that investment-based policies delivered by the governments may be more effective than production-based policies, however, the two could complement each other in order to form a welcoming and sustainable renewable energy microgrid market.","author":[{"dropping-particle":"","family":"Wang","given":"Richard","non-dropping-particle":"","parse-names":false,"suffix":""},{"dropping-particle":"","family":"Hsu","given":"Shu Chien","non-dropping-particle":"","parse-names":false,"suffix":""},{"dropping-particle":"","family":"Zheng","given":"Saina","non-dropping-particle":"","parse-names":false,"suffix":""},{"dropping-particle":"","family":"Chen","given":"Jieh Haur","non-dropping-particle":"","parse-names":false,"suffix":""},{"dropping-particle":"","family":"Li","given":"Xuran Ivan","non-dropping-particle":"","parse-names":false,"suffix":""}],"container-title":"Applied Energy","id":"ITEM-1","issued":{"date-parts":[["2020","9","15"]]},"page":"115287","publisher":"Elsevier","title":"Renewable energy microgrids: Economic evaluation and decision making for government policies to contribute to affordable and clean energy","type":"article-journal","volume":"274"},"uris":["http://www.mendeley.com/documents/?uuid=cf14c91b-cdd4-3cd4-8ada-85b3fb54f4a2"]}],"mendeley":{"formattedCitation":"(R. Wang et al., 2020)","plainTextFormattedCitation":"(R. Wang et al., 2020)","previouslyFormattedCitation":"(R. Wang et al., 2020)"},"properties":{"noteIndex":0},"schema":"https://github.com/citation-style-language/schema/raw/master/csl-citation.json"}</w:instrText>
      </w:r>
      <w:r w:rsidRPr="006350F8">
        <w:rPr>
          <w:lang w:val="en-US"/>
        </w:rPr>
        <w:fldChar w:fldCharType="separate"/>
      </w:r>
      <w:r w:rsidR="00046467" w:rsidRPr="00046467">
        <w:rPr>
          <w:noProof/>
          <w:lang w:val="en-US"/>
        </w:rPr>
        <w:t>(R. Wang et al., 2020)</w:t>
      </w:r>
      <w:r w:rsidRPr="006350F8">
        <w:rPr>
          <w:lang w:val="en-US"/>
        </w:rPr>
        <w:fldChar w:fldCharType="end"/>
      </w:r>
      <w:r w:rsidRPr="006350F8">
        <w:rPr>
          <w:lang w:val="en-US"/>
        </w:rPr>
        <w:t>. However, the microgrid concept is to localize not only power distribution but also its generation and transmission</w:t>
      </w:r>
      <w:r w:rsidRPr="006350F8">
        <w:rPr>
          <w:lang w:val="en-US"/>
        </w:rPr>
        <w:fldChar w:fldCharType="begin" w:fldLock="1"/>
      </w:r>
      <w:r w:rsidR="008E6BA7">
        <w:rPr>
          <w:lang w:val="en-US"/>
        </w:rPr>
        <w:instrText>ADDIN CSL_CITATION {"citationItems":[{"id":"ITEM-1","itemData":{"DOI":"10.1016/J.EST.2017.12.017","ISSN":"2352-152X","abstract":"This paper explores the load shaping ability of microgrid power systems coupled with flexible operation of HVAC systems for commercial customers. In the proposed framework, this integrated system is treated as a dispatchable power source/sink in order to mitigate the uncertainty and variability imposed on the external utility company. The load shaping required is enabled by the natural flexibility in space heating and cooling, along with dispatchable microgrid resources such as batteries. A hierarchical control approach is formulated for the scheduling and supervisory control of the flexible loads and dispatchable energy units within the microgrid. Stochastic optimization is used for scheduling at the slow time scale to ensure forecasting errors in renewable availability and energy demands can be rejected. Deterministic optimization is used at the fast time scale to update dispatch decisions in response to realized conditions. A case study demonstrates that this proposed control approach is able to substantially reduce the uncertainty and variability in energy exchange with the external utility across a variety of commercial load types and in different seasons.","author":[{"dropping-particle":"","family":"Zachar","given":"Michael","non-dropping-particle":"","parse-names":false,"suffix":""},{"dropping-particle":"","family":"Daoutidis","given":"Prodromos","non-dropping-particle":"","parse-names":false,"suffix":""}],"container-title":"Journal of Energy Storage","id":"ITEM-1","issued":{"date-parts":[["2018","4","1"]]},"page":"61-75","publisher":"Elsevier","title":"Energy management and load shaping for commercial microgrids coupled with flexible building environment control","type":"article-journal","volume":"16"},"uris":["http://www.mendeley.com/documents/?uuid=63eca635-cf1e-39f4-8583-872ce732c0e0"]}],"mendeley":{"formattedCitation":"(Zachar &amp; Daoutidis, 2018)","plainTextFormattedCitation":"(Zachar &amp; Daoutidis, 2018)","previouslyFormattedCitation":"(Zachar &amp; Daoutidis, 2018)"},"properties":{"noteIndex":0},"schema":"https://github.com/citation-style-language/schema/raw/master/csl-citation.json"}</w:instrText>
      </w:r>
      <w:r w:rsidRPr="006350F8">
        <w:rPr>
          <w:lang w:val="en-US"/>
        </w:rPr>
        <w:fldChar w:fldCharType="separate"/>
      </w:r>
      <w:r w:rsidR="00A97D34" w:rsidRPr="00A97D34">
        <w:rPr>
          <w:noProof/>
          <w:lang w:val="en-US"/>
        </w:rPr>
        <w:t>(Zachar &amp; Daoutidis, 2018)</w:t>
      </w:r>
      <w:r w:rsidRPr="006350F8">
        <w:rPr>
          <w:lang w:val="en-US"/>
        </w:rPr>
        <w:fldChar w:fldCharType="end"/>
      </w:r>
      <w:r w:rsidRPr="006350F8">
        <w:rPr>
          <w:lang w:val="en-US"/>
        </w:rPr>
        <w:t>.</w:t>
      </w:r>
    </w:p>
    <w:p w14:paraId="6D21EE84" w14:textId="30DD67DA" w:rsidR="006350F8" w:rsidRPr="006350F8" w:rsidRDefault="006350F8" w:rsidP="00F03645">
      <w:pPr>
        <w:spacing w:line="480" w:lineRule="auto"/>
        <w:rPr>
          <w:lang w:val="en-US"/>
        </w:rPr>
      </w:pPr>
      <w:r w:rsidRPr="006350F8">
        <w:rPr>
          <w:lang w:val="en-US"/>
        </w:rPr>
        <w:t>For the most part, fuels such as diesel and natural gas have to be transported from locations far away from the microgrid</w:t>
      </w:r>
      <w:r w:rsidR="00542B6A">
        <w:rPr>
          <w:lang w:val="en-US"/>
        </w:rPr>
        <w:t xml:space="preserve"> </w:t>
      </w:r>
      <w:r w:rsidRPr="006350F8">
        <w:rPr>
          <w:lang w:val="en-US"/>
        </w:rPr>
        <w:fldChar w:fldCharType="begin" w:fldLock="1"/>
      </w:r>
      <w:r w:rsidR="00AC5C84">
        <w:rPr>
          <w:lang w:val="en-US"/>
        </w:rPr>
        <w:instrText>ADDIN CSL_CITATION {"citationItems":[{"id":"ITEM-1","itemData":{"DOI":"10.1109/CPE.2018.8372506","ISBN":"9781538625088","abstract":"As non-renewable resources of energy depletes at an alarming rate, the energy market strives to find alternatives that are renewable and environmentally sustainable in the long run. The conventional power generation system burns a massive amount of coal on a daily basis to provide energy for customers. This contributes to worldwide pollution and consequently harms the environment. Besides the irreversible harmful effects inflicted on the planet, fuels are a non-renewable resource and thus it is vital that renewable resources are considered for power generation. As far as military applications are concerned, reliability and security of available energy are highly sought after. This paper reviews the concept of microgrid technology, an off-grid energy generation system used by military forces in efforts to face the energy crisis that is beginning to gain momentum in today's world. It also discusses the key features of the recently developed smart grid.","author":[{"dropping-particle":"","family":"Kashem","given":"Saad Bin Abul","non-dropping-particle":"","parse-names":false,"suffix":""},{"dropping-particle":"","family":"Souza","given":"Stephanie","non-dropping-particle":"De","parse-names":false,"suffix":""},{"dropping-particle":"","family":"Iqbal","given":"Atif","non-dropping-particle":"","parse-names":false,"suffix":""},{"dropping-particle":"","family":"Ahmed","given":"Jubaer","non-dropping-particle":"","parse-names":false,"suffix":""}],"container-title":"Proceedings - 2018 IEEE 12th International Conference on Compatibility, Power Electronics and Power Engineering, CPE-POWERENG 2018","id":"ITEM-1","issued":{"date-parts":[["2018","6","4"]]},"page":"1-5","publisher":"Institute of Electrical and Electronics Engineers Inc.","title":"Microgrid in military applications","type":"paper-conference"},"uris":["http://www.mendeley.com/documents/?uuid=ef684e44-2230-3cf2-903b-13502c4cec2c"]}],"mendeley":{"formattedCitation":"(Kashem et al., 2018)","plainTextFormattedCitation":"(Kashem et al., 2018)","previouslyFormattedCitation":"(Kashem et al., 2018)"},"properties":{"noteIndex":0},"schema":"https://github.com/citation-style-language/schema/raw/master/csl-citation.json"}</w:instrText>
      </w:r>
      <w:r w:rsidRPr="006350F8">
        <w:rPr>
          <w:lang w:val="en-US"/>
        </w:rPr>
        <w:fldChar w:fldCharType="separate"/>
      </w:r>
      <w:r w:rsidR="00A97D34" w:rsidRPr="00A97D34">
        <w:rPr>
          <w:noProof/>
          <w:lang w:val="en-US"/>
        </w:rPr>
        <w:t>(Kashem et al., 2018)</w:t>
      </w:r>
      <w:r w:rsidRPr="006350F8">
        <w:rPr>
          <w:lang w:val="en-US"/>
        </w:rPr>
        <w:fldChar w:fldCharType="end"/>
      </w:r>
      <w:r w:rsidRPr="006350F8">
        <w:rPr>
          <w:lang w:val="en-US"/>
        </w:rPr>
        <w:t xml:space="preserve">. In many cases, these fuels need to be imported from other countries. In examples like this, even if generation is </w:t>
      </w:r>
      <w:r w:rsidR="009861F9">
        <w:rPr>
          <w:lang w:val="en-US"/>
        </w:rPr>
        <w:t>done locally</w:t>
      </w:r>
      <w:r w:rsidRPr="006350F8">
        <w:rPr>
          <w:lang w:val="en-US"/>
        </w:rPr>
        <w:t>, there are long distances in the energy supply chain that transcend the area serviced by the power system. This can be said to defeat one of the main purposes of microgrids: shortening the energy supply chain. However, when renewable sources are used on a microgrid system, such a system relies on local natural energy resources which are self-replenishing (i.e free of cost and transportation) and also mostly nonpolluting</w:t>
      </w:r>
      <w:r w:rsidR="00542B6A">
        <w:rPr>
          <w:lang w:val="en-US"/>
        </w:rPr>
        <w:t xml:space="preserve"> </w:t>
      </w:r>
      <w:r w:rsidRPr="006350F8">
        <w:rPr>
          <w:lang w:val="en-US"/>
        </w:rPr>
        <w:fldChar w:fldCharType="begin" w:fldLock="1"/>
      </w:r>
      <w:r w:rsidR="00AC5C84">
        <w:rPr>
          <w:lang w:val="en-US"/>
        </w:rPr>
        <w:instrText>ADDIN CSL_CITATION {"citationItems":[{"id":"ITEM-1","itemData":{"DOI":"10.1109/CPE.2018.8372506","ISBN":"9781538625088","abstract":"As non-renewable resources of energy depletes at an alarming rate, the energy market strives to find alternatives that are renewable and environmentally sustainable in the long run. The conventional power generation system burns a massive amount of coal on a daily basis to provide energy for customers. This contributes to worldwide pollution and consequently harms the environment. Besides the irreversible harmful effects inflicted on the planet, fuels are a non-renewable resource and thus it is vital that renewable resources are considered for power generation. As far as military applications are concerned, reliability and security of available energy are highly sought after. This paper reviews the concept of microgrid technology, an off-grid energy generation system used by military forces in efforts to face the energy crisis that is beginning to gain momentum in today's world. It also discusses the key features of the recently developed smart grid.","author":[{"dropping-particle":"","family":"Kashem","given":"Saad Bin Abul","non-dropping-particle":"","parse-names":false,"suffix":""},{"dropping-particle":"","family":"Souza","given":"Stephanie","non-dropping-particle":"De","parse-names":false,"suffix":""},{"dropping-particle":"","family":"Iqbal","given":"Atif","non-dropping-particle":"","parse-names":false,"suffix":""},{"dropping-particle":"","family":"Ahmed","given":"Jubaer","non-dropping-particle":"","parse-names":false,"suffix":""}],"container-title":"Proceedings - 2018 IEEE 12th International Conference on Compatibility, Power Electronics and Power Engineering, CPE-POWERENG 2018","id":"ITEM-1","issued":{"date-parts":[["2018","6","4"]]},"page":"1-5","publisher":"Institute of Electrical and Electronics Engineers Inc.","title":"Microgrid in military applications","type":"paper-conference"},"uris":["http://www.mendeley.com/documents/?uuid=ef684e44-2230-3cf2-903b-13502c4cec2c"]}],"mendeley":{"formattedCitation":"(Kashem et al., 2018)","plainTextFormattedCitation":"(Kashem et al., 2018)","previouslyFormattedCitation":"(Kashem et al., 2018)"},"properties":{"noteIndex":0},"schema":"https://github.com/citation-style-language/schema/raw/master/csl-citation.json"}</w:instrText>
      </w:r>
      <w:r w:rsidRPr="006350F8">
        <w:rPr>
          <w:lang w:val="en-US"/>
        </w:rPr>
        <w:fldChar w:fldCharType="separate"/>
      </w:r>
      <w:r w:rsidR="00A97D34" w:rsidRPr="00A97D34">
        <w:rPr>
          <w:noProof/>
          <w:lang w:val="en-US"/>
        </w:rPr>
        <w:t>(Kashem et al., 2018)</w:t>
      </w:r>
      <w:r w:rsidRPr="006350F8">
        <w:rPr>
          <w:lang w:val="en-US"/>
        </w:rPr>
        <w:fldChar w:fldCharType="end"/>
      </w:r>
      <w:r w:rsidRPr="006350F8">
        <w:rPr>
          <w:lang w:val="en-US"/>
        </w:rPr>
        <w:t>. This is why the benefits of the microgrid are most effectively expressed in a system that integrates renewable generation, and why research on microgrids has mostly explored this kind of system.</w:t>
      </w:r>
    </w:p>
    <w:p w14:paraId="49C8402E" w14:textId="1BD0C905" w:rsidR="006350F8" w:rsidRPr="006350F8" w:rsidRDefault="006350F8" w:rsidP="00F03645">
      <w:pPr>
        <w:spacing w:line="480" w:lineRule="auto"/>
        <w:rPr>
          <w:lang w:val="en-US"/>
        </w:rPr>
      </w:pPr>
      <w:r w:rsidRPr="006350F8">
        <w:rPr>
          <w:lang w:val="en-US"/>
        </w:rPr>
        <w:t xml:space="preserve">The installed capacity of a microgrid can be a few kilowatts, up to a few megawatts </w:t>
      </w:r>
      <w:r w:rsidRPr="006350F8">
        <w:rPr>
          <w:lang w:val="en-US"/>
        </w:rPr>
        <w:fldChar w:fldCharType="begin" w:fldLock="1"/>
      </w:r>
      <w:r w:rsidR="008E6BA7">
        <w:rPr>
          <w:lang w:val="en-US"/>
        </w:rPr>
        <w:instrText>ADDIN CSL_CITATION {"citationItems":[{"id":"ITEM-1","itemData":{"DOI":"10.1016/B978-0-12-803736-2.00001-3","ISBN":"978-0-12-803736-2","abstract":"The utility grid challenge is to meet the current growing energy demand, taking into account the environmental issues. Nowadays many power electronic devices enable the connection of distributed and variable renewable energy sources to the utility grid, but too often these devices do not consider the integration of ancillary services. To enhance overall utility grid performance and to achieve a high level of renewable energy penetration into the grid, control strategies of power management through smart interfaces should be developed to build a more flexible and robust utility grid. From control to protection and energy management, combined with information and communication, the concept of a smart grid and microgrids were born in recent years. As a main element of the smart grid, a microgrid that combines distributed energy sources and loads is considered as an effective and promising approach to address the variable renewable energy source integration issues and traditional grid issues. With communication technology, a microgrid can interact with a smart grid to assist grid power balancing by advanced energy management and thus reduce the cost and improve power quality. For urban areas, a building-integrated DC microgrid combined with a DC bus distribution is proposed. The building-integrated microgrid can supply a tertiary building through a hierarchical supervision able to exchange messages with the smart grid and metadata. This chapter reviews issues in utility grids and aims to introduce the urban microgrid based on renewable electricity and connected to the future smart grid, thus putting this study in the current scientific and technological context.","author":[{"dropping-particle":"","family":"Sechilariu","given":"Manuela","non-dropping-particle":"","parse-names":false,"suffix":""},{"dropping-particle":"","family":"Locment","given":"Fabrice","non-dropping-particle":"","parse-names":false,"suffix":""}],"container-title":"Urban DC Microgrid: Intelligent Control and Power Flow Optimization","id":"ITEM-1","issued":{"date-parts":[["2016","1","1"]]},"page":"1-33","publisher":"Butterworth-Heinemann","title":"Connecting and Integrating Variable Renewable Electricity in Utility Grid","type":"chapter"},"uris":["http://www.mendeley.com/documents/?uuid=e69baba2-84b1-3b8a-ab18-1039ce4d4bf4"]}],"mendeley":{"formattedCitation":"(Sechilariu &amp; Locment, 2016)","plainTextFormattedCitation":"(Sechilariu &amp; Locment, 2016)","previouslyFormattedCitation":"(Sechilariu &amp; Locment, 2016)"},"properties":{"noteIndex":0},"schema":"https://github.com/citation-style-language/schema/raw/master/csl-citation.json"}</w:instrText>
      </w:r>
      <w:r w:rsidRPr="006350F8">
        <w:rPr>
          <w:lang w:val="en-US"/>
        </w:rPr>
        <w:fldChar w:fldCharType="separate"/>
      </w:r>
      <w:r w:rsidR="00A97D34" w:rsidRPr="00A97D34">
        <w:rPr>
          <w:noProof/>
          <w:lang w:val="en-US"/>
        </w:rPr>
        <w:t>(Sechilariu &amp; Locment, 2016)</w:t>
      </w:r>
      <w:r w:rsidRPr="006350F8">
        <w:rPr>
          <w:lang w:val="en-US"/>
        </w:rPr>
        <w:fldChar w:fldCharType="end"/>
      </w:r>
      <w:r w:rsidRPr="006350F8">
        <w:rPr>
          <w:lang w:val="en-US"/>
        </w:rPr>
        <w:t>. Apart from providing dispatchability of power, the combustion-based generators provide mechanical inertia in concert with any hydropower generators in the system which boosts its stability</w:t>
      </w:r>
      <w:r w:rsidR="00542B6A">
        <w:rPr>
          <w:lang w:val="en-US"/>
        </w:rPr>
        <w:t xml:space="preserve"> </w:t>
      </w:r>
      <w:r w:rsidRPr="006350F8">
        <w:rPr>
          <w:lang w:val="en-US"/>
        </w:rPr>
        <w:fldChar w:fldCharType="begin" w:fldLock="1"/>
      </w:r>
      <w:r w:rsidR="008E6BA7">
        <w:rPr>
          <w:lang w:val="en-US"/>
        </w:rPr>
        <w:instrText>ADDIN CSL_CITATION {"citationItems":[{"id":"ITEM-1","itemData":{"DOI":"10.1016/j.rser.2018.03.040","ISSN":"18790690","abstract":"Microgrids are now emerging from lab benches and pilot demonstration sites into commercial markets, driven by technological improvements, falling costs, a proven track record, and growing recognition of their benefits. They are being used to improve reliability and resilience of electrical grids, to manage the addition of distributed clean energy resources like wind and solar photovoltaic (PV) generation to reduce fossil fuel emissions, and to provide electricity in areas not served by centralized electrical infrastructure. This review article (1) explains what a microgrid is, and (2) provides a multi-disciplinary portrait of today's microgrid drivers, real-world applications, challenges, and future prospects.","author":[{"dropping-particle":"","family":"Hirsch","given":"Adam","non-dropping-particle":"","parse-names":false,"suffix":""},{"dropping-particle":"","family":"Parag","given":"Yael","non-dropping-particle":"","parse-names":false,"suffix":""},{"dropping-particle":"","family":"Guerrero","given":"Josep","non-dropping-particle":"","parse-names":false,"suffix":""}],"container-title":"Renewable and Sustainable Energy Reviews","id":"ITEM-1","issued":{"date-parts":[["2018","7","1"]]},"page":"402-411","publisher":"Pergamon","title":"Microgrids: A review of technologies, key drivers, and outstanding issues","type":"article-journal","volume":"90"},"uris":["http://www.mendeley.com/documents/?uuid=518c920d-4540-3c40-91b7-4f4b4e96ed7d"]}],"mendeley":{"formattedCitation":"(Hirsch et al., 2018)","plainTextFormattedCitation":"(Hirsch et al., 2018)","previouslyFormattedCitation":"(Hirsch et al., 2018)"},"properties":{"noteIndex":0},"schema":"https://github.com/citation-style-language/schema/raw/master/csl-citation.json"}</w:instrText>
      </w:r>
      <w:r w:rsidRPr="006350F8">
        <w:rPr>
          <w:lang w:val="en-US"/>
        </w:rPr>
        <w:fldChar w:fldCharType="separate"/>
      </w:r>
      <w:r w:rsidR="00A97D34" w:rsidRPr="00A97D34">
        <w:rPr>
          <w:noProof/>
          <w:lang w:val="en-US"/>
        </w:rPr>
        <w:t>(Hirsch et al., 2018)</w:t>
      </w:r>
      <w:r w:rsidRPr="006350F8">
        <w:rPr>
          <w:lang w:val="en-US"/>
        </w:rPr>
        <w:fldChar w:fldCharType="end"/>
      </w:r>
      <w:r w:rsidRPr="006350F8">
        <w:rPr>
          <w:lang w:val="en-US"/>
        </w:rPr>
        <w:t xml:space="preserve">. For reason of </w:t>
      </w:r>
      <w:r w:rsidR="009861F9">
        <w:rPr>
          <w:lang w:val="en-US"/>
        </w:rPr>
        <w:t xml:space="preserve">the </w:t>
      </w:r>
      <w:r w:rsidRPr="006350F8">
        <w:rPr>
          <w:lang w:val="en-US"/>
        </w:rPr>
        <w:t xml:space="preserve">complexity of control and stability concerns, it is not always desired to have a system completely composed of inverter-based sources </w:t>
      </w:r>
      <w:r w:rsidRPr="006350F8">
        <w:rPr>
          <w:lang w:val="en-US"/>
        </w:rPr>
        <w:fldChar w:fldCharType="begin" w:fldLock="1"/>
      </w:r>
      <w:r w:rsidR="008E6BA7">
        <w:rPr>
          <w:lang w:val="en-US"/>
        </w:rPr>
        <w:instrText>ADDIN CSL_CITATION {"citationItems":[{"id":"ITEM-1","itemData":{"DOI":"10.1016/j.solener.2020.05.053","ISSN":"0038092X","abstract":"As power system renewable energy penetrations increase, the ways in which key renewable technologies such as wind and solar photovoltaics (PV) differ from thermal generators become more apparent. Many studies have examined the variability and uncertainty of such generators and described how generation and load can be balanced for a wide variety of annual energy penetrations, at timescales from seconds to years. Another important characteristic of these resources is asynchronicity, the result of using inverters to interface the prime energy source with the power system as opposed to synchronous generators. Unlike synchronous generators, whose frequency of alternating current (AC) injection is physically coupled to the rotation of the machine itself, inverter based asynchronous generators do not share the same physical coupling with the generated frequency. These subtle differences impact the operations of power systems developed around the characteristics of synchronous generators. In this paper we review current knowledge and open research questions concerning the interplay between asynchronous inverter-based resources (IBRs) and cycle- to second-scale power system dynamics, with a focus on how stability and control may be impacted or need to be achieved differently when there are high instantaneous penetrations of IBRs across an interconnection. This work does not seek to provide a comprehensive review of the latest developments, but is instead intended to be accessible to any reader with an engineering background and an interest in power systems and renewable energy. As such, the paper includes basic material on power electronics, control schemes for IBRs, and power system stability; and uses this background material to describe potential impacts of IBRs on power system stability, operational challenges associated with large amounts of distributed IBR generation, and modern power system simulation trends driven by IBR characteristics.","author":[{"dropping-particle":"","family":"Kenyon","given":"Rick Wallace","non-dropping-particle":"","parse-names":false,"suffix":""},{"dropping-particle":"","family":"Bossart","given":"Matthew","non-dropping-particle":"","parse-names":false,"suffix":""},{"dropping-particle":"","family":"Marković","given":"Marija","non-dropping-particle":"","parse-names":false,"suffix":""},{"dropping-particle":"","family":"Doubleday","given":"Kate","non-dropping-particle":"","parse-names":false,"suffix":""},{"dropping-particle":"","family":"Matsuda-Dunn","given":"Reiko","non-dropping-particle":"","parse-names":false,"suffix":""},{"dropping-particle":"","family":"Mitova","given":"Stefania","non-dropping-particle":"","parse-names":false,"suffix":""},{"dropping-particle":"","family":"Julien","given":"Simon A","non-dropping-particle":"","parse-names":false,"suffix":""},{"dropping-particle":"","family":"Hale","given":"Elaine T","non-dropping-particle":"","parse-names":false,"suffix":""},{"dropping-particle":"","family":"Hodge","given":"Bri Mathias","non-dropping-particle":"","parse-names":false,"suffix":""}],"container-title":"Solar Energy","id":"ITEM-1","issue":"April","issued":{"date-parts":[["2020"]]},"page":"149-168","title":"Stability and control of power systems with high penetrations of inverter-based resources: An accessible review of current knowledge and open questions","type":"article-journal","volume":"210"},"uris":["http://www.mendeley.com/documents/?uuid=f8b28133-c40b-4e30-ae20-bbd1a265d09c"]}],"mendeley":{"formattedCitation":"(Kenyon et al., 2020)","plainTextFormattedCitation":"(Kenyon et al., 2020)","previouslyFormattedCitation":"(Kenyon et al., 2020)"},"properties":{"noteIndex":0},"schema":"https://github.com/citation-style-language/schema/raw/master/csl-citation.json"}</w:instrText>
      </w:r>
      <w:r w:rsidRPr="006350F8">
        <w:rPr>
          <w:lang w:val="en-US"/>
        </w:rPr>
        <w:fldChar w:fldCharType="separate"/>
      </w:r>
      <w:r w:rsidR="00A97D34" w:rsidRPr="00A97D34">
        <w:rPr>
          <w:noProof/>
          <w:lang w:val="en-US"/>
        </w:rPr>
        <w:t>(Kenyon et al., 2020)</w:t>
      </w:r>
      <w:r w:rsidRPr="006350F8">
        <w:rPr>
          <w:lang w:val="en-US"/>
        </w:rPr>
        <w:fldChar w:fldCharType="end"/>
      </w:r>
      <w:r w:rsidRPr="006350F8">
        <w:rPr>
          <w:lang w:val="en-US"/>
        </w:rPr>
        <w:t xml:space="preserve">. As a result of this, it is quite common to find diesel and natural gas generators incorporated as DGUs in </w:t>
      </w:r>
      <w:r w:rsidR="009861F9">
        <w:rPr>
          <w:lang w:val="en-US"/>
        </w:rPr>
        <w:t>otherwise renewable-based microgrids</w:t>
      </w:r>
      <w:r w:rsidRPr="006350F8">
        <w:rPr>
          <w:lang w:val="en-US"/>
        </w:rPr>
        <w:t xml:space="preserve">. However, solar photovoltaic (PV) and wind energy conversion systems (WECS) are the predominant renewable technologies used for generation in microgrids </w:t>
      </w:r>
      <w:r w:rsidRPr="006350F8">
        <w:rPr>
          <w:lang w:val="en-US"/>
        </w:rPr>
        <w:fldChar w:fldCharType="begin" w:fldLock="1"/>
      </w:r>
      <w:r w:rsidR="008E6BA7">
        <w:rPr>
          <w:lang w:val="en-US"/>
        </w:rPr>
        <w:instrText>ADDIN CSL_CITATION {"citationItems":[{"id":"ITEM-1","itemData":{"DOI":"10.1016/j.rser.2020.110626","ISSN":"18790690","abstract":"China has become the world's largest clean energy country in terms of the total installation of wind and photovoltaic power and annual newly installed capacity. However, weather conditions render renewable energy unstable, thereby restricting its application to a power grid; reducing the randomness in wind or photovoltaic power is the major challenge of the utilization of solar and wind energy. This paper systematically reviews the explorations and the practices related to wind and photovoltaic power consumption in China. Considering the difference in the methods of supplementing the variable and intermittent output of wind and PV power, five consumption modes are outlined: distributed energy microgrid absorption, power grid peak shaving operation consumption, wind-photovoltaic-storage consumption, wind-photovoltaic-thermal complementation, and wind-photovoltaic-hydro complementation. The theories, features, current situation and growing trends of each mode are analyzed. Finally, several suggestions, including promoting multi-energy complementary microgrid application and installing large-scale pumped storage hydropower, are provided for improving the efficiency of renewable energy development in China.","author":[{"dropping-particle":"","family":"Li","given":"Jidong","non-dropping-particle":"","parse-names":false,"suffix":""},{"dropping-particle":"","family":"Chen","given":"Shijun","non-dropping-particle":"","parse-names":false,"suffix":""},{"dropping-particle":"","family":"Wu","given":"Yuqiang","non-dropping-particle":"","parse-names":false,"suffix":""},{"dropping-particle":"","family":"Wang","given":"Qinhui","non-dropping-particle":"","parse-names":false,"suffix":""},{"dropping-particle":"","family":"Liu","given":"Xing","non-dropping-particle":"","parse-names":false,"suffix":""},{"dropping-particle":"","family":"Qi","given":"Lijian","non-dropping-particle":"","parse-names":false,"suffix":""},{"dropping-particle":"","family":"Lu","given":"Xiuyuan","non-dropping-particle":"","parse-names":false,"suffix":""},{"dropping-particle":"","family":"Gao","given":"Lu","non-dropping-particle":"","parse-names":false,"suffix":""}],"container-title":"Renewable and Sustainable Energy Reviews","id":"ITEM-1","issue":"November 2020","issued":{"date-parts":[["2021"]]},"page":"110626","publisher":"Elsevier Ltd","title":"How to make better use of intermittent and variable energy? A review of wind and photovoltaic power consumption in China","type":"article-journal","volume":"137"},"uris":["http://www.mendeley.com/documents/?uuid=5e41cd14-7d8b-4b69-9af5-8cfbd2a75c5e"]}],"mendeley":{"formattedCitation":"(J. Li et al., 2021)","plainTextFormattedCitation":"(J. Li et al., 2021)","previouslyFormattedCitation":"(J. Li et al., 2021)"},"properties":{"noteIndex":0},"schema":"https://github.com/citation-style-language/schema/raw/master/csl-citation.json"}</w:instrText>
      </w:r>
      <w:r w:rsidRPr="006350F8">
        <w:rPr>
          <w:lang w:val="en-US"/>
        </w:rPr>
        <w:fldChar w:fldCharType="separate"/>
      </w:r>
      <w:r w:rsidR="00A97D34" w:rsidRPr="00A97D34">
        <w:rPr>
          <w:noProof/>
          <w:lang w:val="en-US"/>
        </w:rPr>
        <w:t>(J. Li et al., 2021)</w:t>
      </w:r>
      <w:r w:rsidRPr="006350F8">
        <w:rPr>
          <w:lang w:val="en-US"/>
        </w:rPr>
        <w:fldChar w:fldCharType="end"/>
      </w:r>
      <w:r w:rsidRPr="006350F8">
        <w:rPr>
          <w:lang w:val="en-US"/>
        </w:rPr>
        <w:t>.</w:t>
      </w:r>
    </w:p>
    <w:p w14:paraId="2252F2DD" w14:textId="0ED2CC19" w:rsidR="006350F8" w:rsidRPr="006350F8" w:rsidRDefault="002829A3" w:rsidP="00F03645">
      <w:pPr>
        <w:pStyle w:val="Heading3"/>
        <w:spacing w:line="480" w:lineRule="auto"/>
      </w:pPr>
      <w:bookmarkStart w:id="28" w:name="_Toc110502566"/>
      <w:r>
        <w:t>2.5</w:t>
      </w:r>
      <w:r w:rsidR="006350F8" w:rsidRPr="006350F8">
        <w:t xml:space="preserve"> </w:t>
      </w:r>
      <w:r w:rsidR="00072952" w:rsidRPr="006350F8">
        <w:t>STABILITY IN MODERN POWER SYSTEMS</w:t>
      </w:r>
      <w:bookmarkEnd w:id="28"/>
    </w:p>
    <w:p w14:paraId="633BCD11" w14:textId="52A1C9C6" w:rsidR="006350F8" w:rsidRDefault="006350F8" w:rsidP="00F03645">
      <w:pPr>
        <w:spacing w:line="480" w:lineRule="auto"/>
        <w:rPr>
          <w:lang w:val="en-US"/>
        </w:rPr>
      </w:pPr>
      <w:r w:rsidRPr="006350F8">
        <w:rPr>
          <w:lang w:val="en-US"/>
        </w:rPr>
        <w:t xml:space="preserve">Power system stability is the ability of a power system to return to its equilibrium state after experiencing a physical disturbance </w:t>
      </w:r>
      <w:r w:rsidRPr="006350F8">
        <w:rPr>
          <w:lang w:val="en-US"/>
        </w:rPr>
        <w:fldChar w:fldCharType="begin" w:fldLock="1"/>
      </w:r>
      <w:r w:rsidR="008E6BA7">
        <w:rPr>
          <w:lang w:val="en-US"/>
        </w:rPr>
        <w:instrText>ADDIN CSL_CITATION {"citationItems":[{"id":"ITEM-1","itemData":{"ISBN":"9780387260808","abstract":"Cosmetic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Machowski","given":"Jan","non-dropping-particle":"","parse-names":false,"suffix":""},{"dropping-particle":"","family":"Lubosny","given":"Zbigniew","non-dropping-particle":"","parse-names":false,"suffix":""},{"dropping-particle":"","family":"Bialek","given":"Janusz W.","non-dropping-particle":"","parse-names":false,"suffix":""},{"dropping-particle":"","family":"Bumby","given":"James R.","non-dropping-particle":"","parse-names":false,"suffix":""}],"edition":"3","id":"ITEM-1","issued":{"date-parts":[["2020"]]},"publisher":"John Wiley &amp; Sons, Ltd","publisher-place":"New Jersey","title":"Power System Dynamics: Stability and Control","type":"book"},"uris":["http://www.mendeley.com/documents/?uuid=2ffcdcf4-0aaa-42d6-b5e8-06913c7a785e"]}],"mendeley":{"formattedCitation":"(Machowski et al., 2020)","plainTextFormattedCitation":"(Machowski et al., 2020)","previouslyFormattedCitation":"(Machowski et al., 2020)"},"properties":{"noteIndex":0},"schema":"https://github.com/citation-style-language/schema/raw/master/csl-citation.json"}</w:instrText>
      </w:r>
      <w:r w:rsidRPr="006350F8">
        <w:rPr>
          <w:lang w:val="en-US"/>
        </w:rPr>
        <w:fldChar w:fldCharType="separate"/>
      </w:r>
      <w:r w:rsidR="00A97D34" w:rsidRPr="00A97D34">
        <w:rPr>
          <w:noProof/>
          <w:lang w:val="en-US"/>
        </w:rPr>
        <w:t>(Machowski et al., 2020)</w:t>
      </w:r>
      <w:r w:rsidRPr="006350F8">
        <w:rPr>
          <w:lang w:val="en-US"/>
        </w:rPr>
        <w:fldChar w:fldCharType="end"/>
      </w:r>
      <w:r w:rsidRPr="006350F8">
        <w:rPr>
          <w:lang w:val="en-US"/>
        </w:rPr>
        <w:t xml:space="preserve">. The three main quantities that are relevant to the stable operation of a power system are the power angles and load angles (which are the angles of the node voltages in the system), the frequency at which the system is operating (which is usually </w:t>
      </w:r>
      <w:r w:rsidR="00542B6A">
        <w:rPr>
          <w:lang w:val="en-US"/>
        </w:rPr>
        <w:t>designed to</w:t>
      </w:r>
      <w:r w:rsidRPr="006350F8">
        <w:rPr>
          <w:lang w:val="en-US"/>
        </w:rPr>
        <w:t xml:space="preserve"> be 50 or 60Hz), as well as the magnitudes of the nodal voltages. For this reason, the three main divisions of power system stability are voltage stability, frequency stability, and rotor angle stability </w:t>
      </w:r>
      <w:r w:rsidRPr="006350F8">
        <w:rPr>
          <w:lang w:val="en-US"/>
        </w:rPr>
        <w:fldChar w:fldCharType="begin" w:fldLock="1"/>
      </w:r>
      <w:r w:rsidR="008E6BA7">
        <w:rPr>
          <w:lang w:val="en-US"/>
        </w:rPr>
        <w:instrText>ADDIN CSL_CITATION {"citationItems":[{"id":"ITEM-1","itemData":{"ISBN":"9780387260808","abstract":"Cosmetic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Machowski","given":"Jan","non-dropping-particle":"","parse-names":false,"suffix":""},{"dropping-particle":"","family":"Lubosny","given":"Zbigniew","non-dropping-particle":"","parse-names":false,"suffix":""},{"dropping-particle":"","family":"Bialek","given":"Janusz W.","non-dropping-particle":"","parse-names":false,"suffix":""},{"dropping-particle":"","family":"Bumby","given":"James R.","non-dropping-particle":"","parse-names":false,"suffix":""}],"edition":"3","id":"ITEM-1","issued":{"date-parts":[["2020"]]},"publisher":"John Wiley &amp; Sons, Ltd","publisher-place":"New Jersey","title":"Power System Dynamics: Stability and Control","type":"book"},"uris":["http://www.mendeley.com/documents/?uuid=2ffcdcf4-0aaa-42d6-b5e8-06913c7a785e"]}],"mendeley":{"formattedCitation":"(Machowski et al., 2020)","plainTextFormattedCitation":"(Machowski et al., 2020)","previouslyFormattedCitation":"(Machowski et al., 2020)"},"properties":{"noteIndex":0},"schema":"https://github.com/citation-style-language/schema/raw/master/csl-citation.json"}</w:instrText>
      </w:r>
      <w:r w:rsidRPr="006350F8">
        <w:rPr>
          <w:lang w:val="en-US"/>
        </w:rPr>
        <w:fldChar w:fldCharType="separate"/>
      </w:r>
      <w:r w:rsidR="00A97D34" w:rsidRPr="00A97D34">
        <w:rPr>
          <w:noProof/>
          <w:lang w:val="en-US"/>
        </w:rPr>
        <w:t>(Machowski et al., 2020)</w:t>
      </w:r>
      <w:r w:rsidRPr="006350F8">
        <w:rPr>
          <w:lang w:val="en-US"/>
        </w:rPr>
        <w:fldChar w:fldCharType="end"/>
      </w:r>
      <w:r w:rsidRPr="006350F8">
        <w:rPr>
          <w:lang w:val="en-US"/>
        </w:rPr>
        <w:t xml:space="preserve">. In a system where the sources are all rotating machines, the stability is mainly dependent on the electromechanical interactions in the system. However, in systems with solid-state electronics involved in the generation, the stability becomes more complex </w:t>
      </w:r>
      <w:r w:rsidRPr="006350F8">
        <w:rPr>
          <w:lang w:val="en-US"/>
        </w:rPr>
        <w:fldChar w:fldCharType="begin" w:fldLock="1"/>
      </w:r>
      <w:r w:rsidR="008E6BA7">
        <w:rPr>
          <w:lang w:val="en-US"/>
        </w:rPr>
        <w:instrText>ADDIN CSL_CITATION {"citationItems":[{"id":"ITEM-1","itemData":{"DOI":"10.1002/er.4847","ISSN":"1099114X","abstract":"Increased energy demands due to rapid industrialization, environmental concerns with fossil fuel–based generation, diminishing fossil energy resources, transmission network congestion, and technical performance deterioration are the motivations behind the integration of small renewable distributed generation (DG) units and turning the existing power systems into a restructured one. Optimizing the technical benefits offered by DG placement is a well-known challenge for distribution network operators (DNOs) for both fossil and renewable energy resource–based DGs, but renewable DG systems have several power quality (PQ) challenges associated additionally. Power quality is a very significant characteristic of renewable DG systems because today's loads are more sensitive to PQ disturbances and penetration of renewable energy as well as nonlinear loads is proliferating in distribution power networks. So the need for innovative power quality improvement (PQI) techniques becomes inevitable due to ongoing reformation in traditional distribution networks by the integration of renewable energy. This article presents a comprehensive analysis of power quality challenges with grid integration of renewable DG systems and current research status of associated mitigation techniques. Firstly, this paper puts emphasis on theoretically illustrating all the crucial power quality challenges associated with grid integration of renewable energy, and secondly, a thorough survey, of all PQI techniques introduced till date, is elaborated along with highlighting the opportunities for future research. Furthermore, all the crucial power quality issues, the impact of high penetration of renewable energy and mitigation techniques on power quality, are demonstrated also by simulating a grid integrated PV-based DG system in MATLAB/Simulink. This article is believed to be very beneficial for academics as well as industry professionals to understand existing PQ challenges, PQI techniques, and future research directions for renewable energy technologies.","author":[{"dropping-particle":"","family":"Bajaj","given":"Mohit","non-dropping-particle":"","parse-names":false,"suffix":""},{"dropping-particle":"","family":"Singh","given":"Amit Kumar","non-dropping-particle":"","parse-names":false,"suffix":""}],"container-title":"International Journal of Energy Research","id":"ITEM-1","issue":"1","issued":{"date-parts":[["2020"]]},"page":"26-69","title":"Grid integrated renewable DG systems: A review of power quality challenges and state-of-the-art mitigation techniques","type":"article-journal","volume":"44"},"uris":["http://www.mendeley.com/documents/?uuid=135db8fa-a9d4-4bc4-baa1-468e46a1f8d9"]}],"mendeley":{"formattedCitation":"(Bajaj &amp; Singh, 2020)","plainTextFormattedCitation":"(Bajaj &amp; Singh, 2020)","previouslyFormattedCitation":"(Bajaj &amp; Singh, 2020)"},"properties":{"noteIndex":0},"schema":"https://github.com/citation-style-language/schema/raw/master/csl-citation.json"}</w:instrText>
      </w:r>
      <w:r w:rsidRPr="006350F8">
        <w:rPr>
          <w:lang w:val="en-US"/>
        </w:rPr>
        <w:fldChar w:fldCharType="separate"/>
      </w:r>
      <w:r w:rsidR="00A97D34" w:rsidRPr="00A97D34">
        <w:rPr>
          <w:noProof/>
          <w:lang w:val="en-US"/>
        </w:rPr>
        <w:t>(Bajaj &amp; Singh, 2020)</w:t>
      </w:r>
      <w:r w:rsidRPr="006350F8">
        <w:rPr>
          <w:lang w:val="en-US"/>
        </w:rPr>
        <w:fldChar w:fldCharType="end"/>
      </w:r>
      <w:r w:rsidRPr="006350F8">
        <w:rPr>
          <w:lang w:val="en-US"/>
        </w:rPr>
        <w:t>.</w:t>
      </w:r>
    </w:p>
    <w:p w14:paraId="0836FBA4" w14:textId="096F2049" w:rsidR="00D55053" w:rsidRPr="006350F8" w:rsidRDefault="00D55053" w:rsidP="00F03645">
      <w:pPr>
        <w:spacing w:line="480" w:lineRule="auto"/>
        <w:rPr>
          <w:lang w:val="en-US"/>
        </w:rPr>
      </w:pPr>
      <w:r w:rsidRPr="005D3213">
        <w:rPr>
          <w:lang w:val="en-US"/>
        </w:rPr>
        <w:t>Voltage Stability is also classified according to the disturbance severity to help delineat</w:t>
      </w:r>
      <w:r w:rsidR="009861F9">
        <w:rPr>
          <w:lang w:val="en-US"/>
        </w:rPr>
        <w:t>e</w:t>
      </w:r>
      <w:r w:rsidRPr="005D3213">
        <w:rPr>
          <w:lang w:val="en-US"/>
        </w:rPr>
        <w:t xml:space="preserve"> the system</w:t>
      </w:r>
      <w:r w:rsidR="009861F9">
        <w:rPr>
          <w:lang w:val="en-US"/>
        </w:rPr>
        <w:t>s’</w:t>
      </w:r>
      <w:r w:rsidRPr="005D3213">
        <w:rPr>
          <w:lang w:val="en-US"/>
        </w:rPr>
        <w:t xml:space="preserve"> ability to </w:t>
      </w:r>
      <w:r w:rsidR="009861F9">
        <w:rPr>
          <w:lang w:val="en-US"/>
        </w:rPr>
        <w:t xml:space="preserve">respond correctively to </w:t>
      </w:r>
      <w:r w:rsidRPr="005D3213">
        <w:rPr>
          <w:lang w:val="en-US"/>
        </w:rPr>
        <w:t xml:space="preserve">disturbances of different types </w:t>
      </w:r>
      <w:r w:rsidRPr="005D3213">
        <w:rPr>
          <w:lang w:val="en-US"/>
        </w:rPr>
        <w:fldChar w:fldCharType="begin" w:fldLock="1"/>
      </w:r>
      <w:r w:rsidR="008E6BA7" w:rsidRPr="005D3213">
        <w:rPr>
          <w:lang w:val="en-US"/>
        </w:rPr>
        <w:instrText>ADDIN CSL_CITATION {"citationItems":[{"id":"ITEM-1","itemData":{"author":[{"dropping-particle":"","family":"Venkata","given":"Mani","non-dropping-particle":"","parse-names":false,"suffix":""},{"dropping-particle":"","family":"Eremia","given":"Mircea","non-dropping-particle":"","parse-names":false,"suffix":""},{"dropping-particle":"","family":"Toma","given":"Lucian","non-dropping-particle":"","parse-names":false,"suffix":""}],"chapter-number":"8","container-title":"Handbook of Electrical Power System Dynamics: Modelling, Stability, and Control","editor":[{"dropping-particle":"","family":"Shahidehpour","given":"Mohammad","non-dropping-particle":"","parse-names":false,"suffix":""}],"id":"ITEM-1","issued":{"date-parts":[["2013"]]},"page":"451-475","publisher":"Wiley-IEEE Press","title":"Background of Power System Stability","type":"chapter"},"uris":["http://www.mendeley.com/documents/?uuid=cc2e4572-a6aa-445b-abea-1156216b0ca7"]}],"mendeley":{"formattedCitation":"(Venkata et al., 2013)","plainTextFormattedCitation":"(Venkata et al., 2013)","previouslyFormattedCitation":"(Venkata et al., 2013)"},"properties":{"noteIndex":0},"schema":"https://github.com/citation-style-language/schema/raw/master/csl-citation.json"}</w:instrText>
      </w:r>
      <w:r w:rsidRPr="005D3213">
        <w:rPr>
          <w:lang w:val="en-US"/>
        </w:rPr>
        <w:fldChar w:fldCharType="separate"/>
      </w:r>
      <w:r w:rsidR="00A97D34" w:rsidRPr="005D3213">
        <w:rPr>
          <w:noProof/>
          <w:lang w:val="en-US"/>
        </w:rPr>
        <w:t>(Venkata et al., 2013)</w:t>
      </w:r>
      <w:r w:rsidRPr="005D3213">
        <w:rPr>
          <w:lang w:val="en-US"/>
        </w:rPr>
        <w:fldChar w:fldCharType="end"/>
      </w:r>
      <w:r w:rsidR="00F73BF4" w:rsidRPr="005D3213">
        <w:rPr>
          <w:lang w:val="en-US"/>
        </w:rPr>
        <w:t>. The Large-Disturbance Voltage Stability is the ability of the power system to maintain acceptable levels of steady-state voltage after being subjected to relatively-large disturbances such as system faults or transmission line disconnection, or disconnection of a synchronous generator. On the other hand, Small-Disturbance Voltage Stability refers to the ability of a system to maintain the desired voltage level while subjected to small changes such as minute changes in load demand over time</w:t>
      </w:r>
      <w:r w:rsidR="002757AE" w:rsidRPr="005D3213">
        <w:rPr>
          <w:lang w:val="en-US"/>
        </w:rPr>
        <w:t xml:space="preserve"> </w:t>
      </w:r>
      <w:r w:rsidR="00F73BF4" w:rsidRPr="005D3213">
        <w:rPr>
          <w:lang w:val="en-US"/>
        </w:rPr>
        <w:fldChar w:fldCharType="begin" w:fldLock="1"/>
      </w:r>
      <w:r w:rsidR="008E6BA7" w:rsidRPr="005D3213">
        <w:rPr>
          <w:lang w:val="en-US"/>
        </w:rPr>
        <w:instrText>ADDIN CSL_CITATION {"citationItems":[{"id":"ITEM-1","itemData":{"author":[{"dropping-particle":"","family":"Venkata","given":"Mani","non-dropping-particle":"","parse-names":false,"suffix":""},{"dropping-particle":"","family":"Eremia","given":"Mircea","non-dropping-particle":"","parse-names":false,"suffix":""},{"dropping-particle":"","family":"Toma","given":"Lucian","non-dropping-particle":"","parse-names":false,"suffix":""}],"chapter-number":"8","container-title":"Handbook of Electrical Power System Dynamics: Modelling, Stability, and Control","editor":[{"dropping-particle":"","family":"Shahidehpour","given":"Mohammad","non-dropping-particle":"","parse-names":false,"suffix":""}],"id":"ITEM-1","issued":{"date-parts":[["2013"]]},"page":"451-475","publisher":"Wiley-IEEE Press","title":"Background of Power System Stability","type":"chapter"},"uris":["http://www.mendeley.com/documents/?uuid=cc2e4572-a6aa-445b-abea-1156216b0ca7"]}],"mendeley":{"formattedCitation":"(Venkata et al., 2013)","plainTextFormattedCitation":"(Venkata et al., 2013)","previouslyFormattedCitation":"(Venkata et al., 2013)"},"properties":{"noteIndex":0},"schema":"https://github.com/citation-style-language/schema/raw/master/csl-citation.json"}</w:instrText>
      </w:r>
      <w:r w:rsidR="00F73BF4" w:rsidRPr="005D3213">
        <w:rPr>
          <w:lang w:val="en-US"/>
        </w:rPr>
        <w:fldChar w:fldCharType="separate"/>
      </w:r>
      <w:r w:rsidR="00A97D34" w:rsidRPr="005D3213">
        <w:rPr>
          <w:noProof/>
          <w:lang w:val="en-US"/>
        </w:rPr>
        <w:t>(Venkata et al., 2013)</w:t>
      </w:r>
      <w:r w:rsidR="00F73BF4" w:rsidRPr="005D3213">
        <w:rPr>
          <w:lang w:val="en-US"/>
        </w:rPr>
        <w:fldChar w:fldCharType="end"/>
      </w:r>
      <w:r w:rsidR="003C3D6D">
        <w:rPr>
          <w:lang w:val="en-US"/>
        </w:rPr>
        <w:t>.</w:t>
      </w:r>
    </w:p>
    <w:p w14:paraId="40607CB9" w14:textId="6F607A45" w:rsidR="006350F8" w:rsidRPr="006350F8" w:rsidRDefault="003C3D6D" w:rsidP="00F03645">
      <w:pPr>
        <w:spacing w:line="480" w:lineRule="auto"/>
        <w:rPr>
          <w:lang w:val="en-US"/>
        </w:rPr>
      </w:pPr>
      <w:r>
        <w:rPr>
          <w:lang w:val="en-US"/>
        </w:rPr>
        <w:t>Du et al</w:t>
      </w:r>
      <w:r w:rsidR="00E505F3">
        <w:rPr>
          <w:lang w:val="en-US"/>
        </w:rPr>
        <w:t>.</w:t>
      </w:r>
      <w:r>
        <w:rPr>
          <w:lang w:val="en-US"/>
        </w:rPr>
        <w:t xml:space="preserve"> (2015) </w:t>
      </w:r>
      <w:r w:rsidR="006350F8" w:rsidRPr="006350F8">
        <w:rPr>
          <w:lang w:val="en-US"/>
        </w:rPr>
        <w:t xml:space="preserve">conducted investigations by modelling that showed that the small-signal angle stability of a grid composed of synchronous generators is affected by </w:t>
      </w:r>
      <w:r w:rsidR="009861F9">
        <w:rPr>
          <w:lang w:val="en-US"/>
        </w:rPr>
        <w:t xml:space="preserve">the </w:t>
      </w:r>
      <w:r w:rsidR="006350F8" w:rsidRPr="006350F8">
        <w:rPr>
          <w:lang w:val="en-US"/>
        </w:rPr>
        <w:t xml:space="preserve">connection of a large-scale wind farm. They discovered that this is a composite of two separate effects. The first contribution was from the dynamic interactions of the synchronous generators with the newly-added wind farm, while the second contribution was noted to be due to the change in load condition </w:t>
      </w:r>
      <w:r w:rsidR="009861F9">
        <w:rPr>
          <w:lang w:val="en-US"/>
        </w:rPr>
        <w:t>viz-a-viz</w:t>
      </w:r>
      <w:r w:rsidR="006350F8" w:rsidRPr="006350F8">
        <w:rPr>
          <w:lang w:val="en-US"/>
        </w:rPr>
        <w:t xml:space="preserve"> system configuration. As with many cases in which small-signal angular stability is studied, the increase in levels of </w:t>
      </w:r>
      <w:r w:rsidR="009861F9">
        <w:rPr>
          <w:lang w:val="en-US"/>
        </w:rPr>
        <w:t xml:space="preserve">the </w:t>
      </w:r>
      <w:r w:rsidR="006350F8" w:rsidRPr="006350F8">
        <w:rPr>
          <w:lang w:val="en-US"/>
        </w:rPr>
        <w:t>interconnectedness of the power system was found to quickly lead to high levels of numerical complexity. Doubly Fed Induction Generator (</w:t>
      </w:r>
      <w:r w:rsidR="00451FEF">
        <w:rPr>
          <w:lang w:val="en-US"/>
        </w:rPr>
        <w:t>DFIG) turbines were used in the</w:t>
      </w:r>
      <w:r w:rsidR="006350F8" w:rsidRPr="006350F8">
        <w:rPr>
          <w:lang w:val="en-US"/>
        </w:rPr>
        <w:t xml:space="preserve"> study</w:t>
      </w:r>
      <w:r w:rsidR="00E505F3">
        <w:rPr>
          <w:lang w:val="en-US"/>
        </w:rPr>
        <w:t xml:space="preserve"> </w:t>
      </w:r>
      <w:r w:rsidR="00E505F3">
        <w:rPr>
          <w:lang w:val="en-US"/>
        </w:rPr>
        <w:fldChar w:fldCharType="begin" w:fldLock="1"/>
      </w:r>
      <w:r w:rsidR="00E505F3">
        <w:rPr>
          <w:lang w:val="en-US"/>
        </w:rPr>
        <w:instrText>ADDIN CSL_CITATION {"citationItems":[{"id":"ITEM-1","itemData":{"author":[{"dropping-particle":"","family":"Du","given":"Wenjuan","non-dropping-particle":"","parse-names":false,"suffix":""},{"dropping-particle":"","family":"Bi","given":"Jingtian","non-dropping-particle":"","parse-names":false,"suffix":""},{"dropping-particle":"","family":"Wang","given":"Tong","non-dropping-particle":"","parse-names":false,"suffix":""},{"dropping-particle":"","family":"Wang","given":"Haifeng","non-dropping-particle":"","parse-names":false,"suffix":""},{"dropping-particle":"","family":"Member","given":"Senior","non-dropping-particle":"","parse-names":false,"suffix":""}],"id":"ITEM-1","issue":"2","issued":{"date-parts":[["2015"]]},"page":"83-89","title":"Impact of Grid Connection of Large-Scale Wind Farms on Power System Small-Signal Angular Stability","type":"article-journal","volume":"1"},"uris":["http://www.mendeley.com/documents/?uuid=7ecc415f-bec2-4388-b848-1a46ca35ff70"]}],"mendeley":{"formattedCitation":"(Du et al., 2015)","plainTextFormattedCitation":"(Du et al., 2015)","previouslyFormattedCitation":"(Du et al., 2015)"},"properties":{"noteIndex":0},"schema":"https://github.com/citation-style-language/schema/raw/master/csl-citation.json"}</w:instrText>
      </w:r>
      <w:r w:rsidR="00E505F3">
        <w:rPr>
          <w:lang w:val="en-US"/>
        </w:rPr>
        <w:fldChar w:fldCharType="separate"/>
      </w:r>
      <w:r w:rsidR="00E505F3" w:rsidRPr="00E505F3">
        <w:rPr>
          <w:noProof/>
          <w:lang w:val="en-US"/>
        </w:rPr>
        <w:t>(Du et al., 2015)</w:t>
      </w:r>
      <w:r w:rsidR="00E505F3">
        <w:rPr>
          <w:lang w:val="en-US"/>
        </w:rPr>
        <w:fldChar w:fldCharType="end"/>
      </w:r>
      <w:r w:rsidR="006350F8" w:rsidRPr="006350F8">
        <w:rPr>
          <w:lang w:val="en-US"/>
        </w:rPr>
        <w:t>.</w:t>
      </w:r>
    </w:p>
    <w:p w14:paraId="509D9D3F" w14:textId="77D7030B" w:rsidR="006350F8" w:rsidRPr="006350F8" w:rsidRDefault="00E505F3" w:rsidP="00F03645">
      <w:pPr>
        <w:spacing w:line="480" w:lineRule="auto"/>
        <w:rPr>
          <w:lang w:val="en-US"/>
        </w:rPr>
      </w:pPr>
      <w:r>
        <w:rPr>
          <w:lang w:val="en-US"/>
        </w:rPr>
        <w:fldChar w:fldCharType="begin" w:fldLock="1"/>
      </w:r>
      <w:r>
        <w:rPr>
          <w:lang w:val="en-US"/>
        </w:rPr>
        <w:instrText>ADDIN CSL_CITATION {"citationItems":[{"id":"ITEM-1","itemData":{"DOI":"10.1016/j.rser.2016.05.010","ISSN":"18790690","abstract":"Voltage stability assessment is a major issue in monitoring the power system stability. Different voltage stability indices (VSIs) have been proposed in the literature for voltage stability assessment. These indices can be used for distributed generation (DG) placement and sizing, detecting the weak lines and buses and triggering the countermeasures against voltage instability. This paper reviews the VSIs from different aspects such as concepts, assumptions, critical values and equations. The review results provide a comprehensive background to find out the future works in this field and select the best VSI for different applications like DG placement and sizing and voltage stability assessment.","author":[{"dropping-particle":"","family":"Modarresi","given":"Javad","non-dropping-particle":"","parse-names":false,"suffix":""},{"dropping-particle":"","family":"Gholipour","given":"Eskandar","non-dropping-particle":"","parse-names":false,"suffix":""},{"dropping-particle":"","family":"Khodabakhshian","given":"Amin","non-dropping-particle":"","parse-names":false,"suffix":""}],"container-title":"Renewable and Sustainable Energy Reviews","id":"ITEM-1","issued":{"date-parts":[["2016"]]},"page":"1-12","publisher":"Elsevier","title":"A comprehensive review of the voltage stability indices","type":"article-journal","volume":"63"},"uris":["http://www.mendeley.com/documents/?uuid=6ba9b809-2699-410f-9be1-a956e1831fc4"]}],"mendeley":{"formattedCitation":"(Modarresi et al., 2016)","manualFormatting":"Modarresi et al. (2016)","plainTextFormattedCitation":"(Modarresi et al., 2016)","previouslyFormattedCitation":"(Modarresi et al., 2016)"},"properties":{"noteIndex":0},"schema":"https://github.com/citation-style-language/schema/raw/master/csl-citation.json"}</w:instrText>
      </w:r>
      <w:r>
        <w:rPr>
          <w:lang w:val="en-US"/>
        </w:rPr>
        <w:fldChar w:fldCharType="separate"/>
      </w:r>
      <w:r>
        <w:rPr>
          <w:noProof/>
          <w:lang w:val="en-US"/>
        </w:rPr>
        <w:t>Modarresi et al.</w:t>
      </w:r>
      <w:r w:rsidRPr="003C3D6D">
        <w:rPr>
          <w:noProof/>
          <w:lang w:val="en-US"/>
        </w:rPr>
        <w:t xml:space="preserve"> </w:t>
      </w:r>
      <w:r>
        <w:rPr>
          <w:noProof/>
          <w:lang w:val="en-US"/>
        </w:rPr>
        <w:t>(</w:t>
      </w:r>
      <w:r w:rsidRPr="003C3D6D">
        <w:rPr>
          <w:noProof/>
          <w:lang w:val="en-US"/>
        </w:rPr>
        <w:t>2016)</w:t>
      </w:r>
      <w:r>
        <w:rPr>
          <w:lang w:val="en-US"/>
        </w:rPr>
        <w:fldChar w:fldCharType="end"/>
      </w:r>
      <w:r>
        <w:rPr>
          <w:lang w:val="en-US"/>
        </w:rPr>
        <w:t xml:space="preserve"> </w:t>
      </w:r>
      <w:r w:rsidR="006350F8" w:rsidRPr="006350F8">
        <w:rPr>
          <w:lang w:val="en-US"/>
        </w:rPr>
        <w:t xml:space="preserve">carried out a review of commonly-used voltage stability indices in two categories: line voltage stability indices and bus voltage stability indices. Notable among the indices presented were the Fast Voltage Stability Index (FVSI) for lines and the Voltage Collapse Prediction Index (VCPI) for buses. </w:t>
      </w:r>
      <w:r>
        <w:rPr>
          <w:lang w:val="en-US"/>
        </w:rPr>
        <w:fldChar w:fldCharType="begin" w:fldLock="1"/>
      </w:r>
      <w:r>
        <w:rPr>
          <w:lang w:val="en-US"/>
        </w:rPr>
        <w:instrText>ADDIN CSL_CITATION {"citationItems":[{"id":"ITEM-1","itemData":{"DOI":"10.1016/j.rser.2015.12.070","ISSN":"1364-0321","author":[{"dropping-particle":"","family":"Aien","given":"Morteza","non-dropping-particle":"","parse-names":false,"suffix":""},{"dropping-particle":"","family":"Hajebrahimi","given":"Ali","non-dropping-particle":"","parse-names":false,"suffix":""},{"dropping-particle":"","family":"Fellow","given":"Mahmud Fotuhi-firuzabad","non-dropping-particle":"","parse-names":false,"suffix":""}],"container-title":"Renewable and Sustainable Energy Reviews","id":"ITEM-1","issued":{"date-parts":[["2016"]]},"page":"1077-1089","publisher":"Elsevier","title":"A comprehensive review on uncertainty modeling techniques in power system studies","type":"article-journal","volume":"57"},"uris":["http://www.mendeley.com/documents/?uuid=3a81680b-3265-4580-a884-2e5d633b8c29"]}],"mendeley":{"formattedCitation":"(Aien et al., 2016)","manualFormatting":"Aien et al. (2016)","plainTextFormattedCitation":"(Aien et al., 2016)","previouslyFormattedCitation":"(Aien et al., 2016)"},"properties":{"noteIndex":0},"schema":"https://github.com/citation-style-language/schema/raw/master/csl-citation.json"}</w:instrText>
      </w:r>
      <w:r>
        <w:rPr>
          <w:lang w:val="en-US"/>
        </w:rPr>
        <w:fldChar w:fldCharType="separate"/>
      </w:r>
      <w:r>
        <w:rPr>
          <w:noProof/>
          <w:lang w:val="en-US"/>
        </w:rPr>
        <w:t>Aien et al.</w:t>
      </w:r>
      <w:r w:rsidRPr="003C3D6D">
        <w:rPr>
          <w:noProof/>
          <w:lang w:val="en-US"/>
        </w:rPr>
        <w:t xml:space="preserve"> </w:t>
      </w:r>
      <w:r>
        <w:rPr>
          <w:noProof/>
          <w:lang w:val="en-US"/>
        </w:rPr>
        <w:t>(</w:t>
      </w:r>
      <w:r w:rsidRPr="003C3D6D">
        <w:rPr>
          <w:noProof/>
          <w:lang w:val="en-US"/>
        </w:rPr>
        <w:t>2016)</w:t>
      </w:r>
      <w:r>
        <w:rPr>
          <w:lang w:val="en-US"/>
        </w:rPr>
        <w:fldChar w:fldCharType="end"/>
      </w:r>
      <w:r>
        <w:rPr>
          <w:lang w:val="en-US"/>
        </w:rPr>
        <w:t xml:space="preserve"> </w:t>
      </w:r>
      <w:r w:rsidR="006350F8" w:rsidRPr="006350F8">
        <w:rPr>
          <w:lang w:val="en-US"/>
        </w:rPr>
        <w:t>reviewed the uncertainty modelling techniques in power systems, presenting the numerical approaches such as Sequential Monte Carlo simulation, Non-sequential Monte Carlo Simulation and Pseudo-Sequential Monte Carlo Simulation. There were also analytical approaches, possibilistic methods, and risk-averse and risk-seeking methods using Information Gap Decision Theory reviewed in the work</w:t>
      </w:r>
      <w:r w:rsidR="00451FEF">
        <w:rPr>
          <w:lang w:val="en-US"/>
        </w:rPr>
        <w:t xml:space="preserve"> </w:t>
      </w:r>
      <w:r w:rsidR="00451FEF">
        <w:rPr>
          <w:lang w:val="en-US"/>
        </w:rPr>
        <w:fldChar w:fldCharType="begin" w:fldLock="1"/>
      </w:r>
      <w:r w:rsidR="00232773">
        <w:rPr>
          <w:lang w:val="en-US"/>
        </w:rPr>
        <w:instrText>ADDIN CSL_CITATION {"citationItems":[{"id":"ITEM-1","itemData":{"DOI":"10.1016/j.rser.2015.12.070","ISSN":"1364-0321","author":[{"dropping-particle":"","family":"Aien","given":"Morteza","non-dropping-particle":"","parse-names":false,"suffix":""},{"dropping-particle":"","family":"Hajebrahimi","given":"Ali","non-dropping-particle":"","parse-names":false,"suffix":""},{"dropping-particle":"","family":"Fellow","given":"Mahmud Fotuhi-firuzabad","non-dropping-particle":"","parse-names":false,"suffix":""}],"container-title":"Renewable and Sustainable Energy Reviews","id":"ITEM-1","issued":{"date-parts":[["2016"]]},"page":"1077-1089","publisher":"Elsevier","title":"A comprehensive review on uncertainty modeling techniques in power system studies","type":"article-journal","volume":"57"},"uris":["http://www.mendeley.com/documents/?uuid=3a81680b-3265-4580-a884-2e5d633b8c29"]}],"mendeley":{"formattedCitation":"(Aien et al., 2016)","plainTextFormattedCitation":"(Aien et al., 2016)","previouslyFormattedCitation":"(Aien et al., 2016)"},"properties":{"noteIndex":0},"schema":"https://github.com/citation-style-language/schema/raw/master/csl-citation.json"}</w:instrText>
      </w:r>
      <w:r w:rsidR="00451FEF">
        <w:rPr>
          <w:lang w:val="en-US"/>
        </w:rPr>
        <w:fldChar w:fldCharType="separate"/>
      </w:r>
      <w:r w:rsidR="00451FEF" w:rsidRPr="00451FEF">
        <w:rPr>
          <w:noProof/>
          <w:lang w:val="en-US"/>
        </w:rPr>
        <w:t>(Aien et al., 2016)</w:t>
      </w:r>
      <w:r w:rsidR="00451FEF">
        <w:rPr>
          <w:lang w:val="en-US"/>
        </w:rPr>
        <w:fldChar w:fldCharType="end"/>
      </w:r>
      <w:r w:rsidR="006350F8" w:rsidRPr="006350F8">
        <w:rPr>
          <w:lang w:val="en-US"/>
        </w:rPr>
        <w:t xml:space="preserve">. </w:t>
      </w:r>
    </w:p>
    <w:p w14:paraId="49A66423" w14:textId="6F1C07D3" w:rsidR="006350F8" w:rsidRPr="006350F8" w:rsidRDefault="006350F8" w:rsidP="00F03645">
      <w:pPr>
        <w:spacing w:line="480" w:lineRule="auto"/>
        <w:rPr>
          <w:lang w:val="en-US"/>
        </w:rPr>
      </w:pPr>
      <w:r w:rsidRPr="006350F8">
        <w:rPr>
          <w:lang w:val="en-US"/>
        </w:rPr>
        <w:fldChar w:fldCharType="begin" w:fldLock="1"/>
      </w:r>
      <w:r w:rsidR="00E505F3">
        <w:rPr>
          <w:lang w:val="en-US"/>
        </w:rPr>
        <w:instrText>ADDIN CSL_CITATION {"citationItems":[{"id":"ITEM-1","itemData":{"DOI":"10.1109/ACCESS.2020.3011207","author":[{"dropping-particle":"","family":"Suvorov","given":"Aleksey A","non-dropping-particle":"","parse-names":false,"suffix":""},{"dropping-particle":"","family":"Diab","given":"Ahmed A Zaki","non-dropping-particle":"","parse-names":false,"suffix":""},{"dropping-particle":"","family":"Gusev","given":"Alexander S","non-dropping-particle":"","parse-names":false,"suffix":""},{"dropping-particle":"V","family":"Andreev","given":"Mikhail","non-dropping-particle":"","parse-names":false,"suffix":""},{"dropping-particle":"","family":"Ruban","given":"Nikolay Y U","non-dropping-particle":"","parse-names":false,"suffix":""},{"dropping-particle":"","family":"Askarov","given":"Alisher B","non-dropping-particle":"","parse-names":false,"suffix":""},{"dropping-particle":"","family":"Bay","given":"Yuly D","non-dropping-particle":"","parse-names":false,"suffix":""},{"dropping-particle":"","family":"Rudnik","given":"Vladimir E","non-dropping-particle":"","parse-names":false,"suffix":""},{"dropping-particle":"","family":"Aboelsaud","given":"Raef","non-dropping-particle":"","parse-names":false,"suffix":""},{"dropping-particle":"","family":"Ibrahim","given":"Ahmed","non-dropping-particle":"","parse-names":false,"suffix":""},{"dropping-particle":"","family":"Al-sumaiti","given":"Ameena Saad","non-dropping-particle":"","parse-names":false,"suffix":""}],"id":"ITEM-1","issued":{"date-parts":[["2020"]]},"page":"136071-136091","title":"Comprehensive Validation of Transient Stability Calculations in Electric Power Systems and Hardware-Software Tool for Its Implementation","type":"article-journal","volume":"8"},"uris":["http://www.mendeley.com/documents/?uuid=0eb3b91d-bbe6-4f62-8f33-39dba20b5146"]}],"mendeley":{"formattedCitation":"(Suvorov et al., 2020)","manualFormatting":"Suvorov et al. (2020)","plainTextFormattedCitation":"(Suvorov et al., 2020)","previouslyFormattedCitation":"(Suvorov et al., 2020)"},"properties":{"noteIndex":0},"schema":"https://github.com/citation-style-language/schema/raw/master/csl-citation.json"}</w:instrText>
      </w:r>
      <w:r w:rsidRPr="006350F8">
        <w:rPr>
          <w:lang w:val="en-US"/>
        </w:rPr>
        <w:fldChar w:fldCharType="separate"/>
      </w:r>
      <w:r w:rsidR="00E505F3">
        <w:rPr>
          <w:noProof/>
          <w:lang w:val="en-US"/>
        </w:rPr>
        <w:t>Suvorov et al.</w:t>
      </w:r>
      <w:r w:rsidR="00A97D34" w:rsidRPr="00A97D34">
        <w:rPr>
          <w:noProof/>
          <w:lang w:val="en-US"/>
        </w:rPr>
        <w:t xml:space="preserve"> </w:t>
      </w:r>
      <w:r w:rsidR="00E505F3">
        <w:rPr>
          <w:noProof/>
          <w:lang w:val="en-US"/>
        </w:rPr>
        <w:t>(</w:t>
      </w:r>
      <w:r w:rsidR="00A97D34" w:rsidRPr="00A97D34">
        <w:rPr>
          <w:noProof/>
          <w:lang w:val="en-US"/>
        </w:rPr>
        <w:t>2020)</w:t>
      </w:r>
      <w:r w:rsidRPr="006350F8">
        <w:rPr>
          <w:lang w:val="en-US"/>
        </w:rPr>
        <w:fldChar w:fldCharType="end"/>
      </w:r>
      <w:r w:rsidRPr="006350F8">
        <w:rPr>
          <w:lang w:val="en-US"/>
        </w:rPr>
        <w:t xml:space="preserve"> conducted a study in which the effectiveness of </w:t>
      </w:r>
      <w:r w:rsidR="009861F9">
        <w:rPr>
          <w:lang w:val="en-US"/>
        </w:rPr>
        <w:t xml:space="preserve">a </w:t>
      </w:r>
      <w:r w:rsidRPr="006350F8">
        <w:rPr>
          <w:lang w:val="en-US"/>
        </w:rPr>
        <w:t>simulator-based reference model for the transient stability analysis of power systems was investigated. The study showed that mathematical formulations of this nature of problem tend to present stiff differential equations that cannot be solve</w:t>
      </w:r>
      <w:r w:rsidR="00E505F3">
        <w:rPr>
          <w:lang w:val="en-US"/>
        </w:rPr>
        <w:t>d</w:t>
      </w:r>
      <w:r w:rsidRPr="006350F8">
        <w:rPr>
          <w:lang w:val="en-US"/>
        </w:rPr>
        <w:t xml:space="preserve"> analytically, and for which standard numerical methods frequently give results whose reliability is not as high as desired. Field data is not always available for simulation validation. However, </w:t>
      </w:r>
      <w:r w:rsidRPr="006350F8">
        <w:rPr>
          <w:lang w:val="en-US"/>
        </w:rPr>
        <w:fldChar w:fldCharType="begin" w:fldLock="1"/>
      </w:r>
      <w:r w:rsidR="00E505F3">
        <w:rPr>
          <w:lang w:val="en-US"/>
        </w:rPr>
        <w:instrText>ADDIN CSL_CITATION {"citationItems":[{"id":"ITEM-1","itemData":{"DOI":"10.1109/ACCESS.2020.3011207","author":[{"dropping-particle":"","family":"Suvorov","given":"Aleksey A","non-dropping-particle":"","parse-names":false,"suffix":""},{"dropping-particle":"","family":"Diab","given":"Ahmed A Zaki","non-dropping-particle":"","parse-names":false,"suffix":""},{"dropping-particle":"","family":"Gusev","given":"Alexander S","non-dropping-particle":"","parse-names":false,"suffix":""},{"dropping-particle":"V","family":"Andreev","given":"Mikhail","non-dropping-particle":"","parse-names":false,"suffix":""},{"dropping-particle":"","family":"Ruban","given":"Nikolay Y U","non-dropping-particle":"","parse-names":false,"suffix":""},{"dropping-particle":"","family":"Askarov","given":"Alisher B","non-dropping-particle":"","parse-names":false,"suffix":""},{"dropping-particle":"","family":"Bay","given":"Yuly D","non-dropping-particle":"","parse-names":false,"suffix":""},{"dropping-particle":"","family":"Rudnik","given":"Vladimir E","non-dropping-particle":"","parse-names":false,"suffix":""},{"dropping-particle":"","family":"Aboelsaud","given":"Raef","non-dropping-particle":"","parse-names":false,"suffix":""},{"dropping-particle":"","family":"Ibrahim","given":"Ahmed","non-dropping-particle":"","parse-names":false,"suffix":""},{"dropping-particle":"","family":"Al-sumaiti","given":"Ameena Saad","non-dropping-particle":"","parse-names":false,"suffix":""}],"id":"ITEM-1","issued":{"date-parts":[["2020"]]},"page":"136071-136091","title":"Comprehensive Validation of Transient Stability Calculations in Electric Power Systems and Hardware-Software Tool for Its Implementation","type":"article-journal","volume":"8"},"uris":["http://www.mendeley.com/documents/?uuid=0eb3b91d-bbe6-4f62-8f33-39dba20b5146"]}],"mendeley":{"formattedCitation":"(Suvorov et al., 2020)","manualFormatting":"Suvorov et al. (2020)","plainTextFormattedCitation":"(Suvorov et al., 2020)","previouslyFormattedCitation":"(Suvorov et al., 2020)"},"properties":{"noteIndex":0},"schema":"https://github.com/citation-style-language/schema/raw/master/csl-citation.json"}</w:instrText>
      </w:r>
      <w:r w:rsidRPr="006350F8">
        <w:rPr>
          <w:lang w:val="en-US"/>
        </w:rPr>
        <w:fldChar w:fldCharType="separate"/>
      </w:r>
      <w:r w:rsidR="00E505F3">
        <w:rPr>
          <w:noProof/>
          <w:lang w:val="en-US"/>
        </w:rPr>
        <w:t>Suvorov et al. (</w:t>
      </w:r>
      <w:r w:rsidR="00A97D34" w:rsidRPr="00A97D34">
        <w:rPr>
          <w:noProof/>
          <w:lang w:val="en-US"/>
        </w:rPr>
        <w:t>2020)</w:t>
      </w:r>
      <w:r w:rsidRPr="006350F8">
        <w:rPr>
          <w:lang w:val="en-US"/>
        </w:rPr>
        <w:fldChar w:fldCharType="end"/>
      </w:r>
      <w:r w:rsidRPr="006350F8">
        <w:rPr>
          <w:lang w:val="en-US"/>
        </w:rPr>
        <w:t xml:space="preserve"> found that </w:t>
      </w:r>
      <w:r w:rsidR="009861F9">
        <w:rPr>
          <w:lang w:val="en-US"/>
        </w:rPr>
        <w:t xml:space="preserve">the </w:t>
      </w:r>
      <w:r w:rsidRPr="006350F8">
        <w:rPr>
          <w:lang w:val="en-US"/>
        </w:rPr>
        <w:t>substitution of a reference model based on a hardware-software simulator could facilitate this validation and improve the accuracy of results.</w:t>
      </w:r>
    </w:p>
    <w:p w14:paraId="0F5C5BEC" w14:textId="35647DFE" w:rsidR="006350F8" w:rsidRPr="006350F8" w:rsidRDefault="006350F8" w:rsidP="00F03645">
      <w:pPr>
        <w:spacing w:line="480" w:lineRule="auto"/>
        <w:rPr>
          <w:lang w:val="en-US"/>
        </w:rPr>
      </w:pPr>
      <w:r w:rsidRPr="006350F8">
        <w:rPr>
          <w:lang w:val="en-US"/>
        </w:rPr>
        <w:fldChar w:fldCharType="begin" w:fldLock="1"/>
      </w:r>
      <w:r w:rsidR="00232773">
        <w:rPr>
          <w:lang w:val="en-US"/>
        </w:rPr>
        <w:instrText>ADDIN CSL_CITATION {"citationItems":[{"id":"ITEM-1","itemData":{"DOI":"10.1016/j.rser.2020.110626","ISSN":"18790690","abstract":"China has become the world's largest clean energy country in terms of the total installation of wind and photovoltaic power and annual newly installed capacity. However, weather conditions render renewable energy unstable, thereby restricting its application to a power grid; reducing the randomness in wind or photovoltaic power is the major challenge of the utilization of solar and wind energy. This paper systematically reviews the explorations and the practices related to wind and photovoltaic power consumption in China. Considering the difference in the methods of supplementing the variable and intermittent output of wind and PV power, five consumption modes are outlined: distributed energy microgrid absorption, power grid peak shaving operation consumption, wind-photovoltaic-storage consumption, wind-photovoltaic-thermal complementation, and wind-photovoltaic-hydro complementation. The theories, features, current situation and growing trends of each mode are analyzed. Finally, several suggestions, including promoting multi-energy complementary microgrid application and installing large-scale pumped storage hydropower, are provided for improving the efficiency of renewable energy development in China.","author":[{"dropping-particle":"","family":"Li","given":"Jidong","non-dropping-particle":"","parse-names":false,"suffix":""},{"dropping-particle":"","family":"Chen","given":"Shijun","non-dropping-particle":"","parse-names":false,"suffix":""},{"dropping-particle":"","family":"Wu","given":"Yuqiang","non-dropping-particle":"","parse-names":false,"suffix":""},{"dropping-particle":"","family":"Wang","given":"Qinhui","non-dropping-particle":"","parse-names":false,"suffix":""},{"dropping-particle":"","family":"Liu","given":"Xing","non-dropping-particle":"","parse-names":false,"suffix":""},{"dropping-particle":"","family":"Qi","given":"Lijian","non-dropping-particle":"","parse-names":false,"suffix":""},{"dropping-particle":"","family":"Lu","given":"Xiuyuan","non-dropping-particle":"","parse-names":false,"suffix":""},{"dropping-particle":"","family":"Gao","given":"Lu","non-dropping-particle":"","parse-names":false,"suffix":""}],"container-title":"Renewable and Sustainable Energy Reviews","id":"ITEM-1","issue":"November 2020","issued":{"date-parts":[["2021"]]},"page":"110626","publisher":"Elsevier Ltd","title":"How to make better use of intermittent and variable energy? A review of wind and photovoltaic power consumption in China","type":"article-journal","volume":"137"},"uris":["http://www.mendeley.com/documents/?uuid=5e41cd14-7d8b-4b69-9af5-8cfbd2a75c5e"]}],"mendeley":{"formattedCitation":"(J. Li et al., 2021)","manualFormatting":"Li et al. (2021)","plainTextFormattedCitation":"(J. Li et al., 2021)","previouslyFormattedCitation":"(J. Li et al., 2021)"},"properties":{"noteIndex":0},"schema":"https://github.com/citation-style-language/schema/raw/master/csl-citation.json"}</w:instrText>
      </w:r>
      <w:r w:rsidRPr="006350F8">
        <w:rPr>
          <w:lang w:val="en-US"/>
        </w:rPr>
        <w:fldChar w:fldCharType="separate"/>
      </w:r>
      <w:r w:rsidR="00451FEF">
        <w:rPr>
          <w:noProof/>
          <w:lang w:val="en-US"/>
        </w:rPr>
        <w:t>L</w:t>
      </w:r>
      <w:r w:rsidR="00E505F3">
        <w:rPr>
          <w:noProof/>
          <w:lang w:val="en-US"/>
        </w:rPr>
        <w:t>i et al.</w:t>
      </w:r>
      <w:r w:rsidR="00A97D34" w:rsidRPr="00A97D34">
        <w:rPr>
          <w:noProof/>
          <w:lang w:val="en-US"/>
        </w:rPr>
        <w:t xml:space="preserve"> </w:t>
      </w:r>
      <w:r w:rsidR="00E505F3">
        <w:rPr>
          <w:noProof/>
          <w:lang w:val="en-US"/>
        </w:rPr>
        <w:t>(</w:t>
      </w:r>
      <w:r w:rsidR="00A97D34" w:rsidRPr="00A97D34">
        <w:rPr>
          <w:noProof/>
          <w:lang w:val="en-US"/>
        </w:rPr>
        <w:t>2021)</w:t>
      </w:r>
      <w:r w:rsidRPr="006350F8">
        <w:rPr>
          <w:lang w:val="en-US"/>
        </w:rPr>
        <w:fldChar w:fldCharType="end"/>
      </w:r>
      <w:r w:rsidRPr="006350F8">
        <w:rPr>
          <w:lang w:val="en-US"/>
        </w:rPr>
        <w:t xml:space="preserve"> carried out a study on improving the utilization of intermittent renewable energy sources. The study </w:t>
      </w:r>
      <w:r w:rsidR="00734276">
        <w:rPr>
          <w:lang w:val="en-US"/>
        </w:rPr>
        <w:t>examined</w:t>
      </w:r>
      <w:r w:rsidRPr="006350F8">
        <w:rPr>
          <w:lang w:val="en-US"/>
        </w:rPr>
        <w:t xml:space="preserve"> </w:t>
      </w:r>
      <w:r w:rsidR="00734276">
        <w:rPr>
          <w:lang w:val="en-US"/>
        </w:rPr>
        <w:t>the People</w:t>
      </w:r>
      <w:r w:rsidR="00DE14EF">
        <w:rPr>
          <w:lang w:val="en-US"/>
        </w:rPr>
        <w:t>’</w:t>
      </w:r>
      <w:r w:rsidR="00734276">
        <w:rPr>
          <w:lang w:val="en-US"/>
        </w:rPr>
        <w:t xml:space="preserve">s Republic of </w:t>
      </w:r>
      <w:r w:rsidRPr="006350F8">
        <w:rPr>
          <w:lang w:val="en-US"/>
        </w:rPr>
        <w:t xml:space="preserve">China as a case study, and the authors determined that large-scale pumped-storage hydropower stations would be of great impact in increasing the utilization of power harnessed from renewable resources. Also, the establishment of multi-energy microgrids was recommended. This shows that if properly planned, </w:t>
      </w:r>
      <w:r w:rsidR="009861F9">
        <w:rPr>
          <w:lang w:val="en-US"/>
        </w:rPr>
        <w:t xml:space="preserve">the </w:t>
      </w:r>
      <w:r w:rsidRPr="006350F8">
        <w:rPr>
          <w:lang w:val="en-US"/>
        </w:rPr>
        <w:t xml:space="preserve">introduction of DG in the right locations will bolster the macrogrid as </w:t>
      </w:r>
      <w:r w:rsidR="009861F9">
        <w:rPr>
          <w:lang w:val="en-US"/>
        </w:rPr>
        <w:t xml:space="preserve">a </w:t>
      </w:r>
      <w:r w:rsidRPr="006350F8">
        <w:rPr>
          <w:lang w:val="en-US"/>
        </w:rPr>
        <w:t>whole rather than be detrimental to it</w:t>
      </w:r>
      <w:r w:rsidR="00E505F3">
        <w:rPr>
          <w:lang w:val="en-US"/>
        </w:rPr>
        <w:t xml:space="preserve"> </w:t>
      </w:r>
      <w:r w:rsidR="00E505F3">
        <w:rPr>
          <w:lang w:val="en-US"/>
        </w:rPr>
        <w:fldChar w:fldCharType="begin" w:fldLock="1"/>
      </w:r>
      <w:r w:rsidR="009E042F">
        <w:rPr>
          <w:lang w:val="en-US"/>
        </w:rPr>
        <w:instrText>ADDIN CSL_CITATION {"citationItems":[{"id":"ITEM-1","itemData":{"DOI":"10.1016/j.rser.2020.110626","ISSN":"18790690","abstract":"China has become the world's largest clean energy country in terms of the total installation of wind and photovoltaic power and annual newly installed capacity. However, weather conditions render renewable energy unstable, thereby restricting its application to a power grid; reducing the randomness in wind or photovoltaic power is the major challenge of the utilization of solar and wind energy. This paper systematically reviews the explorations and the practices related to wind and photovoltaic power consumption in China. Considering the difference in the methods of supplementing the variable and intermittent output of wind and PV power, five consumption modes are outlined: distributed energy microgrid absorption, power grid peak shaving operation consumption, wind-photovoltaic-storage consumption, wind-photovoltaic-thermal complementation, and wind-photovoltaic-hydro complementation. The theories, features, current situation and growing trends of each mode are analyzed. Finally, several suggestions, including promoting multi-energy complementary microgrid application and installing large-scale pumped storage hydropower, are provided for improving the efficiency of renewable energy development in China.","author":[{"dropping-particle":"","family":"Li","given":"Jidong","non-dropping-particle":"","parse-names":false,"suffix":""},{"dropping-particle":"","family":"Chen","given":"Shijun","non-dropping-particle":"","parse-names":false,"suffix":""},{"dropping-particle":"","family":"Wu","given":"Yuqiang","non-dropping-particle":"","parse-names":false,"suffix":""},{"dropping-particle":"","family":"Wang","given":"Qinhui","non-dropping-particle":"","parse-names":false,"suffix":""},{"dropping-particle":"","family":"Liu","given":"Xing","non-dropping-particle":"","parse-names":false,"suffix":""},{"dropping-particle":"","family":"Qi","given":"Lijian","non-dropping-particle":"","parse-names":false,"suffix":""},{"dropping-particle":"","family":"Lu","given":"Xiuyuan","non-dropping-particle":"","parse-names":false,"suffix":""},{"dropping-particle":"","family":"Gao","given":"Lu","non-dropping-particle":"","parse-names":false,"suffix":""}],"container-title":"Renewable and Sustainable Energy Reviews","id":"ITEM-1","issue":"November 2020","issued":{"date-parts":[["2021"]]},"page":"110626","publisher":"Elsevier Ltd","title":"How to make better use of intermittent and variable energy? A review of wind and photovoltaic power consumption in China","type":"article-journal","volume":"137"},"uris":["http://www.mendeley.com/documents/?uuid=5e41cd14-7d8b-4b69-9af5-8cfbd2a75c5e"]}],"mendeley":{"formattedCitation":"(J. Li et al., 2021)","manualFormatting":"(Li et al., 2021)","plainTextFormattedCitation":"(J. Li et al., 2021)","previouslyFormattedCitation":"(J. Li et al., 2021)"},"properties":{"noteIndex":0},"schema":"https://github.com/citation-style-language/schema/raw/master/csl-citation.json"}</w:instrText>
      </w:r>
      <w:r w:rsidR="00E505F3">
        <w:rPr>
          <w:lang w:val="en-US"/>
        </w:rPr>
        <w:fldChar w:fldCharType="separate"/>
      </w:r>
      <w:r w:rsidR="00451FEF">
        <w:rPr>
          <w:noProof/>
          <w:lang w:val="en-US"/>
        </w:rPr>
        <w:t>(</w:t>
      </w:r>
      <w:r w:rsidR="00E505F3" w:rsidRPr="00E505F3">
        <w:rPr>
          <w:noProof/>
          <w:lang w:val="en-US"/>
        </w:rPr>
        <w:t>Li et al., 2021)</w:t>
      </w:r>
      <w:r w:rsidR="00E505F3">
        <w:rPr>
          <w:lang w:val="en-US"/>
        </w:rPr>
        <w:fldChar w:fldCharType="end"/>
      </w:r>
      <w:r w:rsidRPr="006350F8">
        <w:rPr>
          <w:lang w:val="en-US"/>
        </w:rPr>
        <w:t>.</w:t>
      </w:r>
    </w:p>
    <w:p w14:paraId="2D51E149" w14:textId="691BA369" w:rsidR="00072952" w:rsidRDefault="006350F8" w:rsidP="00F03645">
      <w:pPr>
        <w:spacing w:line="480" w:lineRule="auto"/>
        <w:rPr>
          <w:lang w:val="en-US"/>
        </w:rPr>
      </w:pPr>
      <w:r w:rsidRPr="006350F8">
        <w:rPr>
          <w:lang w:val="en-US"/>
        </w:rPr>
        <w:fldChar w:fldCharType="begin" w:fldLock="1"/>
      </w:r>
      <w:r w:rsidR="00E505F3">
        <w:rPr>
          <w:lang w:val="en-US"/>
        </w:rPr>
        <w:instrText>ADDIN CSL_CITATION {"citationItems":[{"id":"ITEM-1","itemData":{"DOI":"10.1016/j.egyr.2021.11.160","ISSN":"23524847","abstract":"Transient voltage stability of power system with high penetration of renewable energy faces challenges. This paper proposes a method for quantitatively evaluating the impact of renewable energy penetration rate on transient voltage stability. Based on input-to-state stability (ISS) theory, security and stability indices are constructed to evaluate the stability characteristics, and a quantitative transient voltage stability assessment framework for power system with high penetration of renewable energy is established. Case studies are performed on MATLAB/Simulink, and security/stability indices under different renewable energy penetration rates are calculated. Finally, the critical scale of renewable energy integration is obtained through the coupling relationship between stability characteristics and renewable energy penetration rate.","author":[{"dropping-particle":"","family":"Niu","given":"Shuanbao","non-dropping-particle":"","parse-names":false,"suffix":""},{"dropping-particle":"","family":"Zhang","given":"Zhe","non-dropping-particle":"","parse-names":false,"suffix":""},{"dropping-particle":"","family":"Ke","given":"Xianbo","non-dropping-particle":"","parse-names":false,"suffix":""},{"dropping-particle":"","family":"Zhang","given":"Gang","non-dropping-particle":"","parse-names":false,"suffix":""},{"dropping-particle":"","family":"Huo","given":"Chao","non-dropping-particle":"","parse-names":false,"suffix":""},{"dropping-particle":"","family":"Qin","given":"Boyu","non-dropping-particle":"","parse-names":false,"suffix":""}],"container-title":"Energy Reports","id":"ITEM-1","issued":{"date-parts":[["2022"]]},"page":"487-492","publisher":"Elsevier Ltd","title":"Impact of renewable energy penetration rate on power system transient voltage stability","type":"article-journal","volume":"8"},"uris":["http://www.mendeley.com/documents/?uuid=46ff3de0-f9ad-4ac1-aff1-b2b03845d2ad"]}],"mendeley":{"formattedCitation":"(Niu et al., 2022)","manualFormatting":"Niu et al. (2022)","plainTextFormattedCitation":"(Niu et al., 2022)","previouslyFormattedCitation":"(Niu et al., 2022)"},"properties":{"noteIndex":0},"schema":"https://github.com/citation-style-language/schema/raw/master/csl-citation.json"}</w:instrText>
      </w:r>
      <w:r w:rsidRPr="006350F8">
        <w:rPr>
          <w:lang w:val="en-US"/>
        </w:rPr>
        <w:fldChar w:fldCharType="separate"/>
      </w:r>
      <w:r w:rsidR="00E505F3">
        <w:rPr>
          <w:noProof/>
          <w:lang w:val="en-US"/>
        </w:rPr>
        <w:t>Niu et al.</w:t>
      </w:r>
      <w:r w:rsidR="00A97D34" w:rsidRPr="00A97D34">
        <w:rPr>
          <w:noProof/>
          <w:lang w:val="en-US"/>
        </w:rPr>
        <w:t xml:space="preserve"> </w:t>
      </w:r>
      <w:r w:rsidR="00E505F3">
        <w:rPr>
          <w:noProof/>
          <w:lang w:val="en-US"/>
        </w:rPr>
        <w:t>(</w:t>
      </w:r>
      <w:r w:rsidR="00A97D34" w:rsidRPr="00A97D34">
        <w:rPr>
          <w:noProof/>
          <w:lang w:val="en-US"/>
        </w:rPr>
        <w:t>2022)</w:t>
      </w:r>
      <w:r w:rsidRPr="006350F8">
        <w:rPr>
          <w:lang w:val="en-US"/>
        </w:rPr>
        <w:fldChar w:fldCharType="end"/>
      </w:r>
      <w:r w:rsidRPr="006350F8">
        <w:rPr>
          <w:lang w:val="en-US"/>
        </w:rPr>
        <w:t xml:space="preserve"> proposed and demonstrated a method for qualitative evaluation of how the rate of penetration of renewable energy impacts transient voltage stability, based on input-to-state stability (ISS) theory. </w:t>
      </w:r>
      <w:r w:rsidR="009861F9">
        <w:rPr>
          <w:lang w:val="en-US"/>
        </w:rPr>
        <w:t>Several</w:t>
      </w:r>
      <w:r w:rsidRPr="006350F8">
        <w:rPr>
          <w:lang w:val="en-US"/>
        </w:rPr>
        <w:t xml:space="preserve"> case studies were then performed virtually in MATLAB/Simulink. The study found that external disturbances to power flow negatively impacted the stability and security indices of the system with the increasing renewable energy penetration rate</w:t>
      </w:r>
      <w:r w:rsidR="00E505F3">
        <w:rPr>
          <w:lang w:val="en-US"/>
        </w:rPr>
        <w:t xml:space="preserve"> </w:t>
      </w:r>
      <w:r w:rsidR="00E505F3">
        <w:rPr>
          <w:lang w:val="en-US"/>
        </w:rPr>
        <w:fldChar w:fldCharType="begin" w:fldLock="1"/>
      </w:r>
      <w:r w:rsidR="00E505F3">
        <w:rPr>
          <w:lang w:val="en-US"/>
        </w:rPr>
        <w:instrText>ADDIN CSL_CITATION {"citationItems":[{"id":"ITEM-1","itemData":{"DOI":"10.1016/j.egyr.2021.11.160","ISSN":"23524847","abstract":"Transient voltage stability of power system with high penetration of renewable energy faces challenges. This paper proposes a method for quantitatively evaluating the impact of renewable energy penetration rate on transient voltage stability. Based on input-to-state stability (ISS) theory, security and stability indices are constructed to evaluate the stability characteristics, and a quantitative transient voltage stability assessment framework for power system with high penetration of renewable energy is established. Case studies are performed on MATLAB/Simulink, and security/stability indices under different renewable energy penetration rates are calculated. Finally, the critical scale of renewable energy integration is obtained through the coupling relationship between stability characteristics and renewable energy penetration rate.","author":[{"dropping-particle":"","family":"Niu","given":"Shuanbao","non-dropping-particle":"","parse-names":false,"suffix":""},{"dropping-particle":"","family":"Zhang","given":"Zhe","non-dropping-particle":"","parse-names":false,"suffix":""},{"dropping-particle":"","family":"Ke","given":"Xianbo","non-dropping-particle":"","parse-names":false,"suffix":""},{"dropping-particle":"","family":"Zhang","given":"Gang","non-dropping-particle":"","parse-names":false,"suffix":""},{"dropping-particle":"","family":"Huo","given":"Chao","non-dropping-particle":"","parse-names":false,"suffix":""},{"dropping-particle":"","family":"Qin","given":"Boyu","non-dropping-particle":"","parse-names":false,"suffix":""}],"container-title":"Energy Reports","id":"ITEM-1","issued":{"date-parts":[["2022"]]},"page":"487-492","publisher":"Elsevier Ltd","title":"Impact of renewable energy penetration rate on power system transient voltage stability","type":"article-journal","volume":"8"},"uris":["http://www.mendeley.com/documents/?uuid=46ff3de0-f9ad-4ac1-aff1-b2b03845d2ad"]}],"mendeley":{"formattedCitation":"(Niu et al., 2022)","plainTextFormattedCitation":"(Niu et al., 2022)","previouslyFormattedCitation":"(Niu et al., 2022)"},"properties":{"noteIndex":0},"schema":"https://github.com/citation-style-language/schema/raw/master/csl-citation.json"}</w:instrText>
      </w:r>
      <w:r w:rsidR="00E505F3">
        <w:rPr>
          <w:lang w:val="en-US"/>
        </w:rPr>
        <w:fldChar w:fldCharType="separate"/>
      </w:r>
      <w:r w:rsidR="00E505F3" w:rsidRPr="00E505F3">
        <w:rPr>
          <w:noProof/>
          <w:lang w:val="en-US"/>
        </w:rPr>
        <w:t>(Niu et al., 2022)</w:t>
      </w:r>
      <w:r w:rsidR="00E505F3">
        <w:rPr>
          <w:lang w:val="en-US"/>
        </w:rPr>
        <w:fldChar w:fldCharType="end"/>
      </w:r>
      <w:r w:rsidR="00E505F3">
        <w:rPr>
          <w:lang w:val="en-US"/>
        </w:rPr>
        <w:t>.</w:t>
      </w:r>
    </w:p>
    <w:p w14:paraId="446CCAA4" w14:textId="58EDAD42" w:rsidR="00D55053" w:rsidRDefault="002829A3" w:rsidP="00F03645">
      <w:pPr>
        <w:pStyle w:val="Heading3"/>
        <w:spacing w:line="480" w:lineRule="auto"/>
      </w:pPr>
      <w:bookmarkStart w:id="29" w:name="_Toc110502567"/>
      <w:r>
        <w:t>2.6</w:t>
      </w:r>
      <w:r w:rsidR="00D55053">
        <w:t xml:space="preserve"> </w:t>
      </w:r>
      <w:r w:rsidR="00072952">
        <w:t>UNCERTAINTY IN POWER SYSTEMS</w:t>
      </w:r>
      <w:bookmarkEnd w:id="29"/>
    </w:p>
    <w:p w14:paraId="1CA6BD5D" w14:textId="2A46A31C" w:rsidR="00D55053" w:rsidRPr="005D3213" w:rsidRDefault="001A7E3E" w:rsidP="00F03645">
      <w:pPr>
        <w:spacing w:line="480" w:lineRule="auto"/>
        <w:rPr>
          <w:lang w:val="en-US"/>
        </w:rPr>
      </w:pPr>
      <w:r w:rsidRPr="005D3213">
        <w:rPr>
          <w:lang w:val="en-US"/>
        </w:rPr>
        <w:t xml:space="preserve">Uncertainty in the planning and operation of power systems arises </w:t>
      </w:r>
      <w:r w:rsidR="00B97233" w:rsidRPr="005D3213">
        <w:rPr>
          <w:lang w:val="en-US"/>
        </w:rPr>
        <w:t>from many factors, ranging from international politics to</w:t>
      </w:r>
      <w:r w:rsidR="00BA436C" w:rsidRPr="005D3213">
        <w:rPr>
          <w:lang w:val="en-US"/>
        </w:rPr>
        <w:t xml:space="preserve"> electric vehicle adoption rates, and </w:t>
      </w:r>
      <w:r w:rsidR="00B97233" w:rsidRPr="005D3213">
        <w:rPr>
          <w:lang w:val="en-US"/>
        </w:rPr>
        <w:t xml:space="preserve">the renewable penetration of the grid. Power system development involves probabilistic or deterministic analysis </w:t>
      </w:r>
      <w:r w:rsidR="00B97233" w:rsidRPr="005D3213">
        <w:rPr>
          <w:lang w:val="en-US"/>
        </w:rPr>
        <w:fldChar w:fldCharType="begin" w:fldLock="1"/>
      </w:r>
      <w:r w:rsidR="008E6BA7" w:rsidRPr="005D3213">
        <w:rPr>
          <w:lang w:val="en-US"/>
        </w:rPr>
        <w:instrText>ADDIN CSL_CITATION {"citationItems":[{"id":"ITEM-1","itemData":{"DOI":"10.3390/EN14010161","ISSN":"19961073","abstract":"Power systems can be analyzed using either a deterministic or a probabilistic approach. The deterministic analysis centers on studying the quantities and indicators that characterize the operating states of the power system under strictly defined conditions. However, the long-term horizon of planning analyses, the changes of marketing mechanisms, the development of renewable electricity sources, the leaving from large-scale generation, the growth of smart technology and the increase in consumer awareness make the development of transmission networks a non-deterministic problem. In this article, we propose a planning procedure that takes the probabilistic elements into account. This procedure was developed to take into account the high variability of power flows caused by the generation of renewable sources and international exchange. Such conditions of the power system operation forced a departure from deterministic planning. The new probabilistic approach uses the existing tools and experience gained during subsequent development projects. As part of the probabilistic approach, simulations were carried out using the Latin Hypercube Sampling and Two Point Estimation Method algorithms. These methods effectively reduce the computation time and, at the same time, give satisfactory results. The verification was carried out on a test grid model developed in accordance with the technical standards used in the Polish Power System. Effects were assessed using a deterministic and probabilistic approach. This analysis confirmed the practical possibility of using the probabilistic approach in planning the development of transmission network in Poland. When using a probabilistic approach to predict power flow, the criteria of technical acceptability for a given development variant and the manner in which the strategy is determined are of particular importance.","author":[{"dropping-particle":"","family":"Przygrodzki","given":"Maksymilian","non-dropping-particle":"","parse-names":false,"suffix":""},{"dropping-particle":"","family":"Kubek","given":"Paweł","non-dropping-particle":"","parse-names":false,"suffix":""}],"container-title":"Energies 2021, Vol. 14, Page 161","id":"ITEM-1","issue":"1","issued":{"date-parts":[["2020","12","30"]]},"page":"161","publisher":"Multidisciplinary Digital Publishing Institute","title":"The Polish Practice of Probabilistic Approach in Power System Development Planning","type":"article-journal","volume":"14"},"uris":["http://www.mendeley.com/documents/?uuid=6d57ff57-6a23-3816-81ba-51b2adc2ed33"]}],"mendeley":{"formattedCitation":"(Przygrodzki &amp; Kubek, 2020)","plainTextFormattedCitation":"(Przygrodzki &amp; Kubek, 2020)","previouslyFormattedCitation":"(Przygrodzki &amp; Kubek, 2020)"},"properties":{"noteIndex":0},"schema":"https://github.com/citation-style-language/schema/raw/master/csl-citation.json"}</w:instrText>
      </w:r>
      <w:r w:rsidR="00B97233" w:rsidRPr="005D3213">
        <w:rPr>
          <w:lang w:val="en-US"/>
        </w:rPr>
        <w:fldChar w:fldCharType="separate"/>
      </w:r>
      <w:r w:rsidR="00A97D34" w:rsidRPr="005D3213">
        <w:rPr>
          <w:noProof/>
          <w:lang w:val="en-US"/>
        </w:rPr>
        <w:t>(Przygrodzki &amp; Kubek, 2020)</w:t>
      </w:r>
      <w:r w:rsidR="00B97233" w:rsidRPr="005D3213">
        <w:rPr>
          <w:lang w:val="en-US"/>
        </w:rPr>
        <w:fldChar w:fldCharType="end"/>
      </w:r>
      <w:r w:rsidR="00B97233" w:rsidRPr="005D3213">
        <w:rPr>
          <w:lang w:val="en-US"/>
        </w:rPr>
        <w:t xml:space="preserve">. In the case of renewable-based microgrids, the probabilistic approach is more reliable because the renewable resources are especially subject to uncertainties and their availability is not deterministic. Simulation methods for </w:t>
      </w:r>
      <w:r w:rsidR="009861F9">
        <w:rPr>
          <w:lang w:val="en-US"/>
        </w:rPr>
        <w:t xml:space="preserve">the </w:t>
      </w:r>
      <w:r w:rsidR="00B97233" w:rsidRPr="005D3213">
        <w:rPr>
          <w:lang w:val="en-US"/>
        </w:rPr>
        <w:t>probabilistic approach include Latin Hypercube Sampling</w:t>
      </w:r>
      <w:r w:rsidR="00051D77" w:rsidRPr="005D3213">
        <w:rPr>
          <w:lang w:val="en-US"/>
        </w:rPr>
        <w:t xml:space="preserve"> </w:t>
      </w:r>
      <w:r w:rsidR="00051D77" w:rsidRPr="005D3213">
        <w:rPr>
          <w:lang w:val="en-US"/>
        </w:rPr>
        <w:fldChar w:fldCharType="begin" w:fldLock="1"/>
      </w:r>
      <w:r w:rsidR="008E6BA7" w:rsidRPr="005D3213">
        <w:rPr>
          <w:lang w:val="en-US"/>
        </w:rPr>
        <w:instrText>ADDIN CSL_CITATION {"citationItems":[{"id":"ITEM-1","itemData":{"DOI":"10.1049/RPG2.12169","ISSN":"17521424","abstract":"The risks associated with wind power forecast (WF) deviations are of paramount importance to many power system participants (PSPs). However, traditional sampling approaches are computationally prohibitive to model these deviations. Additionally, setting a risk level for satisfying different PSPs receives little attention. This paper constructs a risk-adjustable stochastic day-ahead scheduling (RSDS) model to balance the risk requirements of PSPs, and proposes a Sobol-augmented Latin Hypercube Sampling (SaLHS) approach to improve sampling efficiency for scenario generation process in RSDS. At first, SaLHS and D-vine copula are combined to generate WF error scenarios for RSDS considering correlations of wind farms. Specifically, SaLHS improves the uniformity and removes the correlation of random samples. Then, a Glue-VaR-based generation adequacy index (GVGAI) is proposed to measure operational risk. By adjusting the parameters of GVGAI, a desirable risk level can be obtained considering requirements of different PSPs. Furthermore, a multi-objective RSDS model is constructed considering operational cost and GVGAI. At last, an entropy-Weighted Aggregated Sum Product Assessment method is proposed to find the best compromise solution for RSDS model based on the Pareto front obtained by an ε-constraint method. A modified IEEE-RTS system is used to validate the effectiveness of proposed method via numerical simulations.","author":[{"dropping-particle":"","family":"Ma","given":"Zeyang","non-dropping-particle":"","parse-names":false,"suffix":""},{"dropping-particle":"","family":"Gao","given":"Jianwei","non-dropping-particle":"","parse-names":false,"suffix":""},{"dropping-particle":"","family":"Hu","given":"Wenqiang","non-dropping-particle":"","parse-names":false,"suffix":""},{"dropping-particle":"","family":"Dinavahi","given":"Venkata","non-dropping-particle":"","parse-names":false,"suffix":""}],"container-title":"IET Renewable Power Generation","id":"ITEM-1","issue":"11","issued":{"date-parts":[["2021","8","1"]]},"page":"2356-2367","publisher":"John Wiley and Sons Inc","title":"Risk-adjustable stochastic schedule based on Sobol augmented Latin hypercube sampling considering correlation of wind power uncertainties","type":"article-journal","volume":"15"},"uris":["http://www.mendeley.com/documents/?uuid=4cab5603-4b3d-3b96-8bee-c7eb28e999c4"]},{"id":"ITEM-2","itemData":{"DOI":"10.1109/EI250167.2020.9347328","ISBN":"9781728196060","abstract":"With the continued growth of electricity demand, the power system is trending towards extreme operation increasingly. In order to analyze the impact of load changes on power system operating risks, a novel power system security risk assessment algorithm is proposed based on Latin hypercube sampling and daily peak load forecasting. Firstly, the gated recurrent neural network combining dynamic time warping is applied to forecast the daily peak load. Then a Markov-based component failure model is constructed and the component state is determined by Latin hypercube sampling. Finally, the optimal load reduction and security risk of the power system is calculated. The simulation results show that, compared to Monte Carlo sampling, Latin Hypercube sampling requires fewer samples to achieve the same accuracy. Furthermore, it can be found by observing the fluctuation of power system security risk and daily peak load that their trend of changing is basically the similar but the amplitude is different. When the load level is low, there is a 'compression' effect on the power system risk changes, and when the load level is high, there is a 'stretch' effect. Therefore, accurate load forecasting can determine the risk trend of the system in advance, which is beneficial to the safe and stable operation of the power system.","author":[{"dropping-particle":"","family":"Guo","given":"Jun","non-dropping-particle":"","parse-names":false,"suffix":""},{"dropping-particle":"","family":"Feng","given":"Tao","non-dropping-particle":"","parse-names":false,"suffix":""},{"dropping-particle":"","family":"Cai","given":"Zelin","non-dropping-particle":"","parse-names":false,"suffix":""},{"dropping-particle":"","family":"Yu","given":"Zeyuan","non-dropping-particle":"","parse-names":false,"suffix":""},{"dropping-particle":"","family":"Gu","given":"Yican","non-dropping-particle":"","parse-names":false,"suffix":""},{"dropping-particle":"","family":"Qian","given":"Tong","non-dropping-particle":"","parse-names":false,"suffix":""},{"dropping-particle":"","family":"Huang","given":"Kecan","non-dropping-particle":"","parse-names":false,"suffix":""},{"dropping-particle":"","family":"Tang","given":"Wenhu","non-dropping-particle":"","parse-names":false,"suffix":""}],"container-title":"2020 IEEE 4th Conference on Energy Internet and Energy System Integration: Connecting the Grids Towards a Low-Carbon High-Efficiency Energy System, EI2 2020","id":"ITEM-2","issued":{"date-parts":[["2020","10","30"]]},"page":"2787-2792","publisher":"Institute of Electrical and Electronics Engineers Inc.","title":"Security risk assessment of power system based on latin hypercube sampling and daily peak load forecasting","type":"paper-conference"},"uris":["http://www.mendeley.com/documents/?uuid=b7ce4558-a549-300e-99c0-5d2b8caab163"]}],"mendeley":{"formattedCitation":"(Guo et al., 2020; Ma et al., 2021)","plainTextFormattedCitation":"(Guo et al., 2020; Ma et al., 2021)","previouslyFormattedCitation":"(Guo et al., 2020; Ma et al., 2021)"},"properties":{"noteIndex":0},"schema":"https://github.com/citation-style-language/schema/raw/master/csl-citation.json"}</w:instrText>
      </w:r>
      <w:r w:rsidR="00051D77" w:rsidRPr="005D3213">
        <w:rPr>
          <w:lang w:val="en-US"/>
        </w:rPr>
        <w:fldChar w:fldCharType="separate"/>
      </w:r>
      <w:r w:rsidR="00A97D34" w:rsidRPr="005D3213">
        <w:rPr>
          <w:noProof/>
          <w:lang w:val="en-US"/>
        </w:rPr>
        <w:t>(Guo et al., 2020; Ma et al., 2021)</w:t>
      </w:r>
      <w:r w:rsidR="00051D77" w:rsidRPr="005D3213">
        <w:rPr>
          <w:lang w:val="en-US"/>
        </w:rPr>
        <w:fldChar w:fldCharType="end"/>
      </w:r>
      <w:r w:rsidR="00B97233" w:rsidRPr="005D3213">
        <w:rPr>
          <w:lang w:val="en-US"/>
        </w:rPr>
        <w:t xml:space="preserve"> and Two-point Estimation Method algorithms</w:t>
      </w:r>
      <w:r w:rsidR="00051D77" w:rsidRPr="005D3213">
        <w:rPr>
          <w:lang w:val="en-US"/>
        </w:rPr>
        <w:t xml:space="preserve"> </w:t>
      </w:r>
      <w:r w:rsidR="00051D77" w:rsidRPr="005D3213">
        <w:rPr>
          <w:lang w:val="en-US"/>
        </w:rPr>
        <w:fldChar w:fldCharType="begin" w:fldLock="1"/>
      </w:r>
      <w:r w:rsidR="008E6BA7" w:rsidRPr="005D3213">
        <w:rPr>
          <w:lang w:val="en-US"/>
        </w:rPr>
        <w:instrText>ADDIN CSL_CITATION {"citationItems":[{"id":"ITEM-1","itemData":{"DOI":"10.1016/J.SCS.2021.103059","ISSN":"2210-6707","abstract":"The energy hubs (EHs) have been developed as multi-carrier systems to enhance the energy efficiency, reliability, and economic profits. Also, the residential sector could be techno-economically optimized by applying the residential EH (REH) scheme. The system uncertainties are one of the most crucial problems that might adversely affect the EHs and REHs. The stochastic nature of renewable energy sources’ output power as supply-side's uncertainties in REHs have received more attention than modelling and studies of demand-side ones, e.g., plug-in hybrid electric vehicle (PHEV) uncertainties. Although several types of research, particularly Monte Carlo simulation-based studies, have been reported for probabilistic optimal operation of REHs, there is a research gap about proposing a fast method considering both PHEVs and renewable energy source (RES) uncertainties simultaneously. This study aims to investigate the stochastic energy management of REHs, considering intermittencies in the PHEVs and the RESs using the two-point estimation method (2PEM). In this paper, the uncertainties in the PHEVs, i.e., arrival time, driving distance, and departure time, are concerned. The consideration of different charging modes of PHEVs, such as vehicle-to-grid and grid-to-vehicle modes, is another contribution of this article. The comparative results are verified with the current methods, and the proposed method's efficiency is illustrated.","author":[{"dropping-particle":"","family":"Emrani-Rahaghi","given":"Pouria","non-dropping-particle":"","parse-names":false,"suffix":""},{"dropping-particle":"","family":"Hashemi-Dezaki","given":"Hamed","non-dropping-particle":"","parse-names":false,"suffix":""},{"dropping-particle":"","family":"Hasankhani","given":"Arezoo","non-dropping-particle":"","parse-names":false,"suffix":""}],"container-title":"Sustainable Cities and Society","id":"ITEM-1","issued":{"date-parts":[["2021","9","1"]]},"page":"103059","publisher":"Elsevier","title":"Optimal stochastic operation of residential energy hubs based on plug-in hybrid electric vehicle uncertainties using two-point estimation method","type":"article-journal","volume":"72"},"uris":["http://www.mendeley.com/documents/?uuid=5e1a9da4-cd2e-372b-95bc-bdb6ea588fdf"]}],"mendeley":{"formattedCitation":"(Emrani-Rahaghi et al., 2021)","plainTextFormattedCitation":"(Emrani-Rahaghi et al., 2021)","previouslyFormattedCitation":"(Emrani-Rahaghi et al., 2021)"},"properties":{"noteIndex":0},"schema":"https://github.com/citation-style-language/schema/raw/master/csl-citation.json"}</w:instrText>
      </w:r>
      <w:r w:rsidR="00051D77" w:rsidRPr="005D3213">
        <w:rPr>
          <w:lang w:val="en-US"/>
        </w:rPr>
        <w:fldChar w:fldCharType="separate"/>
      </w:r>
      <w:r w:rsidR="00A97D34" w:rsidRPr="005D3213">
        <w:rPr>
          <w:noProof/>
          <w:lang w:val="en-US"/>
        </w:rPr>
        <w:t>(Emrani-Rahaghi et al., 2021)</w:t>
      </w:r>
      <w:r w:rsidR="00051D77" w:rsidRPr="005D3213">
        <w:rPr>
          <w:lang w:val="en-US"/>
        </w:rPr>
        <w:fldChar w:fldCharType="end"/>
      </w:r>
      <w:r w:rsidR="00B97233" w:rsidRPr="005D3213">
        <w:rPr>
          <w:lang w:val="en-US"/>
        </w:rPr>
        <w:t xml:space="preserve"> which were used to reduce the time taken for computations while still giving satisfactory outcomes when tested on the Polish grid</w:t>
      </w:r>
      <w:r w:rsidR="00051D77" w:rsidRPr="005D3213">
        <w:rPr>
          <w:lang w:val="en-US"/>
        </w:rPr>
        <w:t xml:space="preserve"> </w:t>
      </w:r>
      <w:r w:rsidR="00051D77" w:rsidRPr="005D3213">
        <w:rPr>
          <w:lang w:val="en-US"/>
        </w:rPr>
        <w:fldChar w:fldCharType="begin" w:fldLock="1"/>
      </w:r>
      <w:r w:rsidR="008E6BA7" w:rsidRPr="005D3213">
        <w:rPr>
          <w:lang w:val="en-US"/>
        </w:rPr>
        <w:instrText>ADDIN CSL_CITATION {"citationItems":[{"id":"ITEM-1","itemData":{"DOI":"10.3390/EN14010161","ISSN":"19961073","abstract":"Power systems can be analyzed using either a deterministic or a probabilistic approach. The deterministic analysis centers on studying the quantities and indicators that characterize the operating states of the power system under strictly defined conditions. However, the long-term horizon of planning analyses, the changes of marketing mechanisms, the development of renewable electricity sources, the leaving from large-scale generation, the growth of smart technology and the increase in consumer awareness make the development of transmission networks a non-deterministic problem. In this article, we propose a planning procedure that takes the probabilistic elements into account. This procedure was developed to take into account the high variability of power flows caused by the generation of renewable sources and international exchange. Such conditions of the power system operation forced a departure from deterministic planning. The new probabilistic approach uses the existing tools and experience gained during subsequent development projects. As part of the probabilistic approach, simulations were carried out using the Latin Hypercube Sampling and Two Point Estimation Method algorithms. These methods effectively reduce the computation time and, at the same time, give satisfactory results. The verification was carried out on a test grid model developed in accordance with the technical standards used in the Polish Power System. Effects were assessed using a deterministic and probabilistic approach. This analysis confirmed the practical possibility of using the probabilistic approach in planning the development of transmission network in Poland. When using a probabilistic approach to predict power flow, the criteria of technical acceptability for a given development variant and the manner in which the strategy is determined are of particular importance.","author":[{"dropping-particle":"","family":"Przygrodzki","given":"Maksymilian","non-dropping-particle":"","parse-names":false,"suffix":""},{"dropping-particle":"","family":"Kubek","given":"Paweł","non-dropping-particle":"","parse-names":false,"suffix":""}],"container-title":"Energies 2021, Vol. 14, Page 161","id":"ITEM-1","issue":"1","issued":{"date-parts":[["2020","12","30"]]},"page":"161","publisher":"Multidisciplinary Digital Publishing Institute","title":"The Polish Practice of Probabilistic Approach in Power System Development Planning","type":"article-journal","volume":"14"},"uris":["http://www.mendeley.com/documents/?uuid=6d57ff57-6a23-3816-81ba-51b2adc2ed33"]}],"mendeley":{"formattedCitation":"(Przygrodzki &amp; Kubek, 2020)","plainTextFormattedCitation":"(Przygrodzki &amp; Kubek, 2020)","previouslyFormattedCitation":"(Przygrodzki &amp; Kubek, 2020)"},"properties":{"noteIndex":0},"schema":"https://github.com/citation-style-language/schema/raw/master/csl-citation.json"}</w:instrText>
      </w:r>
      <w:r w:rsidR="00051D77" w:rsidRPr="005D3213">
        <w:rPr>
          <w:lang w:val="en-US"/>
        </w:rPr>
        <w:fldChar w:fldCharType="separate"/>
      </w:r>
      <w:r w:rsidR="00A97D34" w:rsidRPr="005D3213">
        <w:rPr>
          <w:noProof/>
          <w:lang w:val="en-US"/>
        </w:rPr>
        <w:t>(Przygrodzki &amp; Kubek, 2020)</w:t>
      </w:r>
      <w:r w:rsidR="00051D77" w:rsidRPr="005D3213">
        <w:rPr>
          <w:lang w:val="en-US"/>
        </w:rPr>
        <w:fldChar w:fldCharType="end"/>
      </w:r>
      <w:r w:rsidR="00B97233" w:rsidRPr="005D3213">
        <w:rPr>
          <w:lang w:val="en-US"/>
        </w:rPr>
        <w:t>.</w:t>
      </w:r>
    </w:p>
    <w:p w14:paraId="43BB4CB6" w14:textId="1ECA02DB" w:rsidR="0053706E" w:rsidRPr="005D3213" w:rsidRDefault="00BA436C" w:rsidP="00F03645">
      <w:pPr>
        <w:spacing w:line="480" w:lineRule="auto"/>
        <w:rPr>
          <w:lang w:val="en-US"/>
        </w:rPr>
      </w:pPr>
      <w:r w:rsidRPr="005D3213">
        <w:rPr>
          <w:lang w:val="en-US"/>
        </w:rPr>
        <w:t xml:space="preserve">In some situations, there is </w:t>
      </w:r>
      <w:r w:rsidR="009861F9">
        <w:rPr>
          <w:lang w:val="en-US"/>
        </w:rPr>
        <w:t xml:space="preserve">a </w:t>
      </w:r>
      <w:r w:rsidRPr="005D3213">
        <w:rPr>
          <w:lang w:val="en-US"/>
        </w:rPr>
        <w:t>highly variable load, which also contributes to the uncertainty o</w:t>
      </w:r>
      <w:r w:rsidR="009861F9">
        <w:rPr>
          <w:lang w:val="en-US"/>
        </w:rPr>
        <w:t>f</w:t>
      </w:r>
      <w:r w:rsidRPr="005D3213">
        <w:rPr>
          <w:lang w:val="en-US"/>
        </w:rPr>
        <w:t xml:space="preserve"> such systems. The power system engineer sometimes develops a model</w:t>
      </w:r>
      <w:r w:rsidR="00916521" w:rsidRPr="005D3213">
        <w:rPr>
          <w:lang w:val="en-US"/>
        </w:rPr>
        <w:t xml:space="preserve"> based on techniques such as random forest regression, weighted averaging, or </w:t>
      </w:r>
      <w:r w:rsidR="0053706E" w:rsidRPr="005D3213">
        <w:rPr>
          <w:lang w:val="en-US"/>
        </w:rPr>
        <w:t xml:space="preserve">machine learning models such as multilayer perceptron </w:t>
      </w:r>
      <w:r w:rsidR="0053706E" w:rsidRPr="005D3213">
        <w:rPr>
          <w:lang w:val="en-US"/>
        </w:rPr>
        <w:fldChar w:fldCharType="begin" w:fldLock="1"/>
      </w:r>
      <w:r w:rsidR="008E6BA7" w:rsidRPr="005D3213">
        <w:rPr>
          <w:lang w:val="en-US"/>
        </w:rPr>
        <w:instrText>ADDIN CSL_CITATION {"citationItems":[{"id":"ITEM-1","itemData":{"DOI":"10.1007/S00521-019-04130-Y/TABLES/9","ISSN":"14333058","abstract":"Many forecasting models are built on neural networks. The key issues in these models, which strongly translate into the accuracy of forecasts, are data representation and the decomposition of the forecasting problem. In this work, we consider both of these problems using short-term electricity load demand forecasting as an example. A load time series expresses both the trend and multiple seasonal cycles. To deal with multi-seasonality, we consider four methods of the problem decomposition. Depending on the decomposition degree, the problem is split into local subproblems which are modeled using neural networks. We move from the global model, which is competent for all forecasting tasks, through the local models competent for the subproblems, to the models built individually for each forecasting task. Additionally, we consider different ways of the input data encoding and analyze the impact of the data representation on the results. The forecasting models are examined on the real power system data from four European countries. Results indicate that the local approaches can significantly improve the accuracy of load forecasting, compared to the global approach. A greater degree of decomposition leads to the greater reduction in forecast errors.","author":[{"dropping-particle":"","family":"Dudek","given":"Grzegorz","non-dropping-particle":"","parse-names":false,"suffix":""}],"container-title":"Neural Computing and Applications","id":"ITEM-1","issue":"8","issued":{"date-parts":[["2020","4","1"]]},"page":"3695-3707","publisher":"Springer","title":"Multilayer perceptron for short-term load forecasting: from global to local approach","type":"article-journal","volume":"32"},"uris":["http://www.mendeley.com/documents/?uuid=0bf7b0e6-b19f-3a49-8cb1-d4322716b1a6"]}],"mendeley":{"formattedCitation":"(Dudek, 2020)","plainTextFormattedCitation":"(Dudek, 2020)","previouslyFormattedCitation":"(Dudek, 2020)"},"properties":{"noteIndex":0},"schema":"https://github.com/citation-style-language/schema/raw/master/csl-citation.json"}</w:instrText>
      </w:r>
      <w:r w:rsidR="0053706E" w:rsidRPr="005D3213">
        <w:rPr>
          <w:lang w:val="en-US"/>
        </w:rPr>
        <w:fldChar w:fldCharType="separate"/>
      </w:r>
      <w:r w:rsidR="00A97D34" w:rsidRPr="005D3213">
        <w:rPr>
          <w:noProof/>
          <w:lang w:val="en-US"/>
        </w:rPr>
        <w:t>(Dudek, 2020)</w:t>
      </w:r>
      <w:r w:rsidR="0053706E" w:rsidRPr="005D3213">
        <w:rPr>
          <w:lang w:val="en-US"/>
        </w:rPr>
        <w:fldChar w:fldCharType="end"/>
      </w:r>
      <w:r w:rsidR="0053706E" w:rsidRPr="005D3213">
        <w:rPr>
          <w:lang w:val="en-US"/>
        </w:rPr>
        <w:t>,</w:t>
      </w:r>
      <w:r w:rsidRPr="005D3213">
        <w:rPr>
          <w:lang w:val="en-US"/>
        </w:rPr>
        <w:t xml:space="preserve"> to forecast the load for </w:t>
      </w:r>
      <w:r w:rsidR="00916521" w:rsidRPr="005D3213">
        <w:rPr>
          <w:lang w:val="en-US"/>
        </w:rPr>
        <w:t>very-</w:t>
      </w:r>
      <w:r w:rsidRPr="005D3213">
        <w:rPr>
          <w:lang w:val="en-US"/>
        </w:rPr>
        <w:t xml:space="preserve">short periods which could be a few seconds </w:t>
      </w:r>
      <w:r w:rsidR="00916521" w:rsidRPr="005D3213">
        <w:rPr>
          <w:lang w:val="en-US"/>
        </w:rPr>
        <w:fldChar w:fldCharType="begin" w:fldLock="1"/>
      </w:r>
      <w:r w:rsidR="001357C8">
        <w:rPr>
          <w:lang w:val="en-US"/>
        </w:rPr>
        <w:instrText>ADDIN CSL_CITATION {"citationItems":[{"id":"ITEM-1","itemData":{"DOI":"10.3390/EN14051290","ISSN":"19961073","abstract":"This paper addresses very short-term (10 s) forecasting of power demand of highly variable loads. The main purpose of this study is to develop methods useful for this type of forecast. We have completed a comprehensive study using two different time series, which are very difficult to access in practice, of 10 s power demand characterized by big dynamics of load changes. This is an emerging and promising forecasting research topic, yet to be more widely recognized in the forecasting research community. This problem is particularly important in microgrids, i.e., small energy micro-systems. Power demand forecasting, like forecasting of renewable power generation, is of key importance, especially in island mode operation of microgrids. This is due to the necessity of ensuring reliable power supplies to consumers. Inaccurate very short-term forecasts can cause improper operation of microgrids or increase costs/decrease profits in the electricity market. This paper presents a detailed statistical analysis of data for two sample low voltage loads characterized by large variability, which are located in a sewage treatment plant. The experience of the authors of this paper is that very short-term forecasting is very difficult for such loads. Special attention has been paid to different forecasting methods, which can be applied to this type of forecast, and to the selection of explanatory variables in these methods. Some of the ensemble models (eight selected models belonging to the following classes of methods: random forest regression, gradient boosted trees, weighted averaging ensemble, machine learning) proposed in the scope of choice of methods sets constituting the models set are unique models developed by the authors of this study. The obtained forecasts are presented and analyzed in detail. Moreover, qualitative analysis of the forecasts obtained has been carried out. We analyze various measures of forecasts quality. We think that some of the presented forecasting methods are promising for practical applications, i.e., for microgrid operation control, because of their accuracy and stability. The analysis of usefulness of various forecasting methods for two independent time series is an essential, very valuable element of the study carried out. Thanks to this, reliability of conclusions concerning the preferred methods has considerably increased.","author":[{"dropping-particle":"","family":"Parol","given":"Mirosław","non-dropping-particle":"","parse-names":false,"suffix":""},{"dropping-particle":"","family":"Piotrowski","given":"Paweł","non-dropping-particle":"","parse-names":false,"suffix":""},{"dropping-particle":"","family":"Kapler","given":"Piotr","non-dropping-particle":"","parse-names":false,"suffix":""},{"dropping-particle":"","family":"Piotrowski","given":"Mariusz","non-dropping-particle":"","parse-names":false,"suffix":""}],"container-title":"Energies 2021, Vol. 14, Page 1290","id":"ITEM-1","issue":"5","issued":{"date-parts":[["2021","2","26"]]},"page":"1290","publisher":"Multidisciplinary Digital Publishing Institute","title":"Forecasting of 10-Second Power Demand of Highly Variable Loads for Microgrid Operation Control","type":"article-journal","volume":"14"},"uris":["http://www.mendeley.com/documents/?uuid=a8d5cde3-381e-3908-82f5-517e6e9c7dfc"]},{"id":"ITEM-2","itemData":{"DOI":"10.1007/S42835-020-00424-7","ISSN":"2093-7423","abstract":"Short-term load forecasting (STLF) is essential for power system operation. STLF based on deep neural network using LSTM layer is proposed. In order to apply the forecasting method to STLF, the input features are separated into historical and prediction data. Historical data are input to long short-term memory (LSTM) layer to model the relationships between past observed data. The outputs of the LSTM layer are incorporated with outputs of fully-connected layer in which prediction data, for instance weather information for forecasting day, are input. The optimal parameters of the proposed forecasting method are selected following several experiment. The proposed method is expected to contribute to stable power system operation by providing a precise load forecasting.","author":[{"dropping-particle":"","family":"Kwon","given":"Bo Sung","non-dropping-particle":"","parse-names":false,"suffix":""},{"dropping-particle":"","family":"Park","given":"Rae Jun","non-dropping-particle":"","parse-names":false,"suffix":""},{"dropping-particle":"Bin","family":"Song","given":"Kyung","non-dropping-particle":"","parse-names":false,"suffix":""}],"container-title":"Journal of Electrical Engineering &amp; Technology 2020 15:4","id":"ITEM-2","issue":"4","issued":{"date-parts":[["2020","5","11"]]},"page":"1501-1509","publisher":"Springer","title":"Short-Term Load Forecasting Based on Deep Neural Networks Using LSTM Layer","type":"article-journal","volume":"15"},"uris":["http://www.mendeley.com/documents/?uuid=050eb89e-73ab-30b0-b816-9314059f461e"]},{"id":"ITEM-3","itemData":{"DOI":"10.1016/J.ENERGY.2018.10.119","ISSN":"0360-5442","abstract":"Along with the deregulation of electric power market as well as aggregation of renewable resources, short term load forecasting (STLF) has become more and more momentous. However, it is a hard task due to various influential factors that leads to volatility and instability of the series. Therefore, this paper proposes a hybrid model which combines empirical mode decomposition (EMD), minimal redundancy maximal relevance (mRMR), general regression neural network (GRNN) with fruit fly optimization algorithm (FOA), namely EMD-mRMR-FOA-GRNN. The original load series is firstly decomposed into a quantity of intrinsic mode functions (IMFs) and a residue with different frequency so as to weaken the volatility of the series influenced by complicated factors. Then, mRMR is employed to obtain the best feature set through the correlation analysis between each IMF and the features including day types, temperature, meteorology conditions and so on. Finally, FOA is utilized to optimize the smoothing factor in GRNN. The ultimate forecasted load can be derived from the summation of the predicted results for all IMFs. To validate the proposed technique, load data in Langfang, China are provided. The results demonstrate that EMD-mRMR-FOA-GRNN is a promising approach in terms of STLF.","author":[{"dropping-particle":"","family":"Liang","given":"Yi","non-dropping-particle":"","parse-names":false,"suffix":""},{"dropping-particle":"","family":"Niu","given":"Dongxiao","non-dropping-particle":"","parse-names":false,"suffix":""},{"dropping-particle":"","family":"Hong","given":"Wei Chiang","non-dropping-particle":"","parse-names":false,"suffix":""}],"container-title":"Energy","id":"ITEM-3","issued":{"date-parts":[["2019","1","1"]]},"page":"653-663","publisher":"Pergamon","title":"Short term load forecasting based on feature extraction and improved general regression neural network model","type":"article-journal","volume":"166"},"uris":["http://www.mendeley.com/documents/?uuid=95e21d0d-d739-3ce2-a272-bcf1e3401067"]}],"mendeley":{"formattedCitation":"(Kwon et al., 2020; Y. Liang et al., 2019; Parol et al., 2021)","plainTextFormattedCitation":"(Kwon et al., 2020; Y. Liang et al., 2019; Parol et al., 2021)","previouslyFormattedCitation":"(Kwon et al., 2020; Y. Liang et al., 2019; Parol et al., 2021)"},"properties":{"noteIndex":0},"schema":"https://github.com/citation-style-language/schema/raw/master/csl-citation.json"}</w:instrText>
      </w:r>
      <w:r w:rsidR="00916521" w:rsidRPr="005D3213">
        <w:rPr>
          <w:lang w:val="en-US"/>
        </w:rPr>
        <w:fldChar w:fldCharType="separate"/>
      </w:r>
      <w:r w:rsidR="00232773" w:rsidRPr="00232773">
        <w:rPr>
          <w:noProof/>
          <w:lang w:val="en-US"/>
        </w:rPr>
        <w:t>(Kwon et al., 2020; Y. Liang et al., 2019; Parol et al., 2021)</w:t>
      </w:r>
      <w:r w:rsidR="00916521" w:rsidRPr="005D3213">
        <w:rPr>
          <w:lang w:val="en-US"/>
        </w:rPr>
        <w:fldChar w:fldCharType="end"/>
      </w:r>
      <w:r w:rsidR="0053706E" w:rsidRPr="005D3213">
        <w:rPr>
          <w:lang w:val="en-US"/>
        </w:rPr>
        <w:t xml:space="preserve">. Industrial loads with big dynamics are relevant to this kind of scenario, as highly-variable loads of such nature could make or break the stability of a power system, and this becomes even more complicated when the power generation is made up of intermittent renewables </w:t>
      </w:r>
      <w:r w:rsidR="0053706E" w:rsidRPr="005D3213">
        <w:rPr>
          <w:lang w:val="en-US"/>
        </w:rPr>
        <w:fldChar w:fldCharType="begin" w:fldLock="1"/>
      </w:r>
      <w:r w:rsidR="008E6BA7" w:rsidRPr="005D3213">
        <w:rPr>
          <w:lang w:val="en-US"/>
        </w:rPr>
        <w:instrText>ADDIN CSL_CITATION {"citationItems":[{"id":"ITEM-1","itemData":{"DOI":"10.1051/E3SCONF/20198401007","ISSN":"2267-1242","abstract":"The issue of very short-term forecasting is gaining more and more importance. It covers both the subject of power demand forecasting and forecasting of power generated in renewable energy sources. In particular, for the reason of necessity of ensuring reliable electricity supplies to consumers, it is very important in small energy micro-systems, which are commonly called microgrids. Statistical analysis of data for a sample big dynamics low voltage object will be presented in this paper. The object, in paper author’s opinion, belongs to a class of objects with difficulties in forecasting, in case of very short-term horizon. Moreover, forecasting methods, which can be applied to this type of forecasts, will be shortly characterized. Then results of sample very short-term ex post forecasts of power demand provided by several selected forecasting methods will be presented, as well as some qualitative analysis of obtained forecasts will be carried out. At the end of the paper observations and conclusions concerning analyzed subject, i.e. very short-term forecasting of power demand of big dynamics objects, will be presented.","author":[{"dropping-particle":"","family":"Parol","given":"Mirosław","non-dropping-particle":"","parse-names":false,"suffix":""},{"dropping-particle":"","family":"Piotrowski","given":"Paweł","non-dropping-particle":"","parse-names":false,"suffix":""},{"dropping-particle":"","family":"Piotrowski","given":"Mariusz","non-dropping-particle":"","parse-names":false,"suffix":""}],"container-title":"E3S Web of Conferences","id":"ITEM-1","issued":{"date-parts":[["2019","2","11"]]},"page":"01007","publisher":"EDP Sciences","title":"Very short-term forecasting of power demand of big dynamics objects","type":"article-journal","volume":"84"},"uris":["http://www.mendeley.com/documents/?uuid=bea115c0-9af2-344c-91e7-21b2bb187541"]}],"mendeley":{"formattedCitation":"(Parol et al., 2019)","plainTextFormattedCitation":"(Parol et al., 2019)","previouslyFormattedCitation":"(Parol et al., 2019)"},"properties":{"noteIndex":0},"schema":"https://github.com/citation-style-language/schema/raw/master/csl-citation.json"}</w:instrText>
      </w:r>
      <w:r w:rsidR="0053706E" w:rsidRPr="005D3213">
        <w:rPr>
          <w:lang w:val="en-US"/>
        </w:rPr>
        <w:fldChar w:fldCharType="separate"/>
      </w:r>
      <w:r w:rsidR="00A97D34" w:rsidRPr="005D3213">
        <w:rPr>
          <w:noProof/>
          <w:lang w:val="en-US"/>
        </w:rPr>
        <w:t>(Parol et al., 2019)</w:t>
      </w:r>
      <w:r w:rsidR="0053706E" w:rsidRPr="005D3213">
        <w:rPr>
          <w:lang w:val="en-US"/>
        </w:rPr>
        <w:fldChar w:fldCharType="end"/>
      </w:r>
      <w:r w:rsidR="0053706E" w:rsidRPr="005D3213">
        <w:rPr>
          <w:lang w:val="en-US"/>
        </w:rPr>
        <w:t>.</w:t>
      </w:r>
    </w:p>
    <w:p w14:paraId="037AB73D" w14:textId="557B6ACB" w:rsidR="00051D77" w:rsidRPr="005D3213" w:rsidRDefault="0053706E" w:rsidP="00F03645">
      <w:pPr>
        <w:spacing w:line="480" w:lineRule="auto"/>
        <w:rPr>
          <w:lang w:val="en-US"/>
        </w:rPr>
      </w:pPr>
      <w:r w:rsidRPr="005D3213">
        <w:rPr>
          <w:lang w:val="en-US"/>
        </w:rPr>
        <w:t xml:space="preserve">The forecasting of the available power from renewable sources in a location has been researched in recent years. Day-ahead wind power forecasting </w:t>
      </w:r>
      <w:r w:rsidR="00BA0666" w:rsidRPr="005D3213">
        <w:rPr>
          <w:lang w:val="en-US"/>
        </w:rPr>
        <w:t>using Auto-Regressive Moving Averages (ARMA) techniques ha</w:t>
      </w:r>
      <w:r w:rsidR="009861F9">
        <w:rPr>
          <w:lang w:val="en-US"/>
        </w:rPr>
        <w:t>s</w:t>
      </w:r>
      <w:r w:rsidR="00BA0666" w:rsidRPr="005D3213">
        <w:rPr>
          <w:lang w:val="en-US"/>
        </w:rPr>
        <w:t xml:space="preserve"> been investigated </w:t>
      </w:r>
      <w:r w:rsidR="00BA0666" w:rsidRPr="005D3213">
        <w:rPr>
          <w:lang w:val="en-US"/>
        </w:rPr>
        <w:fldChar w:fldCharType="begin" w:fldLock="1"/>
      </w:r>
      <w:r w:rsidR="008E6BA7" w:rsidRPr="005D3213">
        <w:rPr>
          <w:lang w:val="en-US"/>
        </w:rPr>
        <w:instrText>ADDIN CSL_CITATION {"citationItems":[{"id":"ITEM-1","itemData":{"DOI":"10.3390/EN14082164","ISSN":"19961073","abstract":"The role of renewable energy sources in the Polish power system is growing. The highest share of installed capacity goes to wind and solar energy. Both sources are characterized by high variability of their power output and very low dispatchability. Taking into account the nature of the power system, it is, therefore, imperative to predict their future energy generation to economically schedule the use of conventional generators. Considering the above, this paper examines the possibility to predict day-ahead wind power based on different machine learning methods not for a specific wind farm but at national level. A numerical weather prediction model used operationally in the Institute of Meteorology and Water Management–National Research Institute in Poland and hourly data of recorded wind power generation in Poland were used for forecasting models creation and testing. With the best method, the Extreme Gradient Boosting, and two years of training (2018–2019), the day-ahead, hourly wind power generation in Poland in 2020 was predicted with 26.7% mean absolute percentage error and 4.5% root mean square error accuracy. Seasonal and daily differences in predicted error were found, showing high mean absolute percentage error in summer and during daytime.","author":[{"dropping-particle":"","family":"Bochenek","given":"Bogdan","non-dropping-particle":"","parse-names":false,"suffix":""},{"dropping-particle":"","family":"Jurasz","given":"Jakub","non-dropping-particle":"","parse-names":false,"suffix":""},{"dropping-particle":"","family":"Jaczewski","given":"Adam","non-dropping-particle":"","parse-names":false,"suffix":""},{"dropping-particle":"","family":"Stachura","given":"Gabriel","non-dropping-particle":"","parse-names":false,"suffix":""},{"dropping-particle":"","family":"Sekuła","given":"Piotr","non-dropping-particle":"","parse-names":false,"suffix":""},{"dropping-particle":"","family":"Strzyżewski","given":"Tomasz","non-dropping-particle":"","parse-names":false,"suffix":""},{"dropping-particle":"","family":"Wdowikowski","given":"Marcin","non-dropping-particle":"","parse-names":false,"suffix":""},{"dropping-particle":"","family":"Figurski","given":"Mariusz","non-dropping-particle":"","parse-names":false,"suffix":""}],"container-title":"Energies 2021, Vol. 14, Page 2164","id":"ITEM-1","issue":"8","issued":{"date-parts":[["2021","4","13"]]},"page":"2164","publisher":"Multidisciplinary Digital Publishing Institute","title":"Day-Ahead Wind Power Forecasting in Poland Based on Numerical Weather Prediction","type":"article-journal","volume":"14"},"uris":["http://www.mendeley.com/documents/?uuid=9f7e5b92-18fa-35d6-b795-e578054fe49e"]}],"mendeley":{"formattedCitation":"(Bochenek et al., 2021)","plainTextFormattedCitation":"(Bochenek et al., 2021)","previouslyFormattedCitation":"(Bochenek et al., 2021)"},"properties":{"noteIndex":0},"schema":"https://github.com/citation-style-language/schema/raw/master/csl-citation.json"}</w:instrText>
      </w:r>
      <w:r w:rsidR="00BA0666" w:rsidRPr="005D3213">
        <w:rPr>
          <w:lang w:val="en-US"/>
        </w:rPr>
        <w:fldChar w:fldCharType="separate"/>
      </w:r>
      <w:r w:rsidR="00A97D34" w:rsidRPr="005D3213">
        <w:rPr>
          <w:noProof/>
          <w:lang w:val="en-US"/>
        </w:rPr>
        <w:t>(Bochenek et al., 2021)</w:t>
      </w:r>
      <w:r w:rsidR="00BA0666" w:rsidRPr="005D3213">
        <w:rPr>
          <w:lang w:val="en-US"/>
        </w:rPr>
        <w:fldChar w:fldCharType="end"/>
      </w:r>
      <w:r w:rsidR="00BA0666" w:rsidRPr="005D3213">
        <w:rPr>
          <w:lang w:val="en-US"/>
        </w:rPr>
        <w:t>. Support Vector Machine (SVM) and K-N</w:t>
      </w:r>
      <w:r w:rsidR="00A97D34" w:rsidRPr="005D3213">
        <w:rPr>
          <w:lang w:val="en-US"/>
        </w:rPr>
        <w:t>earest-</w:t>
      </w:r>
      <w:r w:rsidR="00BA0666" w:rsidRPr="005D3213">
        <w:rPr>
          <w:lang w:val="en-US"/>
        </w:rPr>
        <w:t xml:space="preserve">Neighbour (KNN) techniques have also been applied to similar problems in forecasting approaches for wind and solar power </w:t>
      </w:r>
      <w:r w:rsidR="00BA0666" w:rsidRPr="005D3213">
        <w:rPr>
          <w:lang w:val="en-US"/>
        </w:rPr>
        <w:fldChar w:fldCharType="begin" w:fldLock="1"/>
      </w:r>
      <w:r w:rsidR="008E6BA7" w:rsidRPr="005D3213">
        <w:rPr>
          <w:lang w:val="en-US"/>
        </w:rPr>
        <w:instrText>ADDIN CSL_CITATION {"citationItems":[{"id":"ITEM-1","itemData":{"DOI":"10.1016/J.SCS.2021.103269","ISSN":"2210-6707","abstract":"Forecasting enables the cost-effective integration of renewable energy sources such as solar and wind. Forecasting daily, monthly, seasonal, and annual data for different locations with varying observation/data samples remains challenging with a single forecasting algorithm. We presented the ensemble-based k-nearest neighbor algorithm for wind and solar power forecasting in this study to respond to the challenges mentioned above. The included k-NNC deep architecture provides nonlinear modeling complexity in solar and wind energy, enabling a more precise estimate of spatial solar and wind energy patterns. Makowski metric analysis was employed to train and optimize the k-nearest neighbor algorithm. The chi-square distance was used to theoretically assess the goodness of fit of the k-nearest neighbor algorithm between expected and observed values. The 5-fold cross-validation method was utilized to estimate the accurate lasso-penalty strength for high-dimensional solar/wind data. The ensemble forecasts were combined using 5-fold cross-validation to improve generalization performance, minimizing over-fitting induced by base model correlation. For daily, monthly, seasonal, and annual solar and wind power forecasting, two different climate areas and four distinct experimental setups are presented. The forecasting accuracy of the proposed k-nearest neighbor technique is validated using three performance assessment indices and four existing forecasting models. The mean absolute error of the k-nearest neighbor algorithm generalized linear regression model, one-step-secant backpropagation neural network, decision tree, and BFGS Quasi-Newton backpropagation neural network for solar and wind power forecasting was measured at 1.16, 5.59, 4.22, 1.70, 3.23, and 8.60, 15.81, 40.64, 0.56, and 15.04, respectively. Utilities can anticipate down- and up-ramps in variable renewable energy generation by introducing the k-nearest neighbor algorithm into power system operations, allowing them to cost-effectively balance renewable energy production and load on a daily, monthly, seasonal, and annual basis. This will improve power system dependability, reduce fuel costs, and limit the use of solar and wind resources.","author":[{"dropping-particle":"","family":"Ahmad","given":"Tanveer","non-dropping-particle":"","parse-names":false,"suffix":""},{"dropping-particle":"","family":"Manzoor","given":"Sohaib","non-dropping-particle":"","parse-names":false,"suffix":""},{"dropping-particle":"","family":"Zhang","given":"Dongdong","non-dropping-particle":"","parse-names":false,"suffix":""}],"container-title":"Sustainable Cities and Society","id":"ITEM-1","issued":{"date-parts":[["2021","12","1"]]},"page":"103269","publisher":"Elsevier","title":"Forecasting high penetration of solar and wind power in the smart grid environment using robust ensemble learning approach for large-dimensional data","type":"article-journal","volume":"75"},"uris":["http://www.mendeley.com/documents/?uuid=d968c18b-ca46-3540-bf2c-47266e1ef20f"]},{"id":"ITEM-2","itemData":{"DOI":"10.1016/J.ENERGY.2021.120647","ISSN":"0360-5442","abstract":"Photovoltaic generation has arisen as a solution for the present energy challenge. However, power obtained through solar technologies has a strong correlation with certain meteorological variables such as solar irradiation, wind speed or ambient temperature. As a consequence, small changes in these variables can produce unexpected deviations in energy production. Although many research articles have been published in the last few years proposing different models for predicting these parameters, the vast majority of them do not consider spatiotemporal parameters. Hence, this paper presents a new solar irradiation forecaster which combines the advantages of machine learning and the optimisation of both spatial and temporal parameters in order to predict solar irradiation 10 min ahead. A validation step demonstrated that the deviation between the actual and forecasted solar irradiation was lower than 4% in 82.95% of the examined days. With regard to the error metrics, the root mean square error was 50.80 W/m2, an improvement of 11.27% compared with the persistence model, which was used as a benchmark. The results indicate that the developed forecaster can be integrated into photovoltaic generators’ to predict their output power, thus promoting their inclusion in the main power network.","author":[{"dropping-particle":"","family":"Rodríguez","given":"Fermín","non-dropping-particle":"","parse-names":false,"suffix":""},{"dropping-particle":"","family":"Martín","given":"Fernando","non-dropping-particle":"","parse-names":false,"suffix":""},{"dropping-particle":"","family":"Fontán","given":"Luis","non-dropping-particle":"","parse-names":false,"suffix":""},{"dropping-particle":"","family":"Galarza","given":"Ainhoa","non-dropping-particle":"","parse-names":false,"suffix":""}],"container-title":"Energy","id":"ITEM-2","issued":{"date-parts":[["2021","8","15"]]},"page":"120647","publisher":"Pergamon","title":"Ensemble of machine learning and spatiotemporal parameters to forecast very short-term solar irradiation to compute photovoltaic generators’ output power","type":"article-journal","volume":"229"},"uris":["http://www.mendeley.com/documents/?uuid=03ca7d8c-12c5-37e9-9c0f-ec88789da41a"]}],"mendeley":{"formattedCitation":"(Ahmad et al., 2021; Rodríguez et al., 2021)","plainTextFormattedCitation":"(Ahmad et al., 2021; Rodríguez et al., 2021)","previouslyFormattedCitation":"(Ahmad et al., 2021; Rodríguez et al., 2021)"},"properties":{"noteIndex":0},"schema":"https://github.com/citation-style-language/schema/raw/master/csl-citation.json"}</w:instrText>
      </w:r>
      <w:r w:rsidR="00BA0666" w:rsidRPr="005D3213">
        <w:rPr>
          <w:lang w:val="en-US"/>
        </w:rPr>
        <w:fldChar w:fldCharType="separate"/>
      </w:r>
      <w:r w:rsidR="00A97D34" w:rsidRPr="005D3213">
        <w:rPr>
          <w:noProof/>
          <w:lang w:val="en-US"/>
        </w:rPr>
        <w:t>(Ahmad et al., 2021; Rodríguez et al., 2021)</w:t>
      </w:r>
      <w:r w:rsidR="00BA0666" w:rsidRPr="005D3213">
        <w:rPr>
          <w:lang w:val="en-US"/>
        </w:rPr>
        <w:fldChar w:fldCharType="end"/>
      </w:r>
      <w:r w:rsidR="00BA0666" w:rsidRPr="005D3213">
        <w:rPr>
          <w:lang w:val="en-US"/>
        </w:rPr>
        <w:t>.</w:t>
      </w:r>
    </w:p>
    <w:p w14:paraId="1ADCFE45" w14:textId="78E13807" w:rsidR="008618CD" w:rsidRDefault="008E7586" w:rsidP="00F03645">
      <w:pPr>
        <w:spacing w:line="480" w:lineRule="auto"/>
        <w:rPr>
          <w:lang w:val="en-US"/>
        </w:rPr>
      </w:pPr>
      <w:r w:rsidRPr="005D3213">
        <w:rPr>
          <w:lang w:val="en-US"/>
        </w:rPr>
        <w:t xml:space="preserve">Sometimes, the uncertainty is modelled in form of cost functions such that the effect on the power system can be reasonably approximated </w:t>
      </w:r>
      <w:r w:rsidRPr="005D3213">
        <w:rPr>
          <w:lang w:val="en-US"/>
        </w:rPr>
        <w:fldChar w:fldCharType="begin" w:fldLock="1"/>
      </w:r>
      <w:r w:rsidR="008E6BA7" w:rsidRPr="005D3213">
        <w:rPr>
          <w:lang w:val="en-US"/>
        </w:rPr>
        <w:instrText>ADDIN CSL_CITATION {"citationItems":[{"id":"ITEM-1","itemData":{"DOI":"10.3390/EN13236375","ISSN":"19961073","abstract":"The high penetration of renewable sources of energy in electrical power systems implies an increase in the uncertainty variables of the economic dispatch (ED). Uncertainty costs are a metric to quantify the variability introduced from renewable energy generation, that is to say: wind energy generation (WEG), run-of-the-river hydro generators (RHG), and solar photovoltaic generation (PVG). On other side, there are associated uncertainties to the charge/uncharge of plug-in electric vehicles (PEV). Thus, in this paper, the uncertainty cost functions (UCF) and their marginal expressions as a way of modeling and assessment of stochasticity in power systems with high penetration of smart grids elements is presented. In this work, a mathematical analysis is presented using the first and second derivatives of the UCF, where the marginal uncertainty cost functions (MUCF) and the UCF&amp;rsquo;s minimums for PVG, WEG, PEV, and RHG are derived. Further, a model validation is presented, considering comparative test results from the state of the art of the UCF minimum, developed in a previous study, to the minimum reached with the presented (MUCF) solution.","author":[{"dropping-particle":"","family":"Reyes","given":"Elkin D.","non-dropping-particle":"","parse-names":false,"suffix":""},{"dropping-particle":"","family":"Bretas","given":"Arturo S.","non-dropping-particle":"","parse-names":false,"suffix":""},{"dropping-particle":"","family":"Rivera","given":"Sergio","non-dropping-particle":"","parse-names":false,"suffix":""}],"container-title":"Energies 2020, Vol. 13, Page 6375","id":"ITEM-1","issue":"23","issued":{"date-parts":[["2020","12","2"]]},"page":"6375","publisher":"Multidisciplinary Digital Publishing Institute","title":"Marginal Uncertainty Cost Functions for Solar Photovoltaic, Wind Energy, Hydro Generators, and Plug-In Electric Vehicles","type":"article-journal","volume":"13"},"uris":["http://www.mendeley.com/documents/?uuid=458ccdff-1182-3a52-9fa6-dc49a62b27fa"]}],"mendeley":{"formattedCitation":"(Reyes et al., 2020)","plainTextFormattedCitation":"(Reyes et al., 2020)","previouslyFormattedCitation":"(Reyes et al., 2020)"},"properties":{"noteIndex":0},"schema":"https://github.com/citation-style-language/schema/raw/master/csl-citation.json"}</w:instrText>
      </w:r>
      <w:r w:rsidRPr="005D3213">
        <w:rPr>
          <w:lang w:val="en-US"/>
        </w:rPr>
        <w:fldChar w:fldCharType="separate"/>
      </w:r>
      <w:r w:rsidR="00A97D34" w:rsidRPr="005D3213">
        <w:rPr>
          <w:noProof/>
          <w:lang w:val="en-US"/>
        </w:rPr>
        <w:t>(Reyes et al., 2020)</w:t>
      </w:r>
      <w:r w:rsidRPr="005D3213">
        <w:rPr>
          <w:lang w:val="en-US"/>
        </w:rPr>
        <w:fldChar w:fldCharType="end"/>
      </w:r>
      <w:r w:rsidRPr="005D3213">
        <w:rPr>
          <w:lang w:val="en-US"/>
        </w:rPr>
        <w:t xml:space="preserve">. The uncertainty costs were considered due to overestimation and underestimation that </w:t>
      </w:r>
      <w:r w:rsidR="009861F9">
        <w:rPr>
          <w:lang w:val="en-US"/>
        </w:rPr>
        <w:t>is</w:t>
      </w:r>
      <w:r w:rsidRPr="005D3213">
        <w:rPr>
          <w:lang w:val="en-US"/>
        </w:rPr>
        <w:t xml:space="preserve"> due to the discrepancies between available power and scheduled power. </w:t>
      </w:r>
      <w:r w:rsidR="00D72B76" w:rsidRPr="005D3213">
        <w:rPr>
          <w:lang w:val="en-US"/>
        </w:rPr>
        <w:t>For modelling the uncertainty in w</w:t>
      </w:r>
      <w:r w:rsidR="004D0F18" w:rsidRPr="005D3213">
        <w:rPr>
          <w:lang w:val="en-US"/>
        </w:rPr>
        <w:t>ind power generation, variants of the</w:t>
      </w:r>
      <w:r w:rsidR="00D72B76" w:rsidRPr="005D3213">
        <w:rPr>
          <w:lang w:val="en-US"/>
        </w:rPr>
        <w:t xml:space="preserve"> </w:t>
      </w:r>
      <w:r w:rsidR="00260554" w:rsidRPr="005D3213">
        <w:rPr>
          <w:lang w:val="en-US"/>
        </w:rPr>
        <w:t xml:space="preserve">Weibull modelling, especially </w:t>
      </w:r>
      <w:r w:rsidR="009861F9">
        <w:rPr>
          <w:lang w:val="en-US"/>
        </w:rPr>
        <w:t xml:space="preserve">the </w:t>
      </w:r>
      <w:r w:rsidR="00D72B76" w:rsidRPr="005D3213">
        <w:rPr>
          <w:lang w:val="en-US"/>
        </w:rPr>
        <w:t>Rayleigh formulation</w:t>
      </w:r>
      <w:r w:rsidR="00260554" w:rsidRPr="005D3213">
        <w:rPr>
          <w:lang w:val="en-US"/>
        </w:rPr>
        <w:t>,</w:t>
      </w:r>
      <w:r w:rsidR="00D72B76" w:rsidRPr="005D3213">
        <w:rPr>
          <w:lang w:val="en-US"/>
        </w:rPr>
        <w:t xml:space="preserve"> </w:t>
      </w:r>
      <w:r w:rsidR="004D0F18" w:rsidRPr="005D3213">
        <w:rPr>
          <w:lang w:val="en-US"/>
        </w:rPr>
        <w:t>are</w:t>
      </w:r>
      <w:r w:rsidR="00D72B76" w:rsidRPr="005D3213">
        <w:rPr>
          <w:lang w:val="en-US"/>
        </w:rPr>
        <w:t xml:space="preserve"> frequently used</w:t>
      </w:r>
      <w:r w:rsidR="004D0F18" w:rsidRPr="005D3213">
        <w:rPr>
          <w:lang w:val="en-US"/>
        </w:rPr>
        <w:t xml:space="preserve"> </w:t>
      </w:r>
      <w:r w:rsidR="004D0F18" w:rsidRPr="005D3213">
        <w:rPr>
          <w:lang w:val="en-US"/>
        </w:rPr>
        <w:fldChar w:fldCharType="begin" w:fldLock="1"/>
      </w:r>
      <w:r w:rsidR="00D636FF" w:rsidRPr="005D3213">
        <w:rPr>
          <w:lang w:val="en-US"/>
        </w:rPr>
        <w:instrText>ADDIN CSL_CITATION {"citationItems":[{"id":"ITEM-1","itemData":{"DOI":"10.3390/PR10010105","ISSN":"22279717","abstract":"Wind energy has become one of the world&amp;rsquo;s most renewable energy sources in recent years. It is regarded as a clean energy source because it produces no greenhouse gas emissions. The assessment of wind energy resources is an important step in the development of any wind energy conversion system (WECS). As a result, this article examines the wind energy potential of nine Jordanian wind locations: Queen Alia Airport, Civil Amman Airport, King Hussein Airport, Irbid, Mafraq, Ma&amp;rsquo;an, Ghor Al Safi, Safawi, and Irwaished. The available wind speed data were implemented using three statistical distribution models, Weibull, Rayleigh, and Gamma distributions, and one traditional estimation method, the Maximum Likelihood Method (MLM). Three optimization techniques were used to assign parameters to each distribution model: Particle Swarm Optimization (PSO), Grey Wolf Optimizer (GWO), and Whale Optimization Algorithm (WOA). To determine the optimal distribution model, the performance of these distribution models was tested. According to the findings, King Hussein Airport features the highest wind power density, followed by Queen Alia Airport, while Irbid features the lowest, followed by Ghor Al Safi.","author":[{"dropping-particle":"","family":"Al-Mhairat","given":"Bashar","non-dropping-particle":"","parse-names":false,"suffix":""},{"dropping-particle":"","family":"Al-Quraan","given":"Ayman","non-dropping-particle":"","parse-names":false,"suffix":""}],"container-title":"Processes","id":"ITEM-1","issue":"1","issued":{"date-parts":[["2022","1","5"]]},"page":"105","publisher":"Multidisciplinary Digital Publishing Institute","title":"Assessment of Wind Energy Resources in Jordan Using Different Optimization Techniques","type":"article-journal","volume":"10"},"uris":["http://www.mendeley.com/documents/?uuid=ff560aa9-11ab-31a8-950e-200f30264758"]},{"id":"ITEM-2","itemData":{"DOI":"10.3390/EN15030861","abstract":"This paper proposes the Compound Inverse Rayleigh distribution as a proper model for the characterization of the probability distribution of extreme values of wind-speed. This topic is gaining interest in the field of renewable generation, from the viewpoint of assessing both wind power production and wind-tower mechanical reliability and safety. The first part of the paper illustrates such model starting from its origin as a generalization of the Inverse Rayleigh model by means of a continuous mixture generated by a Gamma distribution on the scale parameter, which gives rise to its name. Moreover, its validity for interpreting different field data is illustrated resorting to real wind speed data. Then, a novel Bayes approach for the estimation of such extreme wind-speed model is proposed. The method relies upon the assessment of prior information in a practical way, that should be easily available to system engineers. The results of a large set of numerical simulations&amp;mdash;using typical values of wind-speed parameters&amp;mdash;are reported to illustrate the efficiency and the accuracy of the proposed method. The validity of the approach is also verified in terms of its robustness with respect to significant differences compared to the assumed prior information.","author":[{"dropping-particle":"","family":"Chiodo","given":"Elio","non-dropping-particle":"","parse-names":false,"suffix":""},{"dropping-particle":"","family":"Fantauzzi","given":"Maurizio","non-dropping-particle":"","parse-names":false,"suffix":""},{"dropping-particle":"","family":"Mazzanti","given":"Giovanni","non-dropping-particle":"","parse-names":false,"suffix":""}],"container-title":"Energies 2022, Vol. 15, Page 861","id":"ITEM-2","issue":"3","issued":{"date-parts":[["2022","1","25"]]},"page":"861","publisher":"Multidisciplinary Digital Publishing Institute","title":"The Compound Inverse Rayleigh as an Extreme Wind Speed Distribution and Its Bayes Estimation","type":"article-journal","volume":"15"},"uris":["http://www.mendeley.com/documents/?uuid=3aa3d52d-7abd-3abd-b592-cfa0b89a3b94"]}],"mendeley":{"formattedCitation":"(Al-Mhairat &amp; Al-Quraan, 2022; Chiodo et al., 2022)","plainTextFormattedCitation":"(Al-Mhairat &amp; Al-Quraan, 2022; Chiodo et al., 2022)","previouslyFormattedCitation":"(Al-Mhairat &amp; Al-Quraan, 2022; Chiodo et al., 2022)"},"properties":{"noteIndex":0},"schema":"https://github.com/citation-style-language/schema/raw/master/csl-citation.json"}</w:instrText>
      </w:r>
      <w:r w:rsidR="004D0F18" w:rsidRPr="005D3213">
        <w:rPr>
          <w:lang w:val="en-US"/>
        </w:rPr>
        <w:fldChar w:fldCharType="separate"/>
      </w:r>
      <w:r w:rsidR="00A97D34" w:rsidRPr="005D3213">
        <w:rPr>
          <w:noProof/>
          <w:lang w:val="en-US"/>
        </w:rPr>
        <w:t>(Al-Mhairat &amp; Al-Quraan, 2022; Chiodo et al., 2022)</w:t>
      </w:r>
      <w:r w:rsidR="004D0F18" w:rsidRPr="005D3213">
        <w:rPr>
          <w:lang w:val="en-US"/>
        </w:rPr>
        <w:fldChar w:fldCharType="end"/>
      </w:r>
      <w:r w:rsidR="00D72B76" w:rsidRPr="005D3213">
        <w:rPr>
          <w:lang w:val="en-US"/>
        </w:rPr>
        <w:t>.</w:t>
      </w:r>
      <w:r w:rsidR="004D0F18" w:rsidRPr="005D3213">
        <w:rPr>
          <w:lang w:val="en-US"/>
        </w:rPr>
        <w:t xml:space="preserve"> For</w:t>
      </w:r>
      <w:r w:rsidR="008575DF" w:rsidRPr="005D3213">
        <w:rPr>
          <w:lang w:val="en-US"/>
        </w:rPr>
        <w:t xml:space="preserve"> modelling of PV, the lognormal</w:t>
      </w:r>
      <w:r w:rsidR="001464B9" w:rsidRPr="005D3213">
        <w:rPr>
          <w:lang w:val="en-US"/>
        </w:rPr>
        <w:t xml:space="preserve"> and normal</w:t>
      </w:r>
      <w:r w:rsidR="008575DF" w:rsidRPr="005D3213">
        <w:rPr>
          <w:lang w:val="en-US"/>
        </w:rPr>
        <w:t xml:space="preserve"> distribution</w:t>
      </w:r>
      <w:r w:rsidR="00A62BB8" w:rsidRPr="005D3213">
        <w:rPr>
          <w:lang w:val="en-US"/>
        </w:rPr>
        <w:t>s have become</w:t>
      </w:r>
      <w:r w:rsidR="008575DF" w:rsidRPr="005D3213">
        <w:rPr>
          <w:lang w:val="en-US"/>
        </w:rPr>
        <w:t xml:space="preserve"> established modelling method</w:t>
      </w:r>
      <w:r w:rsidR="00A62BB8" w:rsidRPr="005D3213">
        <w:rPr>
          <w:lang w:val="en-US"/>
        </w:rPr>
        <w:t>s</w:t>
      </w:r>
      <w:r w:rsidR="008575DF" w:rsidRPr="005D3213">
        <w:rPr>
          <w:lang w:val="en-US"/>
        </w:rPr>
        <w:t xml:space="preserve"> while for</w:t>
      </w:r>
      <w:r w:rsidR="004D0F18" w:rsidRPr="005D3213">
        <w:rPr>
          <w:lang w:val="en-US"/>
        </w:rPr>
        <w:t xml:space="preserve"> micro-hydro generation, Gumbel</w:t>
      </w:r>
      <w:r w:rsidR="008575DF" w:rsidRPr="005D3213">
        <w:rPr>
          <w:lang w:val="en-US"/>
        </w:rPr>
        <w:t>-based</w:t>
      </w:r>
      <w:r w:rsidR="004D0F18" w:rsidRPr="005D3213">
        <w:rPr>
          <w:lang w:val="en-US"/>
        </w:rPr>
        <w:t xml:space="preserve"> distributions were found to be preferred in the literature </w:t>
      </w:r>
      <w:r w:rsidR="008575DF" w:rsidRPr="005D3213">
        <w:rPr>
          <w:lang w:val="en-US"/>
        </w:rPr>
        <w:t xml:space="preserve">due to their higher effectiveness and more accurate results </w:t>
      </w:r>
      <w:r w:rsidR="008575DF" w:rsidRPr="005D3213">
        <w:rPr>
          <w:lang w:val="en-US"/>
        </w:rPr>
        <w:fldChar w:fldCharType="begin" w:fldLock="1"/>
      </w:r>
      <w:r w:rsidR="00EB017E" w:rsidRPr="005D3213">
        <w:rPr>
          <w:lang w:val="en-US"/>
        </w:rPr>
        <w:instrText>ADDIN CSL_CITATION {"citationItems":[{"id":"ITEM-1","itemData":{"DOI":"10.11648/j.epes.20211002.12","ISSN":"2326-912X","abstract":"Micro hydropower helps the rural areas to supply power with off grid electrification. This study deals with the design of micro hydropower scheme in Gobecho kebele, Genale Dawa river basin, Ethiopia. The site for the construction of diversion weir is located upstream of the Ganga river in the kebele. The design were implemented based on the available hydrological data collected from 1991 to 2020 river discharge at different stations by selecting the one, which is near to the Gobecho catchment. Ererti is a station geographically near to Gobecho catchment by using GIS 10.7 application. The Gobecho peak probable discharge of 3.503m 3 /s is computed using log normal distribution after L-moment analysis. Based on this peak discharge, vertical drop weir and components of headwork structure designed and provided relevant dimensions. The proposed vertical drop weir has a height of 0.703m, crest length 10m and the design flow for a hydropower scheme is 0.132m 3 /s estimated by FDC. The water passes through trapezoidal power canal of a 0.35m width and a 0.43 height to a forebay tank. A forebay of size 9 × 1.3 × 1.7 is provided at the end of the power canal. Moreover, the water leads from forebay to a 0.24m diameter of penstock running one unit turbine and capacity of 25kw. The selected type of turbine for proposed plant is cross flow turbine. Finally, the quantity of calculated estimate cost is 50,000 USD and the B/C ratio of 1.48 provided for this micro hydropower project.","author":[{"dropping-particle":"","family":"Ayalew","given":"Abebe Temesgen","non-dropping-particle":"","parse-names":false,"suffix":""}],"container-title":"American Journal of Electrical Power and Energy Systems","id":"ITEM-1","issue":"2","issued":{"date-parts":[["2021"]]},"page":"25","title":"Assessment of Power Compeers Prospective of Gobecho Micro Hydropower Plant on Ganga River, Genale Dawa River Basin, Ethiopia","type":"article-journal","volume":"10"},"uris":["http://www.mendeley.com/documents/?uuid=c14322e5-07fa-3da1-a4d8-af2293afc6f5"]},{"id":"ITEM-2","itemData":{"DOI":"10.1016/J.HELIYON.2021.E06980","ISSN":"2405-8440","abstract":"The Pra river catchment in Ghana is adversely affected by perennial flooding from high-intensity rainfall events. To aid in flood management at the catchment, the Gumbel extreme value distribution has been used to estimate the return periods of maxima rainfall, flood, and consecutive dry and wet days (CDD and CWD) for a period of 5 to 100 years. The results revealed an expected increase in maxima rainfall, CDD and CWD. Maxima rainfall favours the south of the catchment while the CDD decreases northward. Furthermore, an increase in the magnitude of CWD observed at the centre of the catchment had a maximum of approximately 30 days for the 100 year return period, while lower flood volumes had a higher recurrence of 50% to 100% for 1 to 2 year return periods. The inclusion of a projected increase in anthropogenic activities and climate factors at the catchment will slightly affect the magnitude of these variables for the various return periods. Nonetheless, the findings in this study will be of essential input to policy implementation of the Integrated Water Resource Management Plan for river catchments in Ghana, West Africa.","author":[{"dropping-particle":"","family":"Osei","given":"Marian Amoakowaah","non-dropping-particle":"","parse-names":false,"suffix":""},{"dropping-particle":"","family":"Amekudzi","given":"Leonard Kofitse","non-dropping-particle":"","parse-names":false,"suffix":""},{"dropping-particle":"","family":"Omari-Sasu","given":"Akoto Yaw","non-dropping-particle":"","parse-names":false,"suffix":""},{"dropping-particle":"","family":"Yamba","given":"Edmund Ilimoan","non-dropping-particle":"","parse-names":false,"suffix":""},{"dropping-particle":"","family":"Quansah","given":"Emmanuel","non-dropping-particle":"","parse-names":false,"suffix":""},{"dropping-particle":"","family":"Aryee","given":"Jeffrey N.A.","non-dropping-particle":"","parse-names":false,"suffix":""},{"dropping-particle":"","family":"Preko","given":"Kwasi","non-dropping-particle":"","parse-names":false,"suffix":""}],"container-title":"Heliyon","id":"ITEM-2","issue":"5","issued":{"date-parts":[["2021","5","1"]]},"page":"e06980","publisher":"Elsevier","title":"Estimation of the return periods of maxima rainfall and floods at the Pra River Catchment, Ghana, West Africa using the Gumbel extreme value theory","type":"article-journal","volume":"7"},"uris":["http://www.mendeley.com/documents/?uuid=d48ffe18-6c07-3157-b8c6-38fcafbe187f"]},{"id":"ITEM-3","itemData":{"DOI":"10.1016/J.ASEJ.2021.02.004","ISSN":"2090-4479","abstract":"This paper presents an economical-technical-environmental dispatch (ETED) model for an adapted IEEE 30-bus system incorporated with thermal and a mix of renewable energy sources (RESs). Total fuel costs, active power losses, and emissions level minimization is the main aim. Different equality and inequality limits involving prohibited operating zones (POZs) are considered as system restrictions. Metaheuristic optimization techniques – moth-flame optimization, salp swarm algorithm, improved grey wolf optimizer, and multi-verse optimizer – are employed to find the best solution for the generation cost, losses, and emissions. Various scenarios are examined to approve the ability of the formulated optimization model in solving the problem. A weighted sum strategy using the analytic hierarchy process (AHP) is used to convert the multi-objective problem into a normalized single-objective one. The AHP-ETED model presented in this work can significantly minimize fuel costs to 902.4951 $/h, lower emission levels as 0.09785 t/h, and achieve a lower power loss of 2.4110 MW. The results attained validate that the IGWO outperforms the other considered algorithms in finding the best solution to the ETED problem.","author":[{"dropping-particle":"","family":"Rawa","given":"Muhyaddin","non-dropping-particle":"","parse-names":false,"suffix":""},{"dropping-particle":"","family":"Abusorrah","given":"Abdullah","non-dropping-particle":"","parse-names":false,"suffix":""},{"dropping-particle":"","family":"Bassi","given":"Hussain","non-dropping-particle":"","parse-names":false,"suffix":""},{"dropping-particle":"","family":"Mekhilef","given":"Saad","non-dropping-particle":"","parse-names":false,"suffix":""},{"dropping-particle":"","family":"Ali","given":"Ziad M.","non-dropping-particle":"","parse-names":false,"suffix":""},{"dropping-particle":"","family":"Abdel Aleem","given":"Shady H.E.","non-dropping-particle":"","parse-names":false,"suffix":""},{"dropping-particle":"","family":"Hasanien","given":"Hany M.","non-dropping-particle":"","parse-names":false,"suffix":""},{"dropping-particle":"","family":"Omar","given":"Ahmed I.","non-dropping-particle":"","parse-names":false,"suffix":""}],"container-title":"Ain Shams Engineering Journal","id":"ITEM-3","issue":"3","issued":{"date-parts":[["2021","9","1"]]},"page":"2717-2734","publisher":"Elsevier","title":"Economical-technical-environmental operation of power networks with wind-solar-hydropower generation using analytic hierarchy process and improved grey wolf algorithm","type":"article-journal","volume":"12"},"uris":["http://www.mendeley.com/documents/?uuid=f5ecd2bb-85bb-3b75-9ea8-a6caae907df8"]}],"mendeley":{"formattedCitation":"(Ayalew, 2021; Osei et al., 2021; Rawa et al., 2021)","plainTextFormattedCitation":"(Ayalew, 2021; Osei et al., 2021; Rawa et al., 2021)","previouslyFormattedCitation":"(Ayalew, 2021; Osei et al., 2021; Rawa et al., 2021)"},"properties":{"noteIndex":0},"schema":"https://github.com/citation-style-language/schema/raw/master/csl-citation.json"}</w:instrText>
      </w:r>
      <w:r w:rsidR="008575DF" w:rsidRPr="005D3213">
        <w:rPr>
          <w:lang w:val="en-US"/>
        </w:rPr>
        <w:fldChar w:fldCharType="separate"/>
      </w:r>
      <w:r w:rsidR="00A97D34" w:rsidRPr="005D3213">
        <w:rPr>
          <w:noProof/>
          <w:lang w:val="en-US"/>
        </w:rPr>
        <w:t>(Ayalew, 2021; Osei et al., 2021; Rawa et al., 2021)</w:t>
      </w:r>
      <w:r w:rsidR="008575DF" w:rsidRPr="005D3213">
        <w:rPr>
          <w:lang w:val="en-US"/>
        </w:rPr>
        <w:fldChar w:fldCharType="end"/>
      </w:r>
      <w:r w:rsidR="008575DF" w:rsidRPr="005D3213">
        <w:rPr>
          <w:lang w:val="en-US"/>
        </w:rPr>
        <w:t>.</w:t>
      </w:r>
    </w:p>
    <w:p w14:paraId="71444183" w14:textId="48B69CCF" w:rsidR="00880A7A" w:rsidRDefault="002829A3" w:rsidP="00213E82">
      <w:pPr>
        <w:pStyle w:val="Heading3"/>
        <w:spacing w:line="480" w:lineRule="auto"/>
      </w:pPr>
      <w:bookmarkStart w:id="30" w:name="_Toc110502568"/>
      <w:r>
        <w:t>2.7</w:t>
      </w:r>
      <w:r w:rsidR="008618CD">
        <w:t xml:space="preserve">   </w:t>
      </w:r>
      <w:r w:rsidR="00072952">
        <w:t>QUASI-DYNAMIC SIMULATION</w:t>
      </w:r>
      <w:bookmarkEnd w:id="30"/>
    </w:p>
    <w:p w14:paraId="20AA9BC0" w14:textId="534E4DE4" w:rsidR="00880A7A" w:rsidRDefault="00735B4E" w:rsidP="00213E82">
      <w:pPr>
        <w:pStyle w:val="Heading4"/>
        <w:spacing w:line="480" w:lineRule="auto"/>
      </w:pPr>
      <w:r>
        <w:t>2.7.1</w:t>
      </w:r>
      <w:r>
        <w:tab/>
        <w:t>COMPARISON OF DYNAMIC AND QUASI-DYNAMIC SIMULATION</w:t>
      </w:r>
    </w:p>
    <w:p w14:paraId="6E203597" w14:textId="3BD2CCD6" w:rsidR="0006264A" w:rsidRDefault="00735B4E" w:rsidP="00735B4E">
      <w:pPr>
        <w:spacing w:line="480" w:lineRule="auto"/>
        <w:rPr>
          <w:lang w:val="en-US"/>
        </w:rPr>
      </w:pPr>
      <w:r>
        <w:rPr>
          <w:lang w:val="en-US"/>
        </w:rPr>
        <w:t xml:space="preserve">Dynamic modelling is the use of computer </w:t>
      </w:r>
      <w:r w:rsidR="0006264A">
        <w:rPr>
          <w:lang w:val="en-US"/>
        </w:rPr>
        <w:t>software</w:t>
      </w:r>
      <w:r>
        <w:rPr>
          <w:lang w:val="en-US"/>
        </w:rPr>
        <w:t xml:space="preserve"> to model the time-variant characteristics of a dynamical system</w:t>
      </w:r>
      <w:r w:rsidR="00D57920">
        <w:rPr>
          <w:lang w:val="en-US"/>
        </w:rPr>
        <w:t xml:space="preserve"> </w:t>
      </w:r>
      <w:r w:rsidR="00D57920">
        <w:rPr>
          <w:lang w:val="en-US"/>
        </w:rPr>
        <w:fldChar w:fldCharType="begin" w:fldLock="1"/>
      </w:r>
      <w:r w:rsidR="00D57920">
        <w:rPr>
          <w:lang w:val="en-US"/>
        </w:rPr>
        <w:instrText>ADDIN CSL_CITATION {"citationItems":[{"id":"ITEM-1","itemData":{"DOI":"10.1029/2018JB015533","ISSN":"2169-9356","abstract":"Earthquake ruptures in poroelastic media involve a suite of complex phenomena arising from stick-slip frictional instabilities and thermo-hydromechanical couplings. In this study we propose a fully implicit, time-adaptive, and monolithically coupled finite element model to simulate dynamic earthquake sequences in poroviscoelastic media. We consider a Kelvin-Voigt viscoelastic material and characterize the impact of inertial effects on injection-induced earthquakes. We present, for the first time, dynamic simulations of ruptures in rate-and-state faults in poroelastic media. Our simulations resolve the full earthquake cycle, including the interseismic, spontaneous earthquake nucleation, and dynamic rupture phases. We compare dynamic simulations with quasi-dynamic ones, in which inertial effects are neglected and the slip singularity is resolved through a radiation damping approximation. Viscous dissipation models the physical process of seismic wave attenuation: As viscous damping increases, the patch size and the maximum fault slip become smaller, hence decreasing the expected earthquake magnitude. From a computational perspective, viscoelasticity helps avoid spurious high-frequency oscillations during wave propagation. By including inertial effects, the dynamic model accounts for transient fluctuations of pressures and solid stresses during rupture, which are neglected in the quasi-dynamic approach. Understanding these transient perturbations may shed light on the role of pore pressure in the mechanism of dynamic earthquake triggering. The poroviscoelastic dynamic approach is a good compromise between the inviscid, fully dynamic model, and the quasi-dynamic one. A small amount of viscous damping allows us more efficient calculations, while preserving the most relevant features of dynamic ruptures, in particular slip velocities, accumulated slip, and seismic moment released.","author":[{"dropping-particle":"","family":"Pampillón","given":"Pedro","non-dropping-particle":"","parse-names":false,"suffix":""},{"dropping-particle":"","family":"Santillán","given":"David","non-dropping-particle":"","parse-names":false,"suffix":""},{"dropping-particle":"","family":"Mosquera","given":"Juan Carlos","non-dropping-particle":"","parse-names":false,"suffix":""},{"dropping-particle":"","family":"Cueto-Felgueroso","given":"Luis","non-dropping-particle":"","parse-names":false,"suffix":""}],"container-title":"Journal of Geophysical Research: Solid Earth","id":"ITEM-1","issue":"7","issued":{"date-parts":[["2018","7","1"]]},"page":"5730-5759","publisher":"John Wiley &amp; Sons, Ltd","title":"Dynamic and Quasi-Dynamic Modeling of Injection-Induced Earthquakes in Poroelastic Media","type":"article-journal","volume":"123"},"uris":["http://www.mendeley.com/documents/?uuid=d82d6a60-23b9-317d-81c5-7ce815f505be"]}],"mendeley":{"formattedCitation":"(Pampillón et al., 2018)","plainTextFormattedCitation":"(Pampillón et al., 2018)","previouslyFormattedCitation":"(Pampillón et al., 2018)"},"properties":{"noteIndex":0},"schema":"https://github.com/citation-style-language/schema/raw/master/csl-citation.json"}</w:instrText>
      </w:r>
      <w:r w:rsidR="00D57920">
        <w:rPr>
          <w:lang w:val="en-US"/>
        </w:rPr>
        <w:fldChar w:fldCharType="separate"/>
      </w:r>
      <w:r w:rsidR="00D57920" w:rsidRPr="00D57920">
        <w:rPr>
          <w:noProof/>
          <w:lang w:val="en-US"/>
        </w:rPr>
        <w:t>(Pampillón et al., 2018)</w:t>
      </w:r>
      <w:r w:rsidR="00D57920">
        <w:rPr>
          <w:lang w:val="en-US"/>
        </w:rPr>
        <w:fldChar w:fldCharType="end"/>
      </w:r>
      <w:r>
        <w:rPr>
          <w:lang w:val="en-US"/>
        </w:rPr>
        <w:t>. Power systems</w:t>
      </w:r>
      <w:r w:rsidR="00D57920">
        <w:rPr>
          <w:lang w:val="en-US"/>
        </w:rPr>
        <w:t xml:space="preserve"> (or any electromechanical systems)</w:t>
      </w:r>
      <w:r>
        <w:rPr>
          <w:lang w:val="en-US"/>
        </w:rPr>
        <w:t xml:space="preserve"> with rotating machines or any kind of system with energy storage fall i</w:t>
      </w:r>
      <w:r w:rsidR="0006264A">
        <w:rPr>
          <w:lang w:val="en-US"/>
        </w:rPr>
        <w:t>nto the category of dynamic systems</w:t>
      </w:r>
      <w:r>
        <w:rPr>
          <w:lang w:val="en-US"/>
        </w:rPr>
        <w:t>, hence the need for and relevance of dynamic modelling</w:t>
      </w:r>
      <w:r w:rsidR="00D57920">
        <w:rPr>
          <w:lang w:val="en-US"/>
        </w:rPr>
        <w:t xml:space="preserve"> </w:t>
      </w:r>
      <w:r w:rsidR="00D57920">
        <w:rPr>
          <w:lang w:val="en-US"/>
        </w:rPr>
        <w:fldChar w:fldCharType="begin" w:fldLock="1"/>
      </w:r>
      <w:r w:rsidR="00D57920">
        <w:rPr>
          <w:lang w:val="en-US"/>
        </w:rPr>
        <w:instrText>ADDIN CSL_CITATION {"citationItems":[{"id":"ITEM-1","itemData":{"DOI":"10.1007/978-3-0348-7318-5_2","ISBN":"9783319230412","abstract":"This book presents mathematical modelling and the integrated process of formulating sets of equations to describe real-world problems. It describes methods for obtaining solutions of challenging differential equations stemming from problems in areas such as chemical reactions, population dynamics, mechanical systems, and fluid mechanics. Chapters 1 to 4 cover essential topics in ordinary differential equations, transport equations and the calculus of variations that are important for formulating models. Chapters 5 to 11 then develop more advanced techniques including similarity solutions, matched asymptotic expansions, multiple scale analysis, long-wave models, and fast/slow dynamical systems. Methods of Mathematical Modelling will be useful for advanced undergraduate or beginning graduate students in applied mathematics, engineering and other applied sciences.","author":[{"dropping-particle":"","family":"Walz","given":"Dieter","non-dropping-particle":"","parse-names":false,"suffix":""},{"dropping-particle":"","family":"Caplan","given":"S. Roy","non-dropping-particle":"","parse-names":false,"suffix":""},{"dropping-particle":"","family":"Scriven","given":"David R. L.","non-dropping-particle":"","parse-names":false,"suffix":""},{"dropping-particle":"","family":"Mikulecky","given":"Donald C.","non-dropping-particle":"","parse-names":false,"suffix":""}],"container-title":"Bioelectrochemistry: General Introduction","id":"ITEM-1","issued":{"date-parts":[["1995"]]},"number-of-pages":"49-131","title":"Methods of mathematical modelling","type":"book"},"uris":["http://www.mendeley.com/documents/?uuid=4b0035a9-abe8-4c67-ad22-b232c08d38a7"]}],"mendeley":{"formattedCitation":"(Walz et al., 1995)","plainTextFormattedCitation":"(Walz et al., 1995)","previouslyFormattedCitation":"(Walz et al., 1995)"},"properties":{"noteIndex":0},"schema":"https://github.com/citation-style-language/schema/raw/master/csl-citation.json"}</w:instrText>
      </w:r>
      <w:r w:rsidR="00D57920">
        <w:rPr>
          <w:lang w:val="en-US"/>
        </w:rPr>
        <w:fldChar w:fldCharType="separate"/>
      </w:r>
      <w:r w:rsidR="00D57920" w:rsidRPr="00D57920">
        <w:rPr>
          <w:noProof/>
          <w:lang w:val="en-US"/>
        </w:rPr>
        <w:t>(Walz et al., 1995)</w:t>
      </w:r>
      <w:r w:rsidR="00D57920">
        <w:rPr>
          <w:lang w:val="en-US"/>
        </w:rPr>
        <w:fldChar w:fldCharType="end"/>
      </w:r>
      <w:r>
        <w:rPr>
          <w:lang w:val="en-US"/>
        </w:rPr>
        <w:t>. However, in traditional dynamic modelling and simulation, such as that which is usually performed in MATLAB’s SIMULINK, both the transient and steady-state characteristics are modelled</w:t>
      </w:r>
      <w:r w:rsidR="00D57920">
        <w:rPr>
          <w:lang w:val="en-US"/>
        </w:rPr>
        <w:t xml:space="preserve"> </w:t>
      </w:r>
      <w:r w:rsidR="00D57920">
        <w:rPr>
          <w:lang w:val="en-US"/>
        </w:rPr>
        <w:fldChar w:fldCharType="begin" w:fldLock="1"/>
      </w:r>
      <w:r w:rsidR="00D57920">
        <w:rPr>
          <w:lang w:val="en-US"/>
        </w:rPr>
        <w:instrText>ADDIN CSL_CITATION {"citationItems":[{"id":"ITEM-1","itemData":{"ISBN":"1742-6596","author":[{"dropping-particle":"","family":"Markova","given":"A A","non-dropping-particle":"","parse-names":false,"suffix":""},{"dropping-particle":"","family":"Kopyrin","given":"V A","non-dropping-particle":"","parse-names":false,"suffix":""},{"dropping-particle":"V","family":"Deneko","given":"M","non-dropping-particle":"","parse-names":false,"suffix":""},{"dropping-particle":"","family":"Khamitov","given":"R N","non-dropping-particle":"","parse-names":false,"suffix":""},{"dropping-particle":"V","family":"Logunov","given":"A","non-dropping-particle":"","parse-names":false,"suffix":""}],"container-title":"Journal of Physics: Conference Series","id":"ITEM-1","issue":"1","issued":{"date-parts":[["2021"]]},"page":"12074","publisher":"IOP Publishing","title":"Investigation of transients in a submersible electric motor with a downhole compensator","type":"paper-conference","volume":"1901"},"uris":["http://www.mendeley.com/documents/?uuid=1f9a486c-bfce-42ed-b101-b925692fc79c"]}],"mendeley":{"formattedCitation":"(Markova et al., 2021)","plainTextFormattedCitation":"(Markova et al., 2021)","previouslyFormattedCitation":"(Markova et al., 2021)"},"properties":{"noteIndex":0},"schema":"https://github.com/citation-style-language/schema/raw/master/csl-citation.json"}</w:instrText>
      </w:r>
      <w:r w:rsidR="00D57920">
        <w:rPr>
          <w:lang w:val="en-US"/>
        </w:rPr>
        <w:fldChar w:fldCharType="separate"/>
      </w:r>
      <w:r w:rsidR="00D57920" w:rsidRPr="00D57920">
        <w:rPr>
          <w:noProof/>
          <w:lang w:val="en-US"/>
        </w:rPr>
        <w:t>(Markova et al., 2021)</w:t>
      </w:r>
      <w:r w:rsidR="00D57920">
        <w:rPr>
          <w:lang w:val="en-US"/>
        </w:rPr>
        <w:fldChar w:fldCharType="end"/>
      </w:r>
      <w:r>
        <w:rPr>
          <w:lang w:val="en-US"/>
        </w:rPr>
        <w:t xml:space="preserve">. </w:t>
      </w:r>
    </w:p>
    <w:p w14:paraId="72224F8A" w14:textId="57FAAFE1" w:rsidR="0006264A" w:rsidRPr="00735B4E" w:rsidRDefault="0006264A" w:rsidP="00735B4E">
      <w:pPr>
        <w:spacing w:line="480" w:lineRule="auto"/>
        <w:rPr>
          <w:lang w:val="en-US"/>
        </w:rPr>
      </w:pPr>
      <w:r>
        <w:rPr>
          <w:lang w:val="en-US"/>
        </w:rPr>
        <w:t>A</w:t>
      </w:r>
      <w:r w:rsidR="00735B4E">
        <w:rPr>
          <w:lang w:val="en-US"/>
        </w:rPr>
        <w:t xml:space="preserve">n investigation of </w:t>
      </w:r>
      <w:r w:rsidR="009861F9">
        <w:rPr>
          <w:lang w:val="en-US"/>
        </w:rPr>
        <w:t xml:space="preserve">the </w:t>
      </w:r>
      <w:r w:rsidR="00735B4E">
        <w:rPr>
          <w:lang w:val="en-US"/>
        </w:rPr>
        <w:t xml:space="preserve">stability of a system by </w:t>
      </w:r>
      <w:r w:rsidR="00D57920">
        <w:rPr>
          <w:lang w:val="en-US"/>
        </w:rPr>
        <w:t>fully-</w:t>
      </w:r>
      <w:r w:rsidR="00735B4E">
        <w:rPr>
          <w:lang w:val="en-US"/>
        </w:rPr>
        <w:t>dynamic modelling would consider the transient phenomenon on both fast and slow timescales</w:t>
      </w:r>
      <w:r w:rsidR="00D57920">
        <w:rPr>
          <w:lang w:val="en-US"/>
        </w:rPr>
        <w:t xml:space="preserve"> </w:t>
      </w:r>
      <w:r w:rsidR="00D57920">
        <w:rPr>
          <w:lang w:val="en-US"/>
        </w:rPr>
        <w:fldChar w:fldCharType="begin" w:fldLock="1"/>
      </w:r>
      <w:r w:rsidR="00D57920">
        <w:rPr>
          <w:lang w:val="en-US"/>
        </w:rPr>
        <w:instrText>ADDIN CSL_CITATION {"citationItems":[{"id":"ITEM-1","itemData":{"DOI":"10.1109/pes.2006.1709637","ISBN":"1424404932","abstract":"The electricity supply industry is undergoing deregulation around the world. A free market approach to buying and selling electricity is forecasted to drop the cost and introduce choice into what has been a monopoly industry. Deregulation has accelerated the development of smaller generators and fuel cells will gradually become more attractive to mainstream electricity users as they improve in capability and decrease in cost. Some of the operating conflicts and the effect of distributed generation (DG) on power quality are addressed. Molten Carbonate Fuel Cell (MCFC) stack dynamic model was developed to analyze a spectrum of dynamic responses from slow to fast transients and a simplified process flow diagram (PFD) of the Santa Clara Demonstration Project is presented. The integration of Direct Carbonate Fuel Cell (internally reformed carbonate fuel cell) with a gas turbine is an emerging technology. Fuel cell-microturbine hybrid power plant can be interfaced with the utility grid via a three-phase inverter, controlling active and reactive power. ©2006 IEEE.","author":[{"dropping-particle":"","family":"Lee","given":"Kwang Y.","non-dropping-particle":"","parse-names":false,"suffix":""}],"container-title":"2006 IEEE Power Engineering Society General Meeting, PES","id":"ITEM-1","issued":{"date-parts":[["2006"]]},"page":"1-8","title":"The effect of DG using fuel cell under deregulated electricity energy markets","type":"article-journal"},"uris":["http://www.mendeley.com/documents/?uuid=ad97fa25-3bcc-49d9-8a55-62fa9630e0b8"]}],"mendeley":{"formattedCitation":"(Lee, 2006)","plainTextFormattedCitation":"(Lee, 2006)","previouslyFormattedCitation":"(Lee, 2006)"},"properties":{"noteIndex":0},"schema":"https://github.com/citation-style-language/schema/raw/master/csl-citation.json"}</w:instrText>
      </w:r>
      <w:r w:rsidR="00D57920">
        <w:rPr>
          <w:lang w:val="en-US"/>
        </w:rPr>
        <w:fldChar w:fldCharType="separate"/>
      </w:r>
      <w:r w:rsidR="00D57920" w:rsidRPr="00D57920">
        <w:rPr>
          <w:noProof/>
          <w:lang w:val="en-US"/>
        </w:rPr>
        <w:t>(Lee, 2006)</w:t>
      </w:r>
      <w:r w:rsidR="00D57920">
        <w:rPr>
          <w:lang w:val="en-US"/>
        </w:rPr>
        <w:fldChar w:fldCharType="end"/>
      </w:r>
      <w:r w:rsidR="00735B4E">
        <w:rPr>
          <w:lang w:val="en-US"/>
        </w:rPr>
        <w:t>. This kind of simulation tends to be computationally expensive, however, it gives fuller information about the system</w:t>
      </w:r>
      <w:r w:rsidR="009861F9">
        <w:rPr>
          <w:lang w:val="en-US"/>
        </w:rPr>
        <w:t>,</w:t>
      </w:r>
      <w:r>
        <w:rPr>
          <w:lang w:val="en-US"/>
        </w:rPr>
        <w:t xml:space="preserve"> especially on the short-term scales</w:t>
      </w:r>
      <w:r w:rsidR="00735B4E">
        <w:rPr>
          <w:lang w:val="en-US"/>
        </w:rPr>
        <w:t>.</w:t>
      </w:r>
      <w:r>
        <w:rPr>
          <w:lang w:val="en-US"/>
        </w:rPr>
        <w:t xml:space="preserve"> In some studies, however, the long-term behavio</w:t>
      </w:r>
      <w:r w:rsidR="009861F9">
        <w:rPr>
          <w:lang w:val="en-US"/>
        </w:rPr>
        <w:t>u</w:t>
      </w:r>
      <w:r>
        <w:rPr>
          <w:lang w:val="en-US"/>
        </w:rPr>
        <w:t>r of the system assuming short-term stability is of higher priority. In such situations, quasi-dynamic simulations are preferred</w:t>
      </w:r>
      <w:r w:rsidR="00D57920">
        <w:rPr>
          <w:lang w:val="en-US"/>
        </w:rPr>
        <w:t xml:space="preserve"> </w:t>
      </w:r>
      <w:r w:rsidR="00D57920">
        <w:rPr>
          <w:lang w:val="en-US"/>
        </w:rPr>
        <w:fldChar w:fldCharType="begin" w:fldLock="1"/>
      </w:r>
      <w:r w:rsidR="00420540">
        <w:rPr>
          <w:lang w:val="en-US"/>
        </w:rPr>
        <w:instrText>ADDIN CSL_CITATION {"citationItems":[{"id":"ITEM-1","itemData":{"ISBN":"978-3-030-00350-0","abstract":"In this article, an electrical system with a study case is presented within the Colombian industrial electric sector in order to identify the changes in the electrical variables of a electrical network with distributed generation (DG). To achieve this, each present load in the 14-node IEEE system was modelled as daily demand curve of the Colombian industrial electric sector. In first place, the power dispatch of the 14-node IEEE system with DG was optimized through the particle swarm method. Afterwards, Quasi-Dynamic simulations were implemented throughout a 24-h period in the different nodes of the system with the purpose of estimate the transformers and line losses as well as the variations in the power and voltage profiles in the system nodes. DG systems supply effectively the demanded power however the voltage and power profiles resulting from Quasi-Dynamic simulations do not show significant changes in the behavior of the electrical network.","author":[{"dropping-particle":"","family":"Gaitan","given":"Luis Felipe","non-dropping-particle":"","parse-names":false,"suffix":""},{"dropping-particle":"","family":"Gómez","given":"Juan David","non-dropping-particle":"","parse-names":false,"suffix":""},{"dropping-particle":"","family":"Trujillo","given":"Edwin Rivas","non-dropping-particle":"","parse-names":false,"suffix":""}],"editor":[{"dropping-particle":"","family":"Figueroa-García","given":"Juan Carlos","non-dropping-particle":"","parse-names":false,"suffix":""},{"dropping-particle":"","family":"López-Santana","given":"Eduyn Ramiro","non-dropping-particle":"","parse-names":false,"suffix":""},{"dropping-particle":"","family":"Rodriguez-Molano","given":"José Ignacio","non-dropping-particle":"","parse-names":false,"suffix":""}],"id":"ITEM-1","issued":{"date-parts":[["2018"]]},"page":"497-508","publisher":"Springer International Publishing","publisher-place":"Cham","title":"Simulation of a 14 Node IEEE System with Distributed Generation Using Quasi-dynamic Analysis BT  - Applied Computer Sciences in Engineering","type":"paper-conference"},"uris":["http://www.mendeley.com/documents/?uuid=d36b1712-ecc9-4006-b91d-8400180c0f43"]}],"mendeley":{"formattedCitation":"(Gaitan et al., 2018)","plainTextFormattedCitation":"(Gaitan et al., 2018)","previouslyFormattedCitation":"(Gaitan et al., 2018)"},"properties":{"noteIndex":0},"schema":"https://github.com/citation-style-language/schema/raw/master/csl-citation.json"}</w:instrText>
      </w:r>
      <w:r w:rsidR="00D57920">
        <w:rPr>
          <w:lang w:val="en-US"/>
        </w:rPr>
        <w:fldChar w:fldCharType="separate"/>
      </w:r>
      <w:r w:rsidR="00D57920" w:rsidRPr="00D57920">
        <w:rPr>
          <w:noProof/>
          <w:lang w:val="en-US"/>
        </w:rPr>
        <w:t>(Gaitan et al., 2018)</w:t>
      </w:r>
      <w:r w:rsidR="00D57920">
        <w:rPr>
          <w:lang w:val="en-US"/>
        </w:rPr>
        <w:fldChar w:fldCharType="end"/>
      </w:r>
      <w:r>
        <w:rPr>
          <w:lang w:val="en-US"/>
        </w:rPr>
        <w:t>. This is because quasi-dynamic simulations enable simulations of long periods in feasible computational time while giving the needed long-term behavio</w:t>
      </w:r>
      <w:r w:rsidR="009861F9">
        <w:rPr>
          <w:lang w:val="en-US"/>
        </w:rPr>
        <w:t>u</w:t>
      </w:r>
      <w:r>
        <w:rPr>
          <w:lang w:val="en-US"/>
        </w:rPr>
        <w:t>r at the expense of not capturing information about short</w:t>
      </w:r>
      <w:r w:rsidR="009861F9">
        <w:rPr>
          <w:lang w:val="en-US"/>
        </w:rPr>
        <w:t>-</w:t>
      </w:r>
      <w:r>
        <w:rPr>
          <w:lang w:val="en-US"/>
        </w:rPr>
        <w:t>term behavio</w:t>
      </w:r>
      <w:r w:rsidR="009861F9">
        <w:rPr>
          <w:lang w:val="en-US"/>
        </w:rPr>
        <w:t xml:space="preserve">ur </w:t>
      </w:r>
      <w:r w:rsidR="00D57920">
        <w:rPr>
          <w:lang w:val="en-US"/>
        </w:rPr>
        <w:fldChar w:fldCharType="begin" w:fldLock="1"/>
      </w:r>
      <w:r w:rsidR="00D57920">
        <w:rPr>
          <w:lang w:val="en-US"/>
        </w:rPr>
        <w:instrText>ADDIN CSL_CITATION {"citationItems":[{"id":"ITEM-1","itemData":{"DOI":"10.1109/TPWRS.2015.2466116","ISSN":"08858950","abstract":"Many blackouts in electric power grids throughout the world are caused by cascading outages, which often involve complex processes in various timescales. The multi-timescale nature of cascading outages makes conventional quasi-static simulation methods inaccurate in characterizing actual evolution of outages. This paper proposes a multi-timescale cascading outage model using a quasi-dynamic simulation method. The model establishes a framework for simulating interactions among dynamics in quite different timescales. It realizes simulation of cascading outages with representation of time evolution, so it overcomes ambiguity of time in conventional cascading outage models and hence has better practicality. Moreover, the model considers dynamics, e.g., load variation and generator excitation protection which affect voltage and reactive power profiles. Also, an improved re-dispatch model based on sensitivity is proposed. These improvements facilitate better simulation for a realistic power system. Also, dynamic simulation can be flexibly incorporated into the simulation of short-term processes in this model as needed. Case studies with the proposed multi-timescale model on the IEEE 30-bus system discuss the role of generator protection in cascading outage evolution, and analyze stage characteristics in outages. The multi-timescale model is also demonstrated on a reduced 410-bus US-Canada northeast power grid. Moreover, impacts from dispatchers' involvements are analyzed.","author":[{"dropping-particle":"","family":"Yao","given":"Rui","non-dropping-particle":"","parse-names":false,"suffix":""},{"dropping-particle":"","family":"Huang","given":"Shaowei","non-dropping-particle":"","parse-names":false,"suffix":""},{"dropping-particle":"","family":"Sun","given":"Kai","non-dropping-particle":"","parse-names":false,"suffix":""},{"dropping-particle":"","family":"Liu","given":"Feng","non-dropping-particle":"","parse-names":false,"suffix":""},{"dropping-particle":"","family":"Zhang","given":"Xuemin","non-dropping-particle":"","parse-names":false,"suffix":""},{"dropping-particle":"","family":"Mei","given":"Shengwei","non-dropping-particle":"","parse-names":false,"suffix":""}],"container-title":"IEEE Transactions on Power Systems","id":"ITEM-1","issue":"4","issued":{"date-parts":[["2016","7","1"]]},"page":"3189-3201","publisher":"Institute of Electrical and Electronics Engineers Inc.","title":"A Multi-Timescale Quasi-Dynamic Model for Simulation of Cascading Outages","type":"article-journal","volume":"31"},"uris":["http://www.mendeley.com/documents/?uuid=1caffb83-6a8d-3039-aac9-22ddc9693261"]}],"mendeley":{"formattedCitation":"(Yao et al., 2016)","plainTextFormattedCitation":"(Yao et al., 2016)","previouslyFormattedCitation":"(Yao et al., 2016)"},"properties":{"noteIndex":0},"schema":"https://github.com/citation-style-language/schema/raw/master/csl-citation.json"}</w:instrText>
      </w:r>
      <w:r w:rsidR="00D57920">
        <w:rPr>
          <w:lang w:val="en-US"/>
        </w:rPr>
        <w:fldChar w:fldCharType="separate"/>
      </w:r>
      <w:r w:rsidR="00D57920" w:rsidRPr="00D57920">
        <w:rPr>
          <w:noProof/>
          <w:lang w:val="en-US"/>
        </w:rPr>
        <w:t>(Yao et al., 2016)</w:t>
      </w:r>
      <w:r w:rsidR="00D57920">
        <w:rPr>
          <w:lang w:val="en-US"/>
        </w:rPr>
        <w:fldChar w:fldCharType="end"/>
      </w:r>
      <w:r>
        <w:rPr>
          <w:lang w:val="en-US"/>
        </w:rPr>
        <w:t>.</w:t>
      </w:r>
    </w:p>
    <w:p w14:paraId="35CBB3F1" w14:textId="1FF8CFA3" w:rsidR="0006264A" w:rsidRDefault="0006264A" w:rsidP="0006264A">
      <w:pPr>
        <w:pStyle w:val="Heading4"/>
      </w:pPr>
      <w:r>
        <w:t>2.7.2 JUSTIFICATION OF QUASI-DYNAMIC ANALYSIS APPROACH</w:t>
      </w:r>
    </w:p>
    <w:p w14:paraId="30AADDC3" w14:textId="711BD2AF" w:rsidR="00177BD0" w:rsidRDefault="008618CD" w:rsidP="00BD1EBD">
      <w:pPr>
        <w:spacing w:line="480" w:lineRule="auto"/>
        <w:rPr>
          <w:lang w:val="en-US"/>
        </w:rPr>
      </w:pPr>
      <w:r>
        <w:rPr>
          <w:lang w:val="en-US"/>
        </w:rPr>
        <w:t xml:space="preserve">Quasi-dynamic analysis is an approach in which the length of the time steps used in the analysis </w:t>
      </w:r>
      <w:r w:rsidR="009861F9">
        <w:rPr>
          <w:lang w:val="en-US"/>
        </w:rPr>
        <w:t>is</w:t>
      </w:r>
      <w:r>
        <w:rPr>
          <w:lang w:val="en-US"/>
        </w:rPr>
        <w:t xml:space="preserve"> sufficient for the settling of fast transients but allows the steady state analysis of the dynamic system under consideration at different points in time. The quasi-dynamic type of simulation tends to have time constants ranging from tens of seconds to hours</w:t>
      </w:r>
      <w:r w:rsidR="00F84936">
        <w:rPr>
          <w:lang w:val="en-US"/>
        </w:rPr>
        <w:t xml:space="preserve"> </w:t>
      </w:r>
      <w:r w:rsidR="00F84936">
        <w:rPr>
          <w:lang w:val="en-US"/>
        </w:rPr>
        <w:fldChar w:fldCharType="begin" w:fldLock="1"/>
      </w:r>
      <w:r w:rsidR="00F84936">
        <w:rPr>
          <w:lang w:val="en-US"/>
        </w:rPr>
        <w:instrText>ADDIN CSL_CITATION {"citationItems":[{"id":"ITEM-1","itemData":{"DOI":"10.22430/22565337.1489","ISSN":"2256-5337","abstract":"Distributed generation is one of the most accepted strategies to attend the increase in electrical demand around the world. Since 2014, Colombian government agencies have enacted laws and resolutions to promote and regulate the introduction of different generation technologies into the country’s electrical system. The incorporation of distributed generation systems into conventional distribution networks can cause problems if technical studies are not previously carried out to determine the consequences of the start of the operations of these new generation technologies. This scenario represents a new challenge for distribution networks operators because they must ensure that their systems can integrate these new generation sources without affecting the correct operation of the grid.\nIn this article, the IEEE 13 nodes system is modified by incorporating the load curves of the three types of consumers in the Colombian electricity market into the model. Additionally, distributed generation systems from non-conventional sources of energy are integrated into two system nodes in order to perform a quasi-dynamic analysis of the different electrical variables, which can be used to determine the impact of these new technologies on a local distribution system. The voltage profiles and active and reactive power do not show considerable changes in the behavior of the electrical network; however, in the simulation scenarios where distributed generators are operating, the system exhibits a considerable increase in lines losses. There are two alternatives to manage these unusual levels in the operation of the nodes with distributed generation: (1) operating these new DG nodes in islanded mode or (2) strengthening the local distribution system through the implementation of new distribution lines in the network.","author":[{"dropping-particle":"","family":"Gaitán","given":"Luis Felipe","non-dropping-particle":"","parse-names":false,"suffix":""},{"dropping-particle":"","family":"David Gómez","given":"Juan","non-dropping-particle":"","parse-names":false,"suffix":""},{"dropping-particle":"","family":"Rivas-Trujillo","given":"Edwin","non-dropping-particle":"","parse-names":false,"suffix":""},{"dropping-particle":"","family":"Gaitán","given":"L F","non-dropping-particle":"","parse-names":false,"suffix":""},{"dropping-particle":"","family":"Gómez","given":"J D","non-dropping-particle":"","parse-names":false,"suffix":""},{"dropping-particle":"","family":"Rivas-Trujillo","given":"E","non-dropping-particle":"","parse-names":false,"suffix":""}],"container-title":"TecnoLógicas","id":"ITEM-1","issue":"46","issued":{"date-parts":[["2019","9","20"]]},"page":"195-212","publisher":"Instituto Tecnologico Metropolitano (ITM)","title":"Quasi-Dynamic Analysis of a Local Distribution System with Distributed Generation. Study Case: The IEEE 13 Node System","type":"article-journal","volume":"22"},"uris":["http://www.mendeley.com/documents/?uuid=e6476a49-c1cd-3978-a69b-3c63dc402071"]}],"mendeley":{"formattedCitation":"(Gaitán et al., 2019)","plainTextFormattedCitation":"(Gaitán et al., 2019)","previouslyFormattedCitation":"(Gaitán et al., 2019)"},"properties":{"noteIndex":0},"schema":"https://github.com/citation-style-language/schema/raw/master/csl-citation.json"}</w:instrText>
      </w:r>
      <w:r w:rsidR="00F84936">
        <w:rPr>
          <w:lang w:val="en-US"/>
        </w:rPr>
        <w:fldChar w:fldCharType="separate"/>
      </w:r>
      <w:r w:rsidR="00F84936" w:rsidRPr="00F84936">
        <w:rPr>
          <w:noProof/>
          <w:lang w:val="en-US"/>
        </w:rPr>
        <w:t>(Gaitán et al., 2019)</w:t>
      </w:r>
      <w:r w:rsidR="00F84936">
        <w:rPr>
          <w:lang w:val="en-US"/>
        </w:rPr>
        <w:fldChar w:fldCharType="end"/>
      </w:r>
      <w:r>
        <w:rPr>
          <w:lang w:val="en-US"/>
        </w:rPr>
        <w:t>.  The quasi-dynamic model of a power system is used to observe its behavio</w:t>
      </w:r>
      <w:r w:rsidR="009861F9">
        <w:rPr>
          <w:lang w:val="en-US"/>
        </w:rPr>
        <w:t>u</w:t>
      </w:r>
      <w:r>
        <w:rPr>
          <w:lang w:val="en-US"/>
        </w:rPr>
        <w:t>r when subjected to medium or long</w:t>
      </w:r>
      <w:r w:rsidR="009861F9">
        <w:rPr>
          <w:lang w:val="en-US"/>
        </w:rPr>
        <w:t>-</w:t>
      </w:r>
      <w:r>
        <w:rPr>
          <w:lang w:val="en-US"/>
        </w:rPr>
        <w:t>term variations in the inputs such as load variation or variations in the generated power</w:t>
      </w:r>
      <w:r w:rsidR="00985FBF">
        <w:rPr>
          <w:lang w:val="en-US"/>
        </w:rPr>
        <w:t xml:space="preserve"> </w:t>
      </w:r>
      <w:r w:rsidR="00F84936">
        <w:rPr>
          <w:lang w:val="en-US"/>
        </w:rPr>
        <w:fldChar w:fldCharType="begin" w:fldLock="1"/>
      </w:r>
      <w:r w:rsidR="00F84936">
        <w:rPr>
          <w:lang w:val="en-US"/>
        </w:rPr>
        <w:instrText>ADDIN CSL_CITATION {"citationItems":[{"id":"ITEM-1","itemData":{"DOI":"10.1109/INFOTEH51037.2021.9400525","ISBN":"9781728182292","abstract":"In recent years, the number of requests for connection of PV systems to the medium voltage distribution network has been significantly increasing. In order to approve a connection, it is necessary to comprehensively consider the integration impacts on the grid. In this paper, a two-step quasi-dynamic network simulation in DIgSILENT PowerFactory automated by Python scripting is proposed. In the first step, based on statistics of meteorological parameters and consumer load profiles, long-term hourly sequences of PV system power production and load of all consumers were artificially generated. In the second step, a Monte Carlo simulation applied to IEEE 33-bus system with an integrated PV system was performed. As illustrative results, the voltage profile and active power losses are shown and discussed.","author":[{"dropping-particle":"","family":"Starcevic","given":"Vanja","non-dropping-particle":"","parse-names":false,"suffix":""},{"dropping-particle":"","family":"Zeljkovic","given":"Cedomir","non-dropping-particle":"","parse-names":false,"suffix":""},{"dropping-particle":"","family":"Kitic","given":"Nemanja","non-dropping-particle":"","parse-names":false,"suffix":""},{"dropping-particle":"","family":"Mrsic","given":"Predrag","non-dropping-particle":"","parse-names":false,"suffix":""},{"dropping-particle":"","family":"Erceg","given":"Bojan","non-dropping-particle":"","parse-names":false,"suffix":""},{"dropping-particle":"","family":"Jovanovic","given":"Vedran","non-dropping-particle":"","parse-names":false,"suffix":""}],"container-title":"2021 20th International Symposium INFOTEH-JAHORINA, INFOTEH 2021 - Proceedings","id":"ITEM-1","issued":{"date-parts":[["2021","3","17"]]},"publisher":"Institute of Electrical and Electronics Engineers Inc.","title":"PV System Integration Assessment by Automated Monte Carlo Simulation in DIgSILENT PowerFactory","type":"paper-conference"},"uris":["http://www.mendeley.com/documents/?uuid=f90e1cd7-ad81-33b0-b3bd-48e723162bb4"]}],"mendeley":{"formattedCitation":"(Starcevic et al., 2021)","plainTextFormattedCitation":"(Starcevic et al., 2021)","previouslyFormattedCitation":"(Starcevic et al., 2021)"},"properties":{"noteIndex":0},"schema":"https://github.com/citation-style-language/schema/raw/master/csl-citation.json"}</w:instrText>
      </w:r>
      <w:r w:rsidR="00F84936">
        <w:rPr>
          <w:lang w:val="en-US"/>
        </w:rPr>
        <w:fldChar w:fldCharType="separate"/>
      </w:r>
      <w:r w:rsidR="00F84936" w:rsidRPr="00F84936">
        <w:rPr>
          <w:noProof/>
          <w:lang w:val="en-US"/>
        </w:rPr>
        <w:t>(Starcevic et al., 2021)</w:t>
      </w:r>
      <w:r w:rsidR="00F84936">
        <w:rPr>
          <w:lang w:val="en-US"/>
        </w:rPr>
        <w:fldChar w:fldCharType="end"/>
      </w:r>
      <w:r>
        <w:rPr>
          <w:lang w:val="en-US"/>
        </w:rPr>
        <w:t xml:space="preserve">.  The quasi-dynamic approach to modelling is not restricted to power </w:t>
      </w:r>
      <w:r w:rsidR="00F84936">
        <w:rPr>
          <w:lang w:val="en-US"/>
        </w:rPr>
        <w:t>systems</w:t>
      </w:r>
      <w:r>
        <w:rPr>
          <w:lang w:val="en-US"/>
        </w:rPr>
        <w:t xml:space="preserve"> and has been applied to earthqua</w:t>
      </w:r>
      <w:r w:rsidR="00985FBF">
        <w:rPr>
          <w:lang w:val="en-US"/>
        </w:rPr>
        <w:t xml:space="preserve">ke analysis and refrigeration </w:t>
      </w:r>
      <w:r>
        <w:rPr>
          <w:lang w:val="en-US"/>
        </w:rPr>
        <w:t>technology, all phenomena that rely on time</w:t>
      </w:r>
      <w:r w:rsidR="00177BD0">
        <w:rPr>
          <w:lang w:val="en-US"/>
        </w:rPr>
        <w:t>-dependent processes but in which long</w:t>
      </w:r>
      <w:r w:rsidR="009861F9">
        <w:rPr>
          <w:lang w:val="en-US"/>
        </w:rPr>
        <w:t>-</w:t>
      </w:r>
      <w:r w:rsidR="00177BD0">
        <w:rPr>
          <w:lang w:val="en-US"/>
        </w:rPr>
        <w:t>term behavio</w:t>
      </w:r>
      <w:r w:rsidR="009861F9">
        <w:rPr>
          <w:lang w:val="en-US"/>
        </w:rPr>
        <w:t>u</w:t>
      </w:r>
      <w:r w:rsidR="00177BD0">
        <w:rPr>
          <w:lang w:val="en-US"/>
        </w:rPr>
        <w:t>r is of interest compared to short</w:t>
      </w:r>
      <w:r w:rsidR="009861F9">
        <w:rPr>
          <w:lang w:val="en-US"/>
        </w:rPr>
        <w:t>-</w:t>
      </w:r>
      <w:r w:rsidR="00177BD0">
        <w:rPr>
          <w:lang w:val="en-US"/>
        </w:rPr>
        <w:t>term behavio</w:t>
      </w:r>
      <w:r w:rsidR="009861F9">
        <w:rPr>
          <w:lang w:val="en-US"/>
        </w:rPr>
        <w:t>u</w:t>
      </w:r>
      <w:r w:rsidR="00177BD0">
        <w:rPr>
          <w:lang w:val="en-US"/>
        </w:rPr>
        <w:t>r and in which it would be computationally impractical to simulate the short term behavio</w:t>
      </w:r>
      <w:r w:rsidR="009861F9">
        <w:rPr>
          <w:lang w:val="en-US"/>
        </w:rPr>
        <w:t>u</w:t>
      </w:r>
      <w:r w:rsidR="00177BD0">
        <w:rPr>
          <w:lang w:val="en-US"/>
        </w:rPr>
        <w:t>r of the system over a long time</w:t>
      </w:r>
      <w:r w:rsidR="00985FBF">
        <w:rPr>
          <w:lang w:val="en-US"/>
        </w:rPr>
        <w:t xml:space="preserve"> </w:t>
      </w:r>
      <w:r w:rsidR="00F84936">
        <w:rPr>
          <w:lang w:val="en-US"/>
        </w:rPr>
        <w:fldChar w:fldCharType="begin" w:fldLock="1"/>
      </w:r>
      <w:r w:rsidR="00985FBF">
        <w:rPr>
          <w:lang w:val="en-US"/>
        </w:rPr>
        <w:instrText>ADDIN CSL_CITATION {"citationItems":[{"id":"ITEM-1","itemData":{"DOI":"10.1109/TII.2016.2530402","ISSN":"15513203","abstract":"In a smart power system, smart measurement infrastructure brings so many advantages in monitoring and control of the power system. This paper proposes an optimal real time transmission congestion management algorithm in a competitive electricity market based on real time measurements in a smart power system. Instead of static and fix thermal rates, quasi-dynamic thermal rates of transmission lines are calculated and used to solve the real time congestion management optimization problem. The optimization problem includes an optimal generation rescheduling and load shedding scheme to minimize the congestion management costs in a specific time interval. This time interval is introduced and defined as congestion clearing time in this paper. Furthermore, in the proposed algorithm, the congestion clearing time is divided into few subsequent subintervals aimed at considering loads and power system variations during rescheduling procedure. The proposed method could be used by system operators (SOs) to adapt the real time congestion management procedure with regard to the power system loads and generations, or system configuration variations during rescheduling and load shedding process. Numerical results obtained from running the algorithm on the modified IEEE 30-bus test system and the transmission network of Esfahan Regional Power Network (ERPN), as a real size power system, demonstrate convincingly the ability of the proposed algorithm in the congestion management cost and load shedding reduction, while it increases the power system security margin in intensive congestion cases significantly.","author":[{"dropping-particle":"","family":"Mahmoudian","given":"Mohammad","non-dropping-particle":"","parse-names":false,"suffix":""},{"dropping-particle":"","family":"Yousefi","given":"Gholamreza","non-dropping-particle":"","parse-names":false,"suffix":""}],"container-title":"IEEE Transactions on Industrial Informatics","id":"ITEM-1","issue":"2","issued":{"date-parts":[["2016","4","1"]]},"page":"745-754","publisher":"IEEE Computer Society","title":"Real Time Congestion Management in Power Systems Considering Quasi-Dynamic Thermal Rating and Congestion Clearing Time","type":"article-journal","volume":"12"},"uris":["http://www.mendeley.com/documents/?uuid=079fca67-b9b6-315d-80c1-52172a715cbf"]}],"mendeley":{"formattedCitation":"(Mahmoudian &amp; Yousefi, 2016)","plainTextFormattedCitation":"(Mahmoudian &amp; Yousefi, 2016)","previouslyFormattedCitation":"(Mahmoudian &amp; Yousefi, 2016)"},"properties":{"noteIndex":0},"schema":"https://github.com/citation-style-language/schema/raw/master/csl-citation.json"}</w:instrText>
      </w:r>
      <w:r w:rsidR="00F84936">
        <w:rPr>
          <w:lang w:val="en-US"/>
        </w:rPr>
        <w:fldChar w:fldCharType="separate"/>
      </w:r>
      <w:r w:rsidR="00985FBF" w:rsidRPr="00985FBF">
        <w:rPr>
          <w:noProof/>
          <w:lang w:val="en-US"/>
        </w:rPr>
        <w:t>(Mahmoudian &amp; Yousefi, 2016)</w:t>
      </w:r>
      <w:r w:rsidR="00F84936">
        <w:rPr>
          <w:lang w:val="en-US"/>
        </w:rPr>
        <w:fldChar w:fldCharType="end"/>
      </w:r>
      <w:r w:rsidR="00177BD0">
        <w:rPr>
          <w:lang w:val="en-US"/>
        </w:rPr>
        <w:t>.</w:t>
      </w:r>
    </w:p>
    <w:p w14:paraId="4755A714" w14:textId="7234B2C9" w:rsidR="00177BD0" w:rsidRDefault="00177BD0" w:rsidP="00BD1EBD">
      <w:pPr>
        <w:spacing w:line="480" w:lineRule="auto"/>
        <w:rPr>
          <w:lang w:val="en-US"/>
        </w:rPr>
      </w:pPr>
      <w:r>
        <w:rPr>
          <w:lang w:val="en-US"/>
        </w:rPr>
        <w:t xml:space="preserve">For </w:t>
      </w:r>
      <w:r w:rsidR="00F84936">
        <w:rPr>
          <w:lang w:val="en-US"/>
        </w:rPr>
        <w:t>example, the</w:t>
      </w:r>
      <w:r>
        <w:rPr>
          <w:lang w:val="en-US"/>
        </w:rPr>
        <w:t xml:space="preserve"> simulation of 10 seconds</w:t>
      </w:r>
      <w:r w:rsidR="00F84936">
        <w:rPr>
          <w:lang w:val="en-US"/>
        </w:rPr>
        <w:t xml:space="preserve"> of the behaviour</w:t>
      </w:r>
      <w:r>
        <w:rPr>
          <w:lang w:val="en-US"/>
        </w:rPr>
        <w:t xml:space="preserve"> of a dynamic system in MATLAB using default settings </w:t>
      </w:r>
      <w:r w:rsidR="00F84936">
        <w:rPr>
          <w:lang w:val="en-US"/>
        </w:rPr>
        <w:t xml:space="preserve">could take more than a </w:t>
      </w:r>
      <w:r>
        <w:rPr>
          <w:lang w:val="en-US"/>
        </w:rPr>
        <w:t>minute if short-term behavio</w:t>
      </w:r>
      <w:r w:rsidR="009861F9">
        <w:rPr>
          <w:lang w:val="en-US"/>
        </w:rPr>
        <w:t>u</w:t>
      </w:r>
      <w:r>
        <w:rPr>
          <w:lang w:val="en-US"/>
        </w:rPr>
        <w:t>r</w:t>
      </w:r>
      <w:r w:rsidR="009861F9">
        <w:rPr>
          <w:lang w:val="en-US"/>
        </w:rPr>
        <w:t>s</w:t>
      </w:r>
      <w:r>
        <w:rPr>
          <w:lang w:val="en-US"/>
        </w:rPr>
        <w:t xml:space="preserve"> such as transients are computed in the model using very short timesteps or continuous numerical integration. However, in a program like DigSILENT Powerfactory</w:t>
      </w:r>
      <w:r w:rsidR="00F84936">
        <w:rPr>
          <w:lang w:val="en-US"/>
        </w:rPr>
        <w:t xml:space="preserve"> with a bu</w:t>
      </w:r>
      <w:r w:rsidR="002219D0">
        <w:rPr>
          <w:lang w:val="en-US"/>
        </w:rPr>
        <w:t>i</w:t>
      </w:r>
      <w:r w:rsidR="00F84936">
        <w:rPr>
          <w:lang w:val="en-US"/>
        </w:rPr>
        <w:t>lt-in quasi</w:t>
      </w:r>
      <w:r w:rsidR="009861F9">
        <w:rPr>
          <w:lang w:val="en-US"/>
        </w:rPr>
        <w:t xml:space="preserve">-dynamic </w:t>
      </w:r>
      <w:r w:rsidR="00F84936">
        <w:rPr>
          <w:lang w:val="en-US"/>
        </w:rPr>
        <w:t>simulation toolbox</w:t>
      </w:r>
      <w:r>
        <w:rPr>
          <w:lang w:val="en-US"/>
        </w:rPr>
        <w:t xml:space="preserve">, such a simulation </w:t>
      </w:r>
      <w:r w:rsidR="00DF5FCA">
        <w:rPr>
          <w:lang w:val="en-US"/>
        </w:rPr>
        <w:t xml:space="preserve">for over a year </w:t>
      </w:r>
      <w:r>
        <w:rPr>
          <w:lang w:val="en-US"/>
        </w:rPr>
        <w:t xml:space="preserve">could be run much faster </w:t>
      </w:r>
      <w:r w:rsidR="00DF5FCA">
        <w:rPr>
          <w:lang w:val="en-US"/>
        </w:rPr>
        <w:t xml:space="preserve">(in a few seconds) </w:t>
      </w:r>
      <w:r>
        <w:rPr>
          <w:lang w:val="en-US"/>
        </w:rPr>
        <w:t>due to</w:t>
      </w:r>
      <w:r w:rsidR="002219D0">
        <w:rPr>
          <w:lang w:val="en-US"/>
        </w:rPr>
        <w:t xml:space="preserve"> the ability of the software to work</w:t>
      </w:r>
      <w:r>
        <w:rPr>
          <w:lang w:val="en-US"/>
        </w:rPr>
        <w:t xml:space="preserve"> according to the time resolution of the avail</w:t>
      </w:r>
      <w:r w:rsidR="002219D0">
        <w:rPr>
          <w:lang w:val="en-US"/>
        </w:rPr>
        <w:t>able data and take</w:t>
      </w:r>
      <w:r>
        <w:rPr>
          <w:lang w:val="en-US"/>
        </w:rPr>
        <w:t xml:space="preserve"> time steps that are just long enough</w:t>
      </w:r>
      <w:r w:rsidR="00F84936">
        <w:rPr>
          <w:lang w:val="en-US"/>
        </w:rPr>
        <w:t xml:space="preserve">, preserving computational accuracy </w:t>
      </w:r>
      <w:r w:rsidR="00586EBB">
        <w:rPr>
          <w:lang w:val="en-US"/>
        </w:rPr>
        <w:t>while not spending</w:t>
      </w:r>
      <w:r w:rsidR="002219D0">
        <w:rPr>
          <w:lang w:val="en-US"/>
        </w:rPr>
        <w:t xml:space="preserve"> precious</w:t>
      </w:r>
      <w:r w:rsidR="00586EBB">
        <w:rPr>
          <w:lang w:val="en-US"/>
        </w:rPr>
        <w:t xml:space="preserve"> computational time simulating the short-term behavio</w:t>
      </w:r>
      <w:r w:rsidR="009861F9">
        <w:rPr>
          <w:lang w:val="en-US"/>
        </w:rPr>
        <w:t>u</w:t>
      </w:r>
      <w:r w:rsidR="00586EBB">
        <w:rPr>
          <w:lang w:val="en-US"/>
        </w:rPr>
        <w:t>r of the system</w:t>
      </w:r>
      <w:r w:rsidR="00985FBF">
        <w:rPr>
          <w:lang w:val="en-US"/>
        </w:rPr>
        <w:t xml:space="preserve"> </w:t>
      </w:r>
      <w:r w:rsidR="00F84936">
        <w:rPr>
          <w:lang w:val="en-US"/>
        </w:rPr>
        <w:fldChar w:fldCharType="begin" w:fldLock="1"/>
      </w:r>
      <w:r w:rsidR="00F84936">
        <w:rPr>
          <w:lang w:val="en-US"/>
        </w:rPr>
        <w:instrText>ADDIN CSL_CITATION {"citationItems":[{"id":"ITEM-1","itemData":{"ISBN":"978-3-030-00350-0","abstract":"In this article, an electrical system with a study case is presented within the Colombian industrial electric sector in order to identify the changes in the electrical variables of a electrical network with distributed generation (DG). To achieve this, each present load in the 14-node IEEE system was modelled as daily demand curve of the Colombian industrial electric sector. In first place, the power dispatch of the 14-node IEEE system with DG was optimized through the particle swarm method. Afterwards, Quasi-Dynamic simulations were implemented throughout a 24-h period in the different nodes of the system with the purpose of estimate the transformers and line losses as well as the variations in the power and voltage profiles in the system nodes. DG systems supply effectively the demanded power however the voltage and power profiles resulting from Quasi-Dynamic simulations do not show significant changes in the behavior of the electrical network.","author":[{"dropping-particle":"","family":"Gaitan","given":"Luis Felipe","non-dropping-particle":"","parse-names":false,"suffix":""},{"dropping-particle":"","family":"Gómez","given":"Juan David","non-dropping-particle":"","parse-names":false,"suffix":""},{"dropping-particle":"","family":"Trujillo","given":"Edwin Rivas","non-dropping-particle":"","parse-names":false,"suffix":""}],"editor":[{"dropping-particle":"","family":"Figueroa-García","given":"Juan Carlos","non-dropping-particle":"","parse-names":false,"suffix":""},{"dropping-particle":"","family":"López-Santana","given":"Eduyn Ramiro","non-dropping-particle":"","parse-names":false,"suffix":""},{"dropping-particle":"","family":"Rodriguez-Molano","given":"José Ignacio","non-dropping-particle":"","parse-names":false,"suffix":""}],"id":"ITEM-1","issued":{"date-parts":[["2018"]]},"page":"497-508","publisher":"Springer International Publishing","publisher-place":"Cham","title":"Simulation of a 14 Node IEEE System with Distributed Generation Using Quasi-dynamic Analysis BT  - Applied Computer Sciences in Engineering","type":"paper-conference"},"uris":["http://www.mendeley.com/documents/?uuid=d36b1712-ecc9-4006-b91d-8400180c0f43"]}],"mendeley":{"formattedCitation":"(Gaitan et al., 2018)","plainTextFormattedCitation":"(Gaitan et al., 2018)","previouslyFormattedCitation":"(Gaitan et al., 2018)"},"properties":{"noteIndex":0},"schema":"https://github.com/citation-style-language/schema/raw/master/csl-citation.json"}</w:instrText>
      </w:r>
      <w:r w:rsidR="00F84936">
        <w:rPr>
          <w:lang w:val="en-US"/>
        </w:rPr>
        <w:fldChar w:fldCharType="separate"/>
      </w:r>
      <w:r w:rsidR="00F84936" w:rsidRPr="00F84936">
        <w:rPr>
          <w:noProof/>
          <w:lang w:val="en-US"/>
        </w:rPr>
        <w:t>(Gaitan et al., 2018)</w:t>
      </w:r>
      <w:r w:rsidR="00F84936">
        <w:rPr>
          <w:lang w:val="en-US"/>
        </w:rPr>
        <w:fldChar w:fldCharType="end"/>
      </w:r>
      <w:r>
        <w:rPr>
          <w:lang w:val="en-US"/>
        </w:rPr>
        <w:t>.</w:t>
      </w:r>
      <w:r w:rsidR="009321DE">
        <w:rPr>
          <w:lang w:val="en-US"/>
        </w:rPr>
        <w:t xml:space="preserve"> </w:t>
      </w:r>
    </w:p>
    <w:p w14:paraId="4F010648" w14:textId="77777777" w:rsidR="00D80502" w:rsidRDefault="00D80502" w:rsidP="00BD1EBD">
      <w:pPr>
        <w:spacing w:line="480" w:lineRule="auto"/>
        <w:rPr>
          <w:lang w:val="en-US"/>
        </w:rPr>
      </w:pPr>
    </w:p>
    <w:p w14:paraId="0BE57DC7" w14:textId="4330DBB2" w:rsidR="001646DE" w:rsidRDefault="002829A3" w:rsidP="00BD1EBD">
      <w:pPr>
        <w:pStyle w:val="Heading3"/>
        <w:spacing w:line="480" w:lineRule="auto"/>
      </w:pPr>
      <w:bookmarkStart w:id="31" w:name="_Toc110502569"/>
      <w:r>
        <w:t>2.8</w:t>
      </w:r>
      <w:r w:rsidR="001646DE">
        <w:tab/>
      </w:r>
      <w:r w:rsidR="00072952">
        <w:t>FUZZY LOGIC FOR SOCIAL ACCEPTABILITY ANALYSIS</w:t>
      </w:r>
      <w:bookmarkEnd w:id="31"/>
    </w:p>
    <w:p w14:paraId="43536C6A" w14:textId="06CF1576" w:rsidR="0086162A" w:rsidRDefault="001646DE" w:rsidP="00BD1EBD">
      <w:pPr>
        <w:spacing w:line="480" w:lineRule="auto"/>
        <w:rPr>
          <w:lang w:val="en-US"/>
        </w:rPr>
      </w:pPr>
      <w:r>
        <w:rPr>
          <w:lang w:val="en-US"/>
        </w:rPr>
        <w:t xml:space="preserve">Fuzzy logic is logic that does not deal exclusively with crisply definable variables but considers degrees of truth on a continuum </w:t>
      </w:r>
      <w:r>
        <w:rPr>
          <w:lang w:val="en-US"/>
        </w:rPr>
        <w:fldChar w:fldCharType="begin" w:fldLock="1"/>
      </w:r>
      <w:r w:rsidR="0086162A">
        <w:rPr>
          <w:lang w:val="en-US"/>
        </w:rPr>
        <w:instrText>ADDIN CSL_CITATION {"citationItems":[{"id":"ITEM-1","itemData":{"DOI":"10.1007/978-3-030-51920-9_12","ISSN":"18609503","abstract":"The purpose of this chapter is to highlight the main technologies of Artificial Intelligence used in power system where the traditional methods will not be able to catch up all condition of operating and dispatching. Moreover, for each technology mentioned in the chapter there is a brief description where is used exactly power system. Moreover, these methods improve the operation and productivity of the power system by controlling voltage, stability, power-flow, and load frequency. It also permits to control the network such as location, size, and control of equipment and devices. The automation of the power system ensures to support the restoration, fault diagnosis, management, and network security. It is necessary to identify the appropriate AI technique to use it in planning, monitoring, and controlling the power system. Finally the chapter will highlight briefly sustainable side of using AI in power system.","author":[{"dropping-particle":"","family":"Yousuf","given":"Hana","non-dropping-particle":"","parse-names":false,"suffix":""},{"dropping-particle":"","family":"Zainal","given":"Asma Y.","non-dropping-particle":"","parse-names":false,"suffix":""},{"dropping-particle":"","family":"Alshurideh","given":"Muhammad","non-dropping-particle":"","parse-names":false,"suffix":""},{"dropping-particle":"","family":"Salloum","given":"Said A.","non-dropping-particle":"","parse-names":false,"suffix":""}],"container-title":"Studies in Computational Intelligence","id":"ITEM-1","issued":{"date-parts":[["2021"]]},"page":"231-242","publisher":"Springer","title":"Artificial intelligence models in power system analysis","type":"article-journal","volume":"912"},"uris":["http://www.mendeley.com/documents/?uuid=f26e3c39-80ff-3f9c-a3be-bdf82b4a02bc"]}],"mendeley":{"formattedCitation":"(Yousuf et al., 2021)","plainTextFormattedCitation":"(Yousuf et al., 2021)","previouslyFormattedCitation":"(Yousuf et al., 2021)"},"properties":{"noteIndex":0},"schema":"https://github.com/citation-style-language/schema/raw/master/csl-citation.json"}</w:instrText>
      </w:r>
      <w:r>
        <w:rPr>
          <w:lang w:val="en-US"/>
        </w:rPr>
        <w:fldChar w:fldCharType="separate"/>
      </w:r>
      <w:r w:rsidRPr="001646DE">
        <w:rPr>
          <w:noProof/>
          <w:lang w:val="en-US"/>
        </w:rPr>
        <w:t>(Yousuf et al., 2021)</w:t>
      </w:r>
      <w:r>
        <w:rPr>
          <w:lang w:val="en-US"/>
        </w:rPr>
        <w:fldChar w:fldCharType="end"/>
      </w:r>
      <w:r>
        <w:rPr>
          <w:lang w:val="en-US"/>
        </w:rPr>
        <w:t>.</w:t>
      </w:r>
      <w:r w:rsidR="00A134AA">
        <w:rPr>
          <w:lang w:val="en-US"/>
        </w:rPr>
        <w:t xml:space="preserve">  The word “fuzzy” implies working with concepts that are not clearly or uniquely defined. For example, </w:t>
      </w:r>
      <w:r w:rsidR="0086162A">
        <w:rPr>
          <w:lang w:val="en-US"/>
        </w:rPr>
        <w:t>the statement that</w:t>
      </w:r>
      <w:r w:rsidR="00A134AA">
        <w:rPr>
          <w:lang w:val="en-US"/>
        </w:rPr>
        <w:t xml:space="preserve"> someone is tall is not straightforward to classify </w:t>
      </w:r>
      <w:r w:rsidR="009861F9">
        <w:rPr>
          <w:lang w:val="en-US"/>
        </w:rPr>
        <w:t>as</w:t>
      </w:r>
      <w:r w:rsidR="00A134AA">
        <w:rPr>
          <w:lang w:val="en-US"/>
        </w:rPr>
        <w:t xml:space="preserve"> true or false, because there is no universal threshold for tallness even when the height </w:t>
      </w:r>
      <w:r w:rsidR="0086162A">
        <w:rPr>
          <w:lang w:val="en-US"/>
        </w:rPr>
        <w:t xml:space="preserve">of such a person </w:t>
      </w:r>
      <w:r w:rsidR="00A134AA">
        <w:rPr>
          <w:lang w:val="en-US"/>
        </w:rPr>
        <w:t>is known.</w:t>
      </w:r>
      <w:r w:rsidR="0086162A">
        <w:rPr>
          <w:lang w:val="en-US"/>
        </w:rPr>
        <w:t xml:space="preserve"> Hence, instead of speaking of being either “tall” or “not tall”, a scale for </w:t>
      </w:r>
      <w:r w:rsidR="009861F9">
        <w:rPr>
          <w:lang w:val="en-US"/>
        </w:rPr>
        <w:t xml:space="preserve">the </w:t>
      </w:r>
      <w:r w:rsidR="0086162A">
        <w:rPr>
          <w:lang w:val="en-US"/>
        </w:rPr>
        <w:t xml:space="preserve">degree of tallness might be introduced. This way, the person’s degree of tallness could be defined by a number determined by a set of rules for calculating how well they fall into the “tall” category </w:t>
      </w:r>
      <w:r w:rsidR="0086162A">
        <w:rPr>
          <w:lang w:val="en-US"/>
        </w:rPr>
        <w:fldChar w:fldCharType="begin" w:fldLock="1"/>
      </w:r>
      <w:r w:rsidR="0086162A">
        <w:rPr>
          <w:lang w:val="en-US"/>
        </w:rPr>
        <w:instrText>ADDIN CSL_CITATION {"citationItems":[{"id":"ITEM-1","itemData":{"author":[{"dropping-particle":"","family":"Yokoyama","given":"R","non-dropping-particle":"","parse-names":false,"suffix":""},{"dropping-particle":"","family":"Zhu","given":"J","non-dropping-particle":"","parse-names":false,"suffix":""}],"container-title":"Control","id":"ITEM-1","issued":{"date-parts":[["2000"]]},"page":"87","title":"Tutorial on Fuzzy Logic Applications in Power Systems","type":"article-journal"},"uris":["http://www.mendeley.com/documents/?uuid=9eb92bb1-f66e-4f0c-abd1-d30e680efb1d"]}],"mendeley":{"formattedCitation":"(Yokoyama &amp; Zhu, 2000)","plainTextFormattedCitation":"(Yokoyama &amp; Zhu, 2000)","previouslyFormattedCitation":"(Yokoyama &amp; Zhu, 2000)"},"properties":{"noteIndex":0},"schema":"https://github.com/citation-style-language/schema/raw/master/csl-citation.json"}</w:instrText>
      </w:r>
      <w:r w:rsidR="0086162A">
        <w:rPr>
          <w:lang w:val="en-US"/>
        </w:rPr>
        <w:fldChar w:fldCharType="separate"/>
      </w:r>
      <w:r w:rsidR="0086162A" w:rsidRPr="0086162A">
        <w:rPr>
          <w:noProof/>
          <w:lang w:val="en-US"/>
        </w:rPr>
        <w:t>(Yokoyama &amp; Zhu, 2000)</w:t>
      </w:r>
      <w:r w:rsidR="0086162A">
        <w:rPr>
          <w:lang w:val="en-US"/>
        </w:rPr>
        <w:fldChar w:fldCharType="end"/>
      </w:r>
      <w:r w:rsidR="0086162A">
        <w:rPr>
          <w:lang w:val="en-US"/>
        </w:rPr>
        <w:t>.</w:t>
      </w:r>
    </w:p>
    <w:p w14:paraId="2B24AF80" w14:textId="2BF10CA5" w:rsidR="001646DE" w:rsidRDefault="00A134AA" w:rsidP="00BD1EBD">
      <w:pPr>
        <w:spacing w:line="480" w:lineRule="auto"/>
        <w:rPr>
          <w:lang w:val="en-US"/>
        </w:rPr>
      </w:pPr>
      <w:r>
        <w:rPr>
          <w:lang w:val="en-US"/>
        </w:rPr>
        <w:t xml:space="preserve"> Fuzzy logic systems are used for decision</w:t>
      </w:r>
      <w:r w:rsidR="009861F9">
        <w:rPr>
          <w:lang w:val="en-US"/>
        </w:rPr>
        <w:t>-</w:t>
      </w:r>
      <w:r>
        <w:rPr>
          <w:lang w:val="en-US"/>
        </w:rPr>
        <w:t xml:space="preserve">making in a wide variety of applications in which the </w:t>
      </w:r>
      <w:r w:rsidR="0086162A">
        <w:rPr>
          <w:lang w:val="en-US"/>
        </w:rPr>
        <w:t xml:space="preserve">variables in question are not crisply defined. For example, whether a microgrid is acceptable is not a crisply defined variable. The degree of truth of the statement </w:t>
      </w:r>
      <w:r w:rsidR="00AD1F16">
        <w:rPr>
          <w:lang w:val="en-US"/>
        </w:rPr>
        <w:t>“</w:t>
      </w:r>
      <w:r w:rsidR="0086162A">
        <w:rPr>
          <w:lang w:val="en-US"/>
        </w:rPr>
        <w:t>the microgrid is acceptable”</w:t>
      </w:r>
      <w:r w:rsidR="00AD1F16">
        <w:rPr>
          <w:lang w:val="en-US"/>
        </w:rPr>
        <w:t xml:space="preserve"> </w:t>
      </w:r>
      <w:r w:rsidR="0086162A">
        <w:rPr>
          <w:lang w:val="en-US"/>
        </w:rPr>
        <w:t>can be determined</w:t>
      </w:r>
      <w:r w:rsidR="00AD1F16">
        <w:rPr>
          <w:lang w:val="en-US"/>
        </w:rPr>
        <w:t xml:space="preserve"> by a number representing the</w:t>
      </w:r>
      <w:r w:rsidR="0086162A">
        <w:rPr>
          <w:lang w:val="en-US"/>
        </w:rPr>
        <w:t xml:space="preserve"> degree of </w:t>
      </w:r>
      <w:r w:rsidR="009861F9">
        <w:rPr>
          <w:lang w:val="en-US"/>
        </w:rPr>
        <w:t xml:space="preserve">the </w:t>
      </w:r>
      <w:r w:rsidR="0086162A">
        <w:rPr>
          <w:lang w:val="en-US"/>
        </w:rPr>
        <w:t xml:space="preserve">acceptableness of such </w:t>
      </w:r>
      <w:r w:rsidR="009861F9">
        <w:rPr>
          <w:lang w:val="en-US"/>
        </w:rPr>
        <w:t xml:space="preserve">a </w:t>
      </w:r>
      <w:r w:rsidR="0086162A">
        <w:rPr>
          <w:lang w:val="en-US"/>
        </w:rPr>
        <w:t>microgrid. The system that calculates the degree of truth of the various fuzzy criteria and computes the degree of truth of a certain outcome is known as a fuzzy inference system</w:t>
      </w:r>
      <w:r w:rsidR="00F837A1">
        <w:rPr>
          <w:lang w:val="en-US"/>
        </w:rPr>
        <w:t xml:space="preserve"> </w:t>
      </w:r>
      <w:r w:rsidR="00F837A1">
        <w:rPr>
          <w:lang w:val="en-US"/>
        </w:rPr>
        <w:fldChar w:fldCharType="begin" w:fldLock="1"/>
      </w:r>
      <w:r w:rsidR="00876066">
        <w:rPr>
          <w:lang w:val="en-US"/>
        </w:rPr>
        <w:instrText>ADDIN CSL_CITATION {"citationItems":[{"id":"ITEM-1","itemData":{"DOI":"10.1007/978-3-319-25964-2_2","ISSN":"1860949X","abstract":"The study offers an introduction to the paradigm, concepts and algorithms of Computational Intelligence (CI). We elaborate on the main technologies of CI: neural networks, fuzzy sets or Granular Computing, in general, and evolutionary optimization and identify their focal points and stress an overall synergistic character of these technologies, which ultimately gives rise to the highly symbiotic processing environment. Furthermore, the main advantages and limitations of the CI technologies are discussed. The key linkages of CI with the area of Software Engineering, especially its quantitative facet, are stressed.","author":[{"dropping-particle":"","family":"Pedrycz","given":"Witold","non-dropping-particle":"","parse-names":false,"suffix":""},{"dropping-particle":"","family":"Sillitti","given":"Alberto","non-dropping-particle":"","parse-names":false,"suffix":""},{"dropping-particle":"","family":"Succi","given":"Giancarlo","non-dropping-particle":"","parse-names":false,"suffix":""}],"container-title":"Studies in Computational Intelligence","id":"ITEM-1","issued":{"date-parts":[["2016"]]},"page":"13-31","title":"Computational intelligence: An introduction","type":"article","volume":"617"},"uris":["http://www.mendeley.com/documents/?uuid=8d6f8de0-2618-4a47-98f5-d6a0b0858cf2"]}],"mendeley":{"formattedCitation":"(Pedrycz et al., 2016)","plainTextFormattedCitation":"(Pedrycz et al., 2016)","previouslyFormattedCitation":"(Pedrycz et al., 2016)"},"properties":{"noteIndex":0},"schema":"https://github.com/citation-style-language/schema/raw/master/csl-citation.json"}</w:instrText>
      </w:r>
      <w:r w:rsidR="00F837A1">
        <w:rPr>
          <w:lang w:val="en-US"/>
        </w:rPr>
        <w:fldChar w:fldCharType="separate"/>
      </w:r>
      <w:r w:rsidR="00F837A1" w:rsidRPr="00F837A1">
        <w:rPr>
          <w:noProof/>
          <w:lang w:val="en-US"/>
        </w:rPr>
        <w:t>(Pedrycz et al., 2016)</w:t>
      </w:r>
      <w:r w:rsidR="00F837A1">
        <w:rPr>
          <w:lang w:val="en-US"/>
        </w:rPr>
        <w:fldChar w:fldCharType="end"/>
      </w:r>
      <w:r w:rsidR="0086162A">
        <w:rPr>
          <w:lang w:val="en-US"/>
        </w:rPr>
        <w:t xml:space="preserve">. In literature, </w:t>
      </w:r>
      <w:r w:rsidR="009861F9">
        <w:rPr>
          <w:lang w:val="en-US"/>
        </w:rPr>
        <w:t xml:space="preserve">the </w:t>
      </w:r>
      <w:r w:rsidR="0086162A">
        <w:rPr>
          <w:lang w:val="en-US"/>
        </w:rPr>
        <w:t xml:space="preserve">social acceptability of </w:t>
      </w:r>
      <w:r w:rsidR="00F837A1">
        <w:rPr>
          <w:lang w:val="en-US"/>
        </w:rPr>
        <w:t xml:space="preserve">technical projects (such as a </w:t>
      </w:r>
      <w:r w:rsidR="0086162A">
        <w:rPr>
          <w:lang w:val="en-US"/>
        </w:rPr>
        <w:t>microgrid</w:t>
      </w:r>
      <w:r w:rsidR="00F837A1">
        <w:rPr>
          <w:lang w:val="en-US"/>
        </w:rPr>
        <w:t>)</w:t>
      </w:r>
      <w:r w:rsidR="0086162A">
        <w:rPr>
          <w:lang w:val="en-US"/>
        </w:rPr>
        <w:t xml:space="preserve"> is considered in terms of various combinations of important factors</w:t>
      </w:r>
      <w:r w:rsidR="00AD1F16">
        <w:rPr>
          <w:lang w:val="en-US"/>
        </w:rPr>
        <w:t xml:space="preserve"> </w:t>
      </w:r>
      <w:r w:rsidR="00876066">
        <w:rPr>
          <w:lang w:val="en-US"/>
        </w:rPr>
        <w:fldChar w:fldCharType="begin" w:fldLock="1"/>
      </w:r>
      <w:r w:rsidR="00C23D40">
        <w:rPr>
          <w:lang w:val="en-US"/>
        </w:rPr>
        <w:instrText>ADDIN CSL_CITATION {"citationItems":[{"id":"ITEM-1","itemData":{"DOI":"10.5004/dwt.2019.24642","abstract":"Social acceptance of water quality in urban areas depends on the perception and awareness of the stakeholders and the wider public. Moreover, the significance of social trust in stakeholders appears to be an influential factor affecting social support of water quality. However, efforts on understanding , communicating and engaging with the public and the stakeholder community still remain under examination. Urban water resources management problems are often associated with ecological, political, social and economic development and have caused critical concern to both national and local competent authorities in almost every country for many years. When focusing on water quality, key indicators are used to measure the performance (KPIs) of water companies in evaluating their success to customer satisfaction with zero defects while minimizing the environmental footprint caused by the intermediate procedures up to the point of receiving potable tap water. Stakeholder interviews reveal that these KPIs can be identified from an economic, social, environmental and water company perspective, and they can span from the efficiency of water distribution to operational water losses minimization procedures and from customer supply coverage to aesthetic test compliance. Therefore, future policy for water quality should be designed in a strategic framework, taking into consideration key sustainability indicators emanating from the aforementioned perspectives. In the current paper, a complete showcase is illustrated on how to mobilize local stakeholder's knowledge to extract KPIs for supporting effective strategies by local water companies and initiating policy making by the competent authorities in the process of keeping high water quality standards in a sustainable water resources management environment. Specifically, the application of soft computing methods enables the conceptualization and categorization of stakeholders' notion of strategies that need to be followed. This conceptualization allowed the involvement of fuzzy inference systems to simulate the effects of several policies in a multi-criteria analysis. According to the features, the policy maker initiates, the proposed model succeeds to identify the preferred policy options that can be used in achieving minimal environmental footprint.","author":[{"dropping-particle":"","family":"Lakioti","given":"En","non-dropping-particle":"","parse-names":false,"suffix":""},{"dropping-particle":"","family":"Samaras","given":"Petros","non-dropping-particle":"","parse-names":false,"suffix":""},{"dropping-particle":"","family":"Kokkinos","given":"Konstantinos","non-dropping-particle":"","parse-names":false,"suffix":""},{"dropping-particle":"","family":"Lakioti","given":"Evangelia","non-dropping-particle":"","parse-names":false,"suffix":""},{"dropping-particle":"","family":"Karayannis","given":"Vayos","non-dropping-particle":"","parse-names":false,"suffix":""}],"container-title":"Fifth International Conference on Small and Decentralized Water and Wastewater Treatment Plants","id":"ITEM-1","issued":{"date-parts":[["2018"]]},"page":"26-29","publisher":"Desalination Publications","publisher-place":"Thessaloniki, Greece","title":"Evaluation of public perception on key sustainability indicators for drinking water quality by fuzzy logic methodologies","type":"paper-conference"},"uris":["http://www.mendeley.com/documents/?uuid=83377d85-7121-3811-8aa3-e71acec3f23a"]}],"mendeley":{"formattedCitation":"(Lakioti et al., 2018)","plainTextFormattedCitation":"(Lakioti et al., 2018)","previouslyFormattedCitation":"(Lakioti et al., 2018)"},"properties":{"noteIndex":0},"schema":"https://github.com/citation-style-language/schema/raw/master/csl-citation.json"}</w:instrText>
      </w:r>
      <w:r w:rsidR="00876066">
        <w:rPr>
          <w:lang w:val="en-US"/>
        </w:rPr>
        <w:fldChar w:fldCharType="separate"/>
      </w:r>
      <w:r w:rsidR="00876066" w:rsidRPr="00876066">
        <w:rPr>
          <w:noProof/>
          <w:lang w:val="en-US"/>
        </w:rPr>
        <w:t>(Lakioti et al., 2018)</w:t>
      </w:r>
      <w:r w:rsidR="00876066">
        <w:rPr>
          <w:lang w:val="en-US"/>
        </w:rPr>
        <w:fldChar w:fldCharType="end"/>
      </w:r>
      <w:r w:rsidR="0086162A">
        <w:rPr>
          <w:lang w:val="en-US"/>
        </w:rPr>
        <w:t xml:space="preserve">. No universal rule base is </w:t>
      </w:r>
      <w:r w:rsidR="00BD1EBD">
        <w:rPr>
          <w:lang w:val="en-US"/>
        </w:rPr>
        <w:t>specified</w:t>
      </w:r>
      <w:r w:rsidR="0086162A">
        <w:rPr>
          <w:lang w:val="en-US"/>
        </w:rPr>
        <w:t xml:space="preserve"> in literature as this is recognized as being location and situation-dependent </w:t>
      </w:r>
      <w:r w:rsidR="0086162A">
        <w:rPr>
          <w:lang w:val="en-US"/>
        </w:rPr>
        <w:fldChar w:fldCharType="begin" w:fldLock="1"/>
      </w:r>
      <w:r w:rsidR="00BD1EBD">
        <w:rPr>
          <w:lang w:val="en-US"/>
        </w:rPr>
        <w:instrText>ADDIN CSL_CITATION {"citationItems":[{"id":"ITEM-1","itemData":{"DOI":"10.1016/J.ENCONMAN.2019.112066","ISSN":"0196-8904","abstract":"Constructing an economical wind-PV-seawater pumped storage (SPS) plant is crucial to promote the complementarity of wind and PV resources in time and space dimensions and to reduce energy abandonment caused by voltage instability. It is also beneficial to realizing long-time sustainable development objectives for offshore areas and even for the whole country. To select the optimal site of wind-PV-SPS power plants with massive difficulties lying in different attitudes of decision makers to loss risk, uncertainties of decision-making environment and various attributes of evaluation alternatives, a fuzzy multi criteria decision making based a two-stage evaluation mode is proposed. Firstly, two sets of criteria systems, representing veto selection of regional resources and the conditions of sustainable development described by triangular intuitionistic fuzzy numbers (TIFNs), are established to ensure the scientificality and comprehensiveness of the evaluation process. Then, alternatives are preliminarily selected through veto identification. Afterwards, criteria weights of the second evaluation stage determined by the entropy method are incorporated within TODIM (an acronym in Portuguese of interactive and multiple attribute decision making) to rank potential wind-PV-SPS objects. Finally, to validate the effectiveness of the proposed model, a case study in China is conducted and the calculation result shows that Qingtian Bay in Zhou Shan is the best.","author":[{"dropping-particle":"","family":"Wu","given":"Yunna","non-dropping-particle":"","parse-names":false,"suffix":""},{"dropping-particle":"","family":"Zhang","given":"Ting","non-dropping-particle":"","parse-names":false,"suffix":""},{"dropping-particle":"","family":"Xu","given":"Chuanbo","non-dropping-particle":"","parse-names":false,"suffix":""},{"dropping-particle":"","family":"Zhang","given":"Buyuan","non-dropping-particle":"","parse-names":false,"suffix":""},{"dropping-particle":"","family":"Li","given":"Lingwenying","non-dropping-particle":"","parse-names":false,"suffix":""},{"dropping-particle":"","family":"Ke","given":"Yiming","non-dropping-particle":"","parse-names":false,"suffix":""},{"dropping-particle":"","family":"Yan","given":"Yudong","non-dropping-particle":"","parse-names":false,"suffix":""},{"dropping-particle":"","family":"Xu","given":"Ruhang","non-dropping-particle":"","parse-names":false,"suffix":""}],"container-title":"Energy Conversion and Management","id":"ITEM-1","issued":{"date-parts":[["2019","11","1"]]},"page":"112066","publisher":"Pergamon","title":"Optimal location selection for offshore wind-PV-seawater pumped storage power plant using a hybrid MCDM approach: A two-stage framework","type":"article-journal","volume":"199"},"uris":["http://www.mendeley.com/documents/?uuid=ba090fe2-28f2-3aff-ab81-6630a52f04ef"]},{"id":"ITEM-2","itemData":{"DOI":"10.5004/dwt.2019.24642","abstract":"Social acceptance of water quality in urban areas depends on the perception and awareness of the stakeholders and the wider public. Moreover, the significance of social trust in stakeholders appears to be an influential factor affecting social support of water quality. However, efforts on understanding , communicating and engaging with the public and the stakeholder community still remain under examination. Urban water resources management problems are often associated with ecological, political, social and economic development and have caused critical concern to both national and local competent authorities in almost every country for many years. When focusing on water quality, key indicators are used to measure the performance (KPIs) of water companies in evaluating their success to customer satisfaction with zero defects while minimizing the environmental footprint caused by the intermediate procedures up to the point of receiving potable tap water. Stakeholder interviews reveal that these KPIs can be identified from an economic, social, environmental and water company perspective, and they can span from the efficiency of water distribution to operational water losses minimization procedures and from customer supply coverage to aesthetic test compliance. Therefore, future policy for water quality should be designed in a strategic framework, taking into consideration key sustainability indicators emanating from the aforementioned perspectives. In the current paper, a complete showcase is illustrated on how to mobilize local stakeholder's knowledge to extract KPIs for supporting effective strategies by local water companies and initiating policy making by the competent authorities in the process of keeping high water quality standards in a sustainable water resources management environment. Specifically, the application of soft computing methods enables the conceptualization and categorization of stakeholders' notion of strategies that need to be followed. This conceptualization allowed the involvement of fuzzy inference systems to simulate the effects of several policies in a multi-criteria analysis. According to the features, the policy maker initiates, the proposed model succeeds to identify the preferred policy options that can be used in achieving minimal environmental footprint.","author":[{"dropping-particle":"","family":"Lakioti","given":"En","non-dropping-particle":"","parse-names":false,"suffix":""},{"dropping-particle":"","family":"Samaras","given":"Petros","non-dropping-particle":"","parse-names":false,"suffix":""},{"dropping-particle":"","family":"Kokkinos","given":"Konstantinos","non-dropping-particle":"","parse-names":false,"suffix":""},{"dropping-particle":"","family":"Lakioti","given":"Evangelia","non-dropping-particle":"","parse-names":false,"suffix":""},{"dropping-particle":"","family":"Karayannis","given":"Vayos","non-dropping-particle":"","parse-names":false,"suffix":""}],"container-title":"Fifth International Conference on Small and Decentralized Water and Wastewater Treatment Plants","id":"ITEM-2","issued":{"date-parts":[["2018"]]},"page":"26-29","publisher":"Desalination Publications","publisher-place":"Thessaloniki, Greece","title":"Evaluation of public perception on key sustainability indicators for drinking water quality by fuzzy logic methodologies","type":"paper-conference"},"uris":["http://www.mendeley.com/documents/?uuid=83377d85-7121-3811-8aa3-e71acec3f23a"]}],"mendeley":{"formattedCitation":"(Lakioti et al., 2018; Wu, Zhang, et al., 2019)","plainTextFormattedCitation":"(Lakioti et al., 2018; Wu, Zhang, et al., 2019)","previouslyFormattedCitation":"(Lakioti et al., 2018; Wu, Zhang, et al., 2019)"},"properties":{"noteIndex":0},"schema":"https://github.com/citation-style-language/schema/raw/master/csl-citation.json"}</w:instrText>
      </w:r>
      <w:r w:rsidR="0086162A">
        <w:rPr>
          <w:lang w:val="en-US"/>
        </w:rPr>
        <w:fldChar w:fldCharType="separate"/>
      </w:r>
      <w:r w:rsidR="0086162A" w:rsidRPr="0086162A">
        <w:rPr>
          <w:noProof/>
          <w:lang w:val="en-US"/>
        </w:rPr>
        <w:t>(Lakioti et al., 2018; Wu, Zhang, et al., 2019)</w:t>
      </w:r>
      <w:r w:rsidR="0086162A">
        <w:rPr>
          <w:lang w:val="en-US"/>
        </w:rPr>
        <w:fldChar w:fldCharType="end"/>
      </w:r>
      <w:r w:rsidR="0086162A">
        <w:rPr>
          <w:lang w:val="en-US"/>
        </w:rPr>
        <w:t xml:space="preserve">. However, the important criteria that are examined by fuzzy systems </w:t>
      </w:r>
      <w:r w:rsidR="009861F9">
        <w:rPr>
          <w:lang w:val="en-US"/>
        </w:rPr>
        <w:t>used in methodologies</w:t>
      </w:r>
      <w:r w:rsidR="00BD1EBD">
        <w:rPr>
          <w:lang w:val="en-US"/>
        </w:rPr>
        <w:t xml:space="preserve"> </w:t>
      </w:r>
      <w:r w:rsidR="0086162A">
        <w:rPr>
          <w:lang w:val="en-US"/>
        </w:rPr>
        <w:t>for microgrid acceptability</w:t>
      </w:r>
      <w:r w:rsidR="00BD1EBD">
        <w:rPr>
          <w:lang w:val="en-US"/>
        </w:rPr>
        <w:t xml:space="preserve"> assessment</w:t>
      </w:r>
      <w:r w:rsidR="0086162A">
        <w:rPr>
          <w:lang w:val="en-US"/>
        </w:rPr>
        <w:t xml:space="preserve"> are</w:t>
      </w:r>
      <w:r w:rsidR="009861F9">
        <w:rPr>
          <w:lang w:val="en-US"/>
        </w:rPr>
        <w:t xml:space="preserve"> the</w:t>
      </w:r>
      <w:r w:rsidR="0086162A">
        <w:rPr>
          <w:lang w:val="en-US"/>
        </w:rPr>
        <w:t xml:space="preserve"> impact on land use, water resources, </w:t>
      </w:r>
      <w:r w:rsidR="00BD1EBD">
        <w:rPr>
          <w:lang w:val="en-US"/>
        </w:rPr>
        <w:t xml:space="preserve">air quality, acoustic impact, and visual impact </w:t>
      </w:r>
      <w:r w:rsidR="00BD1EBD">
        <w:rPr>
          <w:lang w:val="en-US"/>
        </w:rPr>
        <w:fldChar w:fldCharType="begin" w:fldLock="1"/>
      </w:r>
      <w:r w:rsidR="00F837A1">
        <w:rPr>
          <w:lang w:val="en-US"/>
        </w:rPr>
        <w:instrText>ADDIN CSL_CITATION {"citationItems":[{"id":"ITEM-1","itemData":{"DOI":"10.1007/978-3-319-98687-6_4","ISBN":"9783319986876","abstract":"Over the last few years, the need for electricity has increased in households as new and different appliances are progressively introduced. This increased demand for electricity raises a concern to many developed and developing countries since it is a human's responsibility to assure a sustainable future. Energy demand management can be an effective approach to reduce the energy consumption; this approach requires final consumers to be empowered with more information for improving their decision-making and actions on the energy usage through increased awareness. Therefore, metering and behind the meter monitoring systems have a crucial role in the exploitation of this potential in the customer side. A significant disadvantage of traditional meters is the fact that they do not provide detailed information to the customers, which is achieved with the help of smart meters. A smart meter allows the customers to have access to the information about electricity consumption of the appliances in their houses. The acceptance of smart meters by customers is the fundamental step to achieve the potential carbon emission reductions that are provided by the use of advanced metering infrastructures. The smart meter is an advanced energy meter that measures consumption of electrical energy such as a traditional meter but also provides additional information in real time, making it the key element of the new energy demand management system. Integration of smart meters into electricity grids implies the implementation of several technologies, depending on the features that each situation request. The design of a smart meter has been in constant development since it is increasingly necessary to satisfy both the requirements of the utility company and those of the customer. Therefore, smart metering provides benefits to the energy utilities optimizing their business, and beyond that it can provide advantages to the final customers. All over the world many smart metering projects have been developed. However, it is still not entirely clear which are the associated costs, the characteristics, and the mechanisms internal to projects that bring advantages and benefits for the different concerned parties. The smart metering methods and the communication technologies used in smart grid are being substantially studied due to widespread applications of smart grid. The monitoring and control processes are largely used in industrial systems. Nevertheless, the energy management requi…","author":[{"dropping-particle":"","family":"Souza","given":"Antonio Carlos Zambroni","non-dropping-particle":"De","parse-names":false,"suffix":""},{"dropping-particle":"","family":"Castilla","given":"Miguel","non-dropping-particle":"","parse-names":false,"suffix":""}],"container-title":"Microgrids Design and Implementation","id":"ITEM-1","issued":{"date-parts":[["2019"]]},"title":"Microgrids Design and Implementation","type":"book"},"uris":["http://www.mendeley.com/documents/?uuid=224a7c75-21d5-4ca4-a224-ec920469547d"]}],"mendeley":{"formattedCitation":"(De Souza &amp; Castilla, 2019)","plainTextFormattedCitation":"(De Souza &amp; Castilla, 2019)","previouslyFormattedCitation":"(De Souza &amp; Castilla, 2019)"},"properties":{"noteIndex":0},"schema":"https://github.com/citation-style-language/schema/raw/master/csl-citation.json"}</w:instrText>
      </w:r>
      <w:r w:rsidR="00BD1EBD">
        <w:rPr>
          <w:lang w:val="en-US"/>
        </w:rPr>
        <w:fldChar w:fldCharType="separate"/>
      </w:r>
      <w:r w:rsidR="00BD1EBD" w:rsidRPr="00BD1EBD">
        <w:rPr>
          <w:noProof/>
          <w:lang w:val="en-US"/>
        </w:rPr>
        <w:t>(De Souza &amp; Castilla, 2019)</w:t>
      </w:r>
      <w:r w:rsidR="00BD1EBD">
        <w:rPr>
          <w:lang w:val="en-US"/>
        </w:rPr>
        <w:fldChar w:fldCharType="end"/>
      </w:r>
      <w:r w:rsidR="00BD1EBD">
        <w:rPr>
          <w:lang w:val="en-US"/>
        </w:rPr>
        <w:t>.</w:t>
      </w:r>
    </w:p>
    <w:p w14:paraId="69B25B8A" w14:textId="4934795F" w:rsidR="00FA0FF4" w:rsidRDefault="00FA0FF4" w:rsidP="00BD1EBD">
      <w:pPr>
        <w:spacing w:line="480" w:lineRule="auto"/>
        <w:rPr>
          <w:lang w:val="en-US"/>
        </w:rPr>
      </w:pPr>
    </w:p>
    <w:p w14:paraId="470829B6" w14:textId="50721182" w:rsidR="00FA0FF4" w:rsidRDefault="00FA0FF4" w:rsidP="00FA0FF4">
      <w:pPr>
        <w:spacing w:line="480" w:lineRule="auto"/>
        <w:rPr>
          <w:lang w:val="en-US"/>
        </w:rPr>
      </w:pPr>
      <w:r>
        <w:rPr>
          <w:lang w:val="en-US"/>
        </w:rPr>
        <w:t xml:space="preserve">In search of a method for social acceptability analysis suitable for a study of this size, it was found that most feasibility study articles in literature written from an electrical power systems research perspective do not have a specific algorithm or model for assessing the social acceptability of proposed renewable energy technologies, but rather refer to </w:t>
      </w:r>
      <w:r w:rsidR="009861F9">
        <w:rPr>
          <w:lang w:val="en-US"/>
        </w:rPr>
        <w:t>several</w:t>
      </w:r>
      <w:r>
        <w:rPr>
          <w:lang w:val="en-US"/>
        </w:rPr>
        <w:t xml:space="preserve"> qualitative factors. For example, wind turbines are known to be comparatively noisy. As far as health and toxicity concerns go, renewable energy is generally safer than conventional energy, especially when deployed on relatively small scales. Health and safety are at less risk compared to conventional power generation systems. However, local concerns could mean that certain stresses on the lives of those living in such communities may be exacerbated, threatening </w:t>
      </w:r>
      <w:r w:rsidR="009861F9">
        <w:rPr>
          <w:lang w:val="en-US"/>
        </w:rPr>
        <w:t xml:space="preserve">the </w:t>
      </w:r>
      <w:r>
        <w:rPr>
          <w:lang w:val="en-US"/>
        </w:rPr>
        <w:t xml:space="preserve">comfort of people in an area, which is why the analysis is labelled as a social acceptability analysis as opposed to an environmental impact assessment </w:t>
      </w:r>
      <w:r>
        <w:rPr>
          <w:lang w:val="en-US"/>
        </w:rPr>
        <w:fldChar w:fldCharType="begin" w:fldLock="1"/>
      </w:r>
      <w:r>
        <w:rPr>
          <w:lang w:val="en-US"/>
        </w:rPr>
        <w:instrText>ADDIN CSL_CITATION {"citationItems":[{"id":"ITEM-1","itemData":{"DOI":"10.1007/978-3-319-98687-6_4","ISBN":"9783319986876","abstract":"Over the last few years, the need for electricity has increased in households as new and different appliances are progressively introduced. This increased demand for electricity raises a concern to many developed and developing countries since it is a human's responsibility to assure a sustainable future. Energy demand management can be an effective approach to reduce the energy consumption; this approach requires final consumers to be empowered with more information for improving their decision-making and actions on the energy usage through increased awareness. Therefore, metering and behind the meter monitoring systems have a crucial role in the exploitation of this potential in the customer side. A significant disadvantage of traditional meters is the fact that they do not provide detailed information to the customers, which is achieved with the help of smart meters. A smart meter allows the customers to have access to the information about electricity consumption of the appliances in their houses. The acceptance of smart meters by customers is the fundamental step to achieve the potential carbon emission reductions that are provided by the use of advanced metering infrastructures. The smart meter is an advanced energy meter that measures consumption of electrical energy such as a traditional meter but also provides additional information in real time, making it the key element of the new energy demand management system. Integration of smart meters into electricity grids implies the implementation of several technologies, depending on the features that each situation request. The design of a smart meter has been in constant development since it is increasingly necessary to satisfy both the requirements of the utility company and those of the customer. Therefore, smart metering provides benefits to the energy utilities optimizing their business, and beyond that it can provide advantages to the final customers. All over the world many smart metering projects have been developed. However, it is still not entirely clear which are the associated costs, the characteristics, and the mechanisms internal to projects that bring advantages and benefits for the different concerned parties. The smart metering methods and the communication technologies used in smart grid are being substantially studied due to widespread applications of smart grid. The monitoring and control processes are largely used in industrial systems. Nevertheless, the energy management requi…","author":[{"dropping-particle":"","family":"Souza","given":"Antonio Carlos Zambroni","non-dropping-particle":"De","parse-names":false,"suffix":""},{"dropping-particle":"","family":"Castilla","given":"Miguel","non-dropping-particle":"","parse-names":false,"suffix":""}],"container-title":"Microgrids Design and Implementation","id":"ITEM-1","issued":{"date-parts":[["2019"]]},"title":"Microgrids Design and Implementation","type":"book"},"uris":["http://www.mendeley.com/documents/?uuid=224a7c75-21d5-4ca4-a224-ec920469547d"]}],"mendeley":{"formattedCitation":"(De Souza &amp; Castilla, 2019)","plainTextFormattedCitation":"(De Souza &amp; Castilla, 2019)","previouslyFormattedCitation":"(De Souza &amp; Castilla, 2019)"},"properties":{"noteIndex":0},"schema":"https://github.com/citation-style-language/schema/raw/master/csl-citation.json"}</w:instrText>
      </w:r>
      <w:r>
        <w:rPr>
          <w:lang w:val="en-US"/>
        </w:rPr>
        <w:fldChar w:fldCharType="separate"/>
      </w:r>
      <w:r w:rsidRPr="002D44E5">
        <w:rPr>
          <w:noProof/>
          <w:lang w:val="en-US"/>
        </w:rPr>
        <w:t>(De Souza &amp; Castilla, 2019)</w:t>
      </w:r>
      <w:r>
        <w:rPr>
          <w:lang w:val="en-US"/>
        </w:rPr>
        <w:fldChar w:fldCharType="end"/>
      </w:r>
      <w:r>
        <w:rPr>
          <w:lang w:val="en-US"/>
        </w:rPr>
        <w:t xml:space="preserve">. </w:t>
      </w:r>
    </w:p>
    <w:p w14:paraId="1F350615" w14:textId="15E326F6" w:rsidR="00FA0FF4" w:rsidRDefault="00FA0FF4" w:rsidP="00FA0FF4">
      <w:pPr>
        <w:spacing w:line="480" w:lineRule="auto"/>
        <w:rPr>
          <w:lang w:val="en-US"/>
        </w:rPr>
      </w:pPr>
      <w:r>
        <w:rPr>
          <w:lang w:val="en-US"/>
        </w:rPr>
        <w:t>Since such a study is qualitative, yet seeks to quantify social acceptability based on important factors, a fuzzy-logic</w:t>
      </w:r>
      <w:r w:rsidR="009861F9">
        <w:rPr>
          <w:lang w:val="en-US"/>
        </w:rPr>
        <w:t>-</w:t>
      </w:r>
      <w:r>
        <w:rPr>
          <w:lang w:val="en-US"/>
        </w:rPr>
        <w:t xml:space="preserve">based acceptability inference system is developed and used in this study. For social opinion-related surveys, questionnaire methods are mostly used </w:t>
      </w:r>
      <w:r>
        <w:rPr>
          <w:lang w:val="en-US"/>
        </w:rPr>
        <w:fldChar w:fldCharType="begin" w:fldLock="1"/>
      </w:r>
      <w:r>
        <w:rPr>
          <w:lang w:val="en-US"/>
        </w:rPr>
        <w:instrText>ADDIN CSL_CITATION {"citationItems":[{"id":"ITEM-1","itemData":{"DOI":"10.1109/ACCESS.2019.2939467","ISSN":"21693536","abstract":"Extending the Technology Acceptance Model (TAM) for studying the e-learning acceptance is not a new research topic, and it has been tackled by many scholars. However, the development of a comprehensive TAM that could be able to examine the e-learning acceptance under any circumstances is regarded to be an essential research direction. To identify the most widely used external factors of the TAM concerning the e-learning acceptance, a literature review comprising of 120 significant published studies from the last twelve years was conducted. The review analysis indicated that computer self-efficacy, subjective/social norm, perceived enjoyment, system quality, information quality, content quality, accessibility, and computer playfulness were the most common external factors of TAM. Accordingly, the TAM has been extended by the aforementioned factors to examine the students' acceptance of e-learning in five different universities in the United Arab of Emirates (UAE). A total of 435 students participated in the study. The results indicated that system quality, computer self-efficacy, and computer playfulness have a significant impact on perceived ease of use of e-learning system. Furthermore, information quality, perceived enjoyment, and accessibility were found to have a positive influence on perceived ease of use and perceived usefulness of e-learning system.","author":[{"dropping-particle":"","family":"Salloum","given":"Said A.","non-dropping-particle":"","parse-names":false,"suffix":""},{"dropping-particle":"","family":"Qasim Mohammad Alhamad","given":"Ahmad","non-dropping-particle":"","parse-names":false,"suffix":""},{"dropping-particle":"","family":"Al-Emran","given":"Mostafa","non-dropping-particle":"","parse-names":false,"suffix":""},{"dropping-particle":"","family":"Abdel Monem","given":"Azza","non-dropping-particle":"","parse-names":false,"suffix":""},{"dropping-particle":"","family":"Shaalan","given":"Khaled","non-dropping-particle":"","parse-names":false,"suffix":""}],"container-title":"IEEE Access","id":"ITEM-1","issued":{"date-parts":[["2019"]]},"page":"128445-128462","title":"Exploring students' acceptance of e-learning through the development of a comprehensive technology acceptance model","type":"article-journal","volume":"7"},"uris":["http://www.mendeley.com/documents/?uuid=40ba0ba9-ad5e-3c20-9bfe-54a1bcef219c"]},{"id":"ITEM-2","itemData":{"DOI":"10.1109/ACCESS.2019.2957206","ISSN":"21693536","abstract":"Mobile learning applications have been growing in demand and popularity and have become a common phenomenon in modern educational systems, especially with the implementation of mobile learning projects. This study applies the Unified Theory of Acceptance and Use Technology (UTAUT) model to examine the effects of different factors that were identified from the literature on students' acceptance of mobile learning applications in higher education. The data was collected from a 697 university students responded to an online questionnaire. SEM method was used for data analysis. The results showed that perceived information quality, perceived compatibility, perceived trust, perceived awareness, and availability of resources, self-efficacy, and perceived security are the main motivators of students' acceptance of mobile learning system, and consequently success the implementation of mobile learning projects. Results from this study provide the necessary information as to how higher education institutions can enhance students' acceptance of mobile learning system in order to support the usage of mobile technologies in learning and teaching process. These results offer important implications for mobile learning acceptance and usage.","author":[{"dropping-particle":"","family":"Almaiah","given":"Mohammed Amin","non-dropping-particle":"","parse-names":false,"suffix":""},{"dropping-particle":"","family":"Alamri","given":"Mahdi M.","non-dropping-particle":"","parse-names":false,"suffix":""},{"dropping-particle":"","family":"Al-Rahmi","given":"Waleed","non-dropping-particle":"","parse-names":false,"suffix":""}],"container-title":"IEEE Access","id":"ITEM-2","issued":{"date-parts":[["2019"]]},"page":"174673-174686","publisher":"Institute of Electrical and Electronics Engineers Inc.","title":"Applying the UTAUT Model to Explain the Students' Acceptance of Mobile Learning System in Higher Education","type":"article-journal","volume":"7"},"uris":["http://www.mendeley.com/documents/?uuid=d15cfcc2-4a94-35cd-9675-27bab2cca0bd"]},{"id":"ITEM-3","itemData":{"DOI":"10.1007/S10639-018-9694-6","ISSN":"15737608","abstract":"Along with the significant development of information and communication technologies (ICTSs), an incredible number of mobile applications have become available. Hence, the main purpose of the current study is to investigate the use and acceptance of the ‘Mobile Information System’ developed and implemented by University of Jordan, which Known as (Mobile Student Information System). Data were obtained from 275 undergraduate students of University of Jordan via questionnaire to test the ‘Mobile Services Acceptance Model’ using Structural Equation Model. The results reveal that user acceptance of mobile information system services is largely affected by trust, perceived security, perceived ease of use and perceived usefulness. Findings also show that context of applications is a strong motivational factor of perceived ease of use and perceived usefulness, which then significantly affects user intention to use mobile information system. While, the personal characteristics and features do not have effect on user intentions. Both theoretical and practical implications of the study’s findings are discussed.","author":[{"dropping-particle":"","family":"Almaiah","given":"Mohammed Amin","non-dropping-particle":"","parse-names":false,"suffix":""}],"container-title":"Education and Information Technologies","id":"ITEM-3","issue":"5","issued":{"date-parts":[["2018","9","1"]]},"page":"1873-1895","publisher":"Springer New York LLC","title":"Acceptance and usage of a mobile information system services in University of Jordan","type":"article-journal","volume":"23"},"uris":["http://www.mendeley.com/documents/?uuid=6176f691-c7c4-3aa6-80f7-768f0f98a1ed"]}],"mendeley":{"formattedCitation":"(Almaiah, 2018; Almaiah et al., 2019; Salloum et al., 2019)","plainTextFormattedCitation":"(Almaiah, 2018; Almaiah et al., 2019; Salloum et al., 2019)","previouslyFormattedCitation":"(Almaiah, 2018; Almaiah et al., 2019; Salloum et al., 2019)"},"properties":{"noteIndex":0},"schema":"https://github.com/citation-style-language/schema/raw/master/csl-citation.json"}</w:instrText>
      </w:r>
      <w:r>
        <w:rPr>
          <w:lang w:val="en-US"/>
        </w:rPr>
        <w:fldChar w:fldCharType="separate"/>
      </w:r>
      <w:r w:rsidRPr="00561AE1">
        <w:rPr>
          <w:noProof/>
          <w:lang w:val="en-US"/>
        </w:rPr>
        <w:t>(Almaiah, 2018; Almaiah et al., 2019; Salloum et al., 2019)</w:t>
      </w:r>
      <w:r>
        <w:rPr>
          <w:lang w:val="en-US"/>
        </w:rPr>
        <w:fldChar w:fldCharType="end"/>
      </w:r>
      <w:r>
        <w:rPr>
          <w:lang w:val="en-US"/>
        </w:rPr>
        <w:t>. However, the weaknesses of questionnaire studies for preliminary surveys in an area tend to be pronounced where the large proportion of the population ha</w:t>
      </w:r>
      <w:r w:rsidR="009861F9">
        <w:rPr>
          <w:lang w:val="en-US"/>
        </w:rPr>
        <w:t>s</w:t>
      </w:r>
      <w:r>
        <w:rPr>
          <w:lang w:val="en-US"/>
        </w:rPr>
        <w:t xml:space="preserve"> neither previously experienced what they are being questioned about nor ha</w:t>
      </w:r>
      <w:r w:rsidR="009861F9">
        <w:rPr>
          <w:lang w:val="en-US"/>
        </w:rPr>
        <w:t>s</w:t>
      </w:r>
      <w:r>
        <w:rPr>
          <w:lang w:val="en-US"/>
        </w:rPr>
        <w:t xml:space="preserve"> enough technical knowledge to develop informed opinions of the expect</w:t>
      </w:r>
      <w:r w:rsidR="009861F9">
        <w:rPr>
          <w:lang w:val="en-US"/>
        </w:rPr>
        <w:t>ed</w:t>
      </w:r>
      <w:r>
        <w:rPr>
          <w:lang w:val="en-US"/>
        </w:rPr>
        <w:t xml:space="preserve"> impact of a major project in their environment, introducing large amounts of interpretation bias </w:t>
      </w:r>
      <w:r>
        <w:rPr>
          <w:lang w:val="en-US"/>
        </w:rPr>
        <w:fldChar w:fldCharType="begin" w:fldLock="1"/>
      </w:r>
      <w:r>
        <w:rPr>
          <w:lang w:val="en-US"/>
        </w:rPr>
        <w:instrText>ADDIN CSL_CITATION {"citationItems":[{"id":"ITEM-1","itemData":{"DOI":"10.1016/J.CHEST.2020.03.012","ISSN":"0012-3692","PMID":"32658654","abstract":"Cross-sectional studies are observational studies that analyze data from a population at a single point in time. They are often used to measure the prevalence of health outcomes, understand determinants of health, and describe features of a population. Unlike other types of observational studies, cross-sectional studies do not follow individuals up over time. They are usually inexpensive and easy to conduct. They are useful for establishing preliminary evidence in planning a future advanced study. This article reviews the essential characteristics, describes strengths and weaknesses, discusses methodological issues, and gives our recommendations on design and statistical analysis for cross-sectional studies in pulmonary and critical care medicine. A list of considerations for reviewers is also provided.","author":[{"dropping-particle":"","family":"Wang","given":"Xiaofeng","non-dropping-particle":"","parse-names":false,"suffix":""},{"dropping-particle":"","family":"Cheng","given":"Zhenshun","non-dropping-particle":"","parse-names":false,"suffix":""}],"container-title":"Chest","id":"ITEM-1","issue":"1","issued":{"date-parts":[["2020","7","1"]]},"page":"S65-S71","publisher":"Elsevier","title":"Cross-Sectional Studies: Strengths, Weaknesses, and Recommendations","type":"article-journal","volume":"158"},"uris":["http://www.mendeley.com/documents/?uuid=4f835452-8638-3832-bf89-dbcc8e62f36a"]}],"mendeley":{"formattedCitation":"(X. Wang &amp; Cheng, 2020)","plainTextFormattedCitation":"(X. Wang &amp; Cheng, 2020)","previouslyFormattedCitation":"(X. Wang &amp; Cheng, 2020)"},"properties":{"noteIndex":0},"schema":"https://github.com/citation-style-language/schema/raw/master/csl-citation.json"}</w:instrText>
      </w:r>
      <w:r>
        <w:rPr>
          <w:lang w:val="en-US"/>
        </w:rPr>
        <w:fldChar w:fldCharType="separate"/>
      </w:r>
      <w:r w:rsidRPr="005357FC">
        <w:rPr>
          <w:noProof/>
          <w:lang w:val="en-US"/>
        </w:rPr>
        <w:t>(X. Wang &amp; Cheng, 2020)</w:t>
      </w:r>
      <w:r>
        <w:rPr>
          <w:lang w:val="en-US"/>
        </w:rPr>
        <w:fldChar w:fldCharType="end"/>
      </w:r>
      <w:r>
        <w:rPr>
          <w:lang w:val="en-US"/>
        </w:rPr>
        <w:t>.</w:t>
      </w:r>
    </w:p>
    <w:p w14:paraId="06A8482E" w14:textId="34EBF65C" w:rsidR="00FA0FF4" w:rsidRDefault="00FA0FF4" w:rsidP="00FA0FF4">
      <w:pPr>
        <w:spacing w:line="480" w:lineRule="auto"/>
        <w:rPr>
          <w:lang w:val="en-US"/>
        </w:rPr>
      </w:pPr>
      <w:r>
        <w:rPr>
          <w:lang w:val="en-US"/>
        </w:rPr>
        <w:t xml:space="preserve"> In other words, mass administration of questionnaire</w:t>
      </w:r>
      <w:r w:rsidR="009861F9">
        <w:rPr>
          <w:lang w:val="en-US"/>
        </w:rPr>
        <w:t>s</w:t>
      </w:r>
      <w:r>
        <w:rPr>
          <w:lang w:val="en-US"/>
        </w:rPr>
        <w:t xml:space="preserve">, according to </w:t>
      </w:r>
      <w:r w:rsidR="009861F9">
        <w:rPr>
          <w:lang w:val="en-US"/>
        </w:rPr>
        <w:t xml:space="preserve">the </w:t>
      </w:r>
      <w:r>
        <w:rPr>
          <w:lang w:val="en-US"/>
        </w:rPr>
        <w:t xml:space="preserve">literature on research methods, is not suitable where the population in question are largely not equipped (or educated) enough to develop and give </w:t>
      </w:r>
      <w:r>
        <w:rPr>
          <w:i/>
          <w:lang w:val="en-US"/>
        </w:rPr>
        <w:t>informed</w:t>
      </w:r>
      <w:r>
        <w:rPr>
          <w:lang w:val="en-US"/>
        </w:rPr>
        <w:t xml:space="preserve"> opinions on a prospect, such as in a</w:t>
      </w:r>
      <w:r w:rsidR="00A075BD">
        <w:rPr>
          <w:lang w:val="en-US"/>
        </w:rPr>
        <w:t xml:space="preserve"> preliminary feasibility survey</w:t>
      </w:r>
      <w:r>
        <w:rPr>
          <w:lang w:val="en-US"/>
        </w:rPr>
        <w:t xml:space="preserve"> </w:t>
      </w:r>
      <w:r>
        <w:rPr>
          <w:lang w:val="en-US"/>
        </w:rPr>
        <w:fldChar w:fldCharType="begin" w:fldLock="1"/>
      </w:r>
      <w:r>
        <w:rPr>
          <w:lang w:val="en-US"/>
        </w:rPr>
        <w:instrText>ADDIN CSL_CITATION {"citationItems":[{"id":"ITEM-1","itemData":{"DOI":"10.1177/1056492620938139","ISSN":"15526542","abstract":"Is complex, ambiguous, and fluctuating social reality measurable? Sometimes yes, perhaps, but often not. At least not in the fairly straightforward way assumed by many researchers. This study is an...","author":[{"dropping-particle":"","family":"Einola","given":"Katja","non-dropping-particle":"","parse-names":false,"suffix":""},{"dropping-particle":"","family":"Alvesson","given":"Mats","non-dropping-particle":"","parse-names":false,"suffix":""}],"container-title":"https://doi.org/10.1177/1056492620938139","id":"ITEM-1","issue":"1","issued":{"date-parts":[["2020","7","18"]]},"page":"102-114","publisher":"SAGE PublicationsSage CA: Los Angeles, CA","title":"Behind the Numbers: Questioning Questionnaires:","type":"article-journal","volume":"30"},"uris":["http://www.mendeley.com/documents/?uuid=ef77dd7b-bed0-31eb-9026-f144b71503d2"]}],"mendeley":{"formattedCitation":"(Einola &amp; Alvesson, 2020)","plainTextFormattedCitation":"(Einola &amp; Alvesson, 2020)","previouslyFormattedCitation":"(Einola &amp; Alvesson, 2020)"},"properties":{"noteIndex":0},"schema":"https://github.com/citation-style-language/schema/raw/master/csl-citation.json"}</w:instrText>
      </w:r>
      <w:r>
        <w:rPr>
          <w:lang w:val="en-US"/>
        </w:rPr>
        <w:fldChar w:fldCharType="separate"/>
      </w:r>
      <w:r w:rsidRPr="00A93289">
        <w:rPr>
          <w:noProof/>
          <w:lang w:val="en-US"/>
        </w:rPr>
        <w:t>(Einola &amp; Alvesson, 2020)</w:t>
      </w:r>
      <w:r>
        <w:rPr>
          <w:lang w:val="en-US"/>
        </w:rPr>
        <w:fldChar w:fldCharType="end"/>
      </w:r>
      <w:r>
        <w:rPr>
          <w:lang w:val="en-US"/>
        </w:rPr>
        <w:t xml:space="preserve">. Hence, the recommendation from surveyed literature on research methods is that the social acceptability analysis in such multivariable engineering projects </w:t>
      </w:r>
      <w:r w:rsidR="009861F9">
        <w:rPr>
          <w:lang w:val="en-US"/>
        </w:rPr>
        <w:t>is</w:t>
      </w:r>
      <w:r>
        <w:rPr>
          <w:lang w:val="en-US"/>
        </w:rPr>
        <w:t xml:space="preserve"> best constrained to informed stakeholders and the technical personnel involved </w:t>
      </w:r>
      <w:r>
        <w:rPr>
          <w:lang w:val="en-US"/>
        </w:rPr>
        <w:fldChar w:fldCharType="begin" w:fldLock="1"/>
      </w:r>
      <w:r>
        <w:rPr>
          <w:lang w:val="en-US"/>
        </w:rPr>
        <w:instrText>ADDIN CSL_CITATION {"citationItems":[{"id":"ITEM-1","itemData":{"DOI":"10.20849/AJSSS.V4I2.565","ISSN":"2424-9041","abstract":"Whereas the literature on questionnaire pretesting has revealed a paradox, questionnaire pretesting is a simple technique to measure in advance whether a questionnaire causes problems for respondents or interviewers. Consequently, experienced researchers and survey methodologists have declared questionnaire pretesting indispensable. All the same, published survey reports provide no information about whether a questionnaire was pretested and, if so, how and with what results. Moreover, until recently, there has been limited methodological research on questionnaire pretesting. The universally acknowledged importance of questionnaire pretesting has been honoured more in theory than in practice. As a result, we know very little about pretesting and the extent to which a pretest serves its intended purpose and leads to value-added on questionnaires. An expert review is a traditional method of questionnaire pretesting. Expert reviews can be conducted with varying levels of organisation and rigor. On the lower end of the spectrum, an experienced subject matter expert, or survey methodologist reviews a draft questionnaire to identify issues with question wording or administration that may lead to measurement error. On the more rigorous end of the spectrum, as employed in this study is the Questionnaire Appraisal Scheme method, a standardized instrument review containing 28 problem types that allow experienced researchers and/or coders to code, analyse and compare the results of questionnaire problems reported by the independent expert reviewers for consistency and agreement across the expert reviewers. However, in spite of the wider use of the expert review as a pretest method, fewer empirical evaluations of this method exist. Specifically, there is little evidence as to whether different expert reviews consistently identified similar questionnaire problems. Similarly, there has been no reasonable level of agreements across the expert reviewers in their evaluation of questionnaire problems. This paper addresses these shortcomings. The protocols employed in the paper would contribute to reducing the shortfall in pretesting guidelines and encourage roundtable discussions in academia and management practice.","author":[{"dropping-particle":"","family":"Ikart","given":"Emmanuel M.","non-dropping-particle":"","parse-names":false,"suffix":""}],"container-title":"Asian Journal of Social Science Studies","id":"ITEM-1","issue":"2","issued":{"date-parts":[["2019","4","23"]]},"page":"1","publisher":"July Press Pte. Ltd.","title":"Survey Questionnaire Survey Pretesting Method: An Evaluation of Survey Questionnaire via Expert Reviews Technique","type":"article-journal","volume":"4"},"uris":["http://www.mendeley.com/documents/?uuid=09ceedb7-fed3-390b-b65d-d67ea7b218b1"]}],"mendeley":{"formattedCitation":"(Ikart, 2019)","plainTextFormattedCitation":"(Ikart, 2019)","previouslyFormattedCitation":"(Ikart, 2019)"},"properties":{"noteIndex":0},"schema":"https://github.com/citation-style-language/schema/raw/master/csl-citation.json"}</w:instrText>
      </w:r>
      <w:r>
        <w:rPr>
          <w:lang w:val="en-US"/>
        </w:rPr>
        <w:fldChar w:fldCharType="separate"/>
      </w:r>
      <w:r w:rsidRPr="008502D8">
        <w:rPr>
          <w:noProof/>
          <w:lang w:val="en-US"/>
        </w:rPr>
        <w:t>(Ikart, 2019)</w:t>
      </w:r>
      <w:r>
        <w:rPr>
          <w:lang w:val="en-US"/>
        </w:rPr>
        <w:fldChar w:fldCharType="end"/>
      </w:r>
      <w:r>
        <w:rPr>
          <w:lang w:val="en-US"/>
        </w:rPr>
        <w:t xml:space="preserve">. For these reasons, </w:t>
      </w:r>
      <w:r w:rsidR="009861F9">
        <w:rPr>
          <w:lang w:val="en-US"/>
        </w:rPr>
        <w:t xml:space="preserve">the </w:t>
      </w:r>
      <w:r>
        <w:rPr>
          <w:lang w:val="en-US"/>
        </w:rPr>
        <w:t xml:space="preserve">mass questionnaire method is passed over in this study in favour of </w:t>
      </w:r>
      <w:r w:rsidR="009861F9">
        <w:rPr>
          <w:lang w:val="en-US"/>
        </w:rPr>
        <w:t xml:space="preserve">the </w:t>
      </w:r>
      <w:r>
        <w:rPr>
          <w:lang w:val="en-US"/>
        </w:rPr>
        <w:t>analysis of a smaller sample of informed parties’ opinions using a five-variable fuzzy-inference</w:t>
      </w:r>
      <w:r w:rsidR="009861F9">
        <w:rPr>
          <w:lang w:val="en-US"/>
        </w:rPr>
        <w:t>-</w:t>
      </w:r>
      <w:r>
        <w:rPr>
          <w:lang w:val="en-US"/>
        </w:rPr>
        <w:t xml:space="preserve">based index developed specifically for </w:t>
      </w:r>
      <w:r w:rsidR="009861F9">
        <w:rPr>
          <w:lang w:val="en-US"/>
        </w:rPr>
        <w:t xml:space="preserve">the </w:t>
      </w:r>
      <w:r>
        <w:rPr>
          <w:lang w:val="en-US"/>
        </w:rPr>
        <w:t>social-acceptability evaluation of renewable microgrid projects by De Souza &amp; Castilla (2019).</w:t>
      </w:r>
    </w:p>
    <w:p w14:paraId="2C6C1E52" w14:textId="2D5300CE" w:rsidR="00FA0FF4" w:rsidRPr="001646DE" w:rsidRDefault="00FA0FF4" w:rsidP="00FA0FF4">
      <w:pPr>
        <w:spacing w:line="480" w:lineRule="auto"/>
        <w:rPr>
          <w:lang w:val="en-US"/>
        </w:rPr>
        <w:sectPr w:rsidR="00FA0FF4" w:rsidRPr="001646DE" w:rsidSect="000A5DF8">
          <w:footerReference w:type="first" r:id="rId11"/>
          <w:pgSz w:w="12240" w:h="15840"/>
          <w:pgMar w:top="1440" w:right="1440" w:bottom="1440" w:left="2160" w:header="706" w:footer="706" w:gutter="0"/>
          <w:pgNumType w:start="1"/>
          <w:cols w:space="708"/>
          <w:docGrid w:linePitch="360"/>
        </w:sectPr>
      </w:pPr>
      <w:r>
        <w:rPr>
          <w:lang w:val="en-US"/>
        </w:rPr>
        <w:t>A survey of precedents in literature, across several environment-related studies such as water resources assessments and site selection studies, shows that the use of fuzzy logic systems for decision making concerning technical science-, medical- or engineering-heavy projects (as opposed to political/religious studies) is a well-established method in similar situations</w:t>
      </w:r>
      <w:r>
        <w:rPr>
          <w:lang w:val="en-US"/>
        </w:rPr>
        <w:fldChar w:fldCharType="begin" w:fldLock="1"/>
      </w:r>
      <w:r>
        <w:rPr>
          <w:lang w:val="en-US"/>
        </w:rPr>
        <w:instrText>ADDIN CSL_CITATION {"citationItems":[{"id":"ITEM-1","itemData":{"DOI":"10.1016/J.JCLEPRO.2019.01.024","ISSN":"0959-6526","abstract":"China has begun to promote offshore photovoltaic in coastal areas taking its advantages of saving land resources and proximity to load centers. However, the projects are bound to face a series of risk factors as the industry is in its infancy. This paper conducts a risk assessment on offshore photovoltaic power generation projects in China based on a fuzzy framework. Firstly, 16 risk factors affecting offshore photovoltaic power generation projects in China are identified and classified into 4 groups. Secondly, a risk assessment model is constructed involving Hesitant Fuzzy Linguistic Term Sets, Triangular Fuzzy Number and Fuzzy Synthetic Evaluation. Thirdly, this paper conduct an empirical study of China, and the result shows that the risk level of offshore photovoltaic power generation projects in China is medium high. Finally, some response measures are proposed. The risk index system and corresponding countermeasures can provide a reference for project managers to allocate resources to prevent risk events. Besides, the risk assessment model can help project investors to avoid too risky projects. In addition, the risk assessment on offshore photovoltaic power generation projects in China has not been discussed by scholars yet. Thus, this paper contributes to the literature and expand the knowledge.","author":[{"dropping-particle":"","family":"Wu","given":"Yunna","non-dropping-particle":"","parse-names":false,"suffix":""},{"dropping-particle":"","family":"Li","given":"Lingwenying","non-dropping-particle":"","parse-names":false,"suffix":""},{"dropping-particle":"","family":"Song","given":"Zixin","non-dropping-particle":"","parse-names":false,"suffix":""},{"dropping-particle":"","family":"Lin","given":"Xiaoshan","non-dropping-particle":"","parse-names":false,"suffix":""}],"container-title":"Journal of Cleaner Production","id":"ITEM-1","issued":{"date-parts":[["2019","4","1"]]},"page":"46-62","publisher":"Elsevier","title":"Risk assessment on offshore photovoltaic power generation projects in China based on a fuzzy analysis framework","type":"article-journal","volume":"215"},"uris":["http://www.mendeley.com/documents/?uuid=2f706c5d-02f4-34c0-a042-7b72c72a7d02"]},{"id":"ITEM-2","itemData":{"DOI":"10.1016/j.rser.2017.05.194","ISSN":"18790690","abstract":"Nowadays, energy demand is increasing as a result of growing population all over the world. Current conventional sources are not an adequate level in order to meet this energy requirement. Therefore, it is necessary to consider economic and clean alternative energy sources. In this context, renewable energy sources can be contemplated as a solution for this energy problem. On the other hand, selection among energy alternatives is a multi-criteria decision making (MCDM) problem and it is necessary to make an assessment in terms of several conflicting criteria. Sometimes, it may not be easy to evaluate these criteria by using crisp numbers and we need to evaluate by using human judgements and linguistic terms that can be used for a more flexible and sensitive evaluation. However, the fuzzy sets enable to cope with vagueness of evaluations in decision making process. In this study, an integrated MCDM model based on the fuzzy sets is proposed for prioritization of renewable energy alternatives in Turkey. The suggested fuzzy MCDM model combines analytic hierarchy process (AHP) based on interval type-2 fuzzy sets and hesitant fuzzy TOPSIS methods. Since the type-2 fuzzy sets whose membership functions are also fuzzy and hesitant fuzzy sets that enable to handle situations that an element has several membership value are more able to model uncertainties in decision making process, in this paper a MCDM methodology based on these two methods are suggested to evaluate renewable energy alternatives for Turkey. Interval type-2 fuzzy AHP method is applied to determine the weights of decision criteria, and hesitant fuzzy TOPSIS method is applied to prioritize renewable energy alternatives. A real case application has been presented via expert evaluations to indicate applicability of the proposed model. Besides, a sensitivity analysis has been performed to examine the effects of main criteria weights in ranking.","author":[{"dropping-particle":"","family":"Çolak","given":"Murat","non-dropping-particle":"","parse-names":false,"suffix":""},{"dropping-particle":"","family":"Kaya","given":"İhsan","non-dropping-particle":"","parse-names":false,"suffix":""}],"container-title":"Renew Sust Energ Rev","id":"ITEM-2","issued":{"date-parts":[["2017"]]},"page":"840-853","publisher":"Elsevier Ltd","title":"Prioritization of renewable energy alternatives by using an integrated fuzzy MCDM model: a real case application for Turkey","type":"article-journal","volume":"80"},"uris":["http://www.mendeley.com/documents/?uuid=171be6b7-da42-3d00-a390-718264e4ffb5"]},{"id":"ITEM-3","itemData":{"DOI":"10.5004/dwt.2019.24642","abstract":"Social acceptance of water quality in urban areas depends on the perception and awareness of the stakeholders and the wider public. Moreover, the significance of social trust in stakeholders appears to be an influential factor affecting social support of water quality. However, efforts on understanding , communicating and engaging with the public and the stakeholder community still remain under examination. Urban water resources management problems are often associated with ecological, political, social and economic development and have caused critical concern to both national and local competent authorities in almost every country for many years. When focusing on water quality, key indicators are used to measure the performance (KPIs) of water companies in evaluating their success to customer satisfaction with zero defects while minimizing the environmental footprint caused by the intermediate procedures up to the point of receiving potable tap water. Stakeholder interviews reveal that these KPIs can be identified from an economic, social, environmental and water company perspective, and they can span from the efficiency of water distribution to operational water losses minimization procedures and from customer supply coverage to aesthetic test compliance. Therefore, future policy for water quality should be designed in a strategic framework, taking into consideration key sustainability indicators emanating from the aforementioned perspectives. In the current paper, a complete showcase is illustrated on how to mobilize local stakeholder's knowledge to extract KPIs for supporting effective strategies by local water companies and initiating policy making by the competent authorities in the process of keeping high water quality standards in a sustainable water resources management environment. Specifically, the application of soft computing methods enables the conceptualization and categorization of stakeholders' notion of strategies that need to be followed. This conceptualization allowed the involvement of fuzzy inference systems to simulate the effects of several policies in a multi-criteria analysis. According to the features, the policy maker initiates, the proposed model succeeds to identify the preferred policy options that can be used in achieving minimal environmental footprint.","author":[{"dropping-particle":"","family":"Lakioti","given":"En","non-dropping-particle":"","parse-names":false,"suffix":""},{"dropping-particle":"","family":"Samaras","given":"Petros","non-dropping-particle":"","parse-names":false,"suffix":""},{"dropping-particle":"","family":"Kokkinos","given":"Konstantinos","non-dropping-particle":"","parse-names":false,"suffix":""},{"dropping-particle":"","family":"Lakioti","given":"Evangelia","non-dropping-particle":"","parse-names":false,"suffix":""},{"dropping-particle":"","family":"Karayannis","given":"Vayos","non-dropping-particle":"","parse-names":false,"suffix":""}],"container-title":"Fifth International Conference on Small and Decentralized Water and Wastewater Treatment Plants","id":"ITEM-3","issued":{"date-parts":[["2018"]]},"page":"26-29","publisher":"Desalination Publications","publisher-place":"Thessaloniki, Greece","title":"Evaluation of public perception on key sustainability indicators for drinking water quality by fuzzy logic methodologies","type":"paper-conference"},"uris":["http://www.mendeley.com/documents/?uuid=83377d85-7121-3811-8aa3-e71acec3f23a"]},{"id":"ITEM-4","itemData":{"DOI":"10.3390/IJERPH16030302","ISSN":"1660-4601","PMID":"30678082","abstract":"Groundwater is a major water resource in the North Chengdu Plain, China. The research objective is to determine the quality and suitability of groundwater for drinking purposes within the vicinity of a shallow, unconsolidated aquifer of Quaternary age. In this study, a detailed investigation was conducted to define the hydrochemical characteristics that control the quality of groundwater, based on traditional methods. Considering the uncertainties linked with water resources and the environmental complications, the fuzzy logic method was used in the determination of groundwater quality for more precise findings that support decision-making. To achieve such an objective, sixteen water quality guidelines were used to determine groundwater quality status in six selected wells. The results showed that the groundwater is neutral, very hard, and fresh in nature. Dominating cations and anions are in the order of Ca      2 +      &amp;gt; Na     +     &amp;gt; Mg      2 +      &amp;gt; K     +     and HCO     3 &amp;minus;     &amp;gt; SO     4  2 &amp;minus;      &amp;gt; Cl     &amp;minus;    . The Piper trilinear diagram demonstrates that the hydrochemical facies of groundwater are mostly of Ca-HCO     3     type. Statistical analysis denotes a positive correlation between most of the chemical parameters. The study took the results of the fuzzy logic evaluation method into consideration, to classify the samples into five groups according to the Chinese groundwater quality standard (GB/T 14848-93) for their suitability for domestic use. The results demonstrated that the quality of the groundwater samples is within grade II and III, and is suitable for drinking purposes. The comprehensive evaluation of groundwater quality is critical to aid sensitive policy decisions, and the proposed approach can guarantee reliable findings to that effect. The results of this study would also be helpful to future researches related to groundwater quality assessment.","author":[{"dropping-particle":"","family":"Mohamed","given":"Adam Khalifa","non-dropping-particle":"","parse-names":false,"suffix":""},{"dropping-particle":"","family":"Dan","given":"Liu","non-dropping-particle":"","parse-names":false,"suffix":""},{"dropping-particle":"","family":"Kai","given":"Song","non-dropping-particle":"","parse-names":false,"suffix":""},{"dropping-particle":"","family":"Mohamed","given":"Mohamed A.A.","non-dropping-particle":"","parse-names":false,"suffix":""},{"dropping-particle":"","family":"Aldaw","given":"Elsiddig","non-dropping-particle":"","parse-names":false,"suffix":""},{"dropping-particle":"","family":"Elubid","given":"Basheer A.","non-dropping-particle":"","parse-names":false,"suffix":""}],"container-title":"International Journal of Environmental Research and Public Health 2019, Vol. 16, Page 302","id":"ITEM-4","issue":"3","issued":{"date-parts":[["2019","1","23"]]},"page":"302","publisher":"Multidisciplinary Digital Publishing Institute","title":"Hydrochemical Analysis and Fuzzy Logic Method for Evaluation of Groundwater Quality in the North Chengdu Plain, China","type":"article-journal","volume":"16"},"uris":["http://www.mendeley.com/documents/?uuid=77ab94b7-481e-35ce-82f4-2b07d1b6b80e"]},{"id":"ITEM-5","itemData":{"DOI":"10.1007/978-3-030-51920-9_12","ISSN":"18609503","abstract":"The purpose of this chapter is to highlight the main technologies of Artificial Intelligence used in power system where the traditional methods will not be able to catch up all condition of operating and dispatching. Moreover, for each technology mentioned in the chapter there is a brief description where is used exactly power system. Moreover, these methods improve the operation and productivity of the power system by controlling voltage, stability, power-flow, and load frequency. It also permits to control the network such as location, size, and control of equipment and devices. The automation of the power system ensures to support the restoration, fault diagnosis, management, and network security. It is necessary to identify the appropriate AI technique to use it in planning, monitoring, and controlling the power system. Finally the chapter will highlight briefly sustainable side of using AI in power system.","author":[{"dropping-particle":"","family":"Yousuf","given":"Hana","non-dropping-particle":"","parse-names":false,"suffix":""},{"dropping-particle":"","family":"Zainal","given":"Asma Y.","non-dropping-particle":"","parse-names":false,"suffix":""},{"dropping-particle":"","family":"Alshurideh","given":"Muhammad","non-dropping-particle":"","parse-names":false,"suffix":""},{"dropping-particle":"","family":"Salloum","given":"Said A.","non-dropping-particle":"","parse-names":false,"suffix":""}],"container-title":"Studies in Computational Intelligence","id":"ITEM-5","issued":{"date-parts":[["2021"]]},"page":"231-242","publisher":"Springer","title":"Artificial intelligence models in power system analysis","type":"article-journal","volume":"912"},"uris":["http://www.mendeley.com/documents/?uuid=f26e3c39-80ff-3f9c-a3be-bdf82b4a02bc"]},{"id":"ITEM-6","itemData":{"author":[{"dropping-particle":"","family":"Ahanbakhsh","given":"Heidar J","non-dropping-particle":"","parse-names":false,"suffix":""},{"dropping-particle":"","family":"Iahkalroudi","given":"Morteza Lotfipour S","non-dropping-particle":"","parse-names":false,"suffix":""}],"id":"ITEM-6","issued":{"date-parts":[["2016"]]},"page":"1049-1062","title":"A Comparative Study on Energy Management Approaches in Theories and Patterns of Contemporary Urbanism 3 . Selected Urban Development Theories in Energy Management","type":"article-journal"},"uris":["http://www.mendeley.com/documents/?uuid=fc416a05-785f-4a34-b468-f5d04c774982"]},{"id":"ITEM-7","itemData":{"DOI":"10.1016/j.ecolind.2018.11.035","ISSN":"1470160X","abstract":"The accurate evaluation of ecological resources plays a critical role in optimal planning for spatial development. For its study of an area of about 11.6 Mha, the present research aimed to assess land suitability in arid regions of eastern Iran by employing a fuzzy inference system in a GIS environment. Primary data, such as the physical properties of soil, climatic factors, elevation, land type, vegetation cover, and faults, were investigated and a geomorphologic map was drawn for working units and planning. In addition, a layer of soil erosion potential was extracted according to the CORINE model. As each environmental element poses a different effect on other parameters, the significance and impact of each factor were first prioritized by a multi-criteria decision-making method. Then, a fuzzy inference system was employed to create a land suitability map for the study area. With the Mann-Whitney non-parametric test, the achieved map was adapted to the land reality. Without considering the potential of soil erosion in areas where agricultural and residential land have currently been developing and expanding, the results showed that locational development is possible in 70% of the region (an area of about 8 million hectares). However, when considering the assessment of the soil erosion potential and inappropriate climate and environmental conditions in 81% of the study area, only 10% of the area allows for the development of spatial-economics. Given that the purpose of this research is founded on risk management, the results can be considered by developers for future ventures.","author":[{"dropping-particle":"","family":"Akbari","given":"Morteza","non-dropping-particle":"","parse-names":false,"suffix":""},{"dropping-particle":"","family":"Neamatollahi","given":"Ehsan","non-dropping-particle":"","parse-names":false,"suffix":""},{"dropping-particle":"","family":"Neamatollahi","given":"Peyman","non-dropping-particle":"","parse-names":false,"suffix":""}],"container-title":"Ecological Indicators","id":"ITEM-7","issued":{"date-parts":[["2019","3","1"]]},"page":"587-598","publisher":"Elsevier","title":"Evaluating land suitability for spatial planning in arid regions of eastern Iran using fuzzy logic and multi-criteria analysis","type":"article-journal","volume":"98"},"uris":["http://www.mendeley.com/documents/?uuid=cd758c92-c366-3003-9efd-1ab6f236e41a"]}],"mendeley":{"formattedCitation":"(Ahanbakhsh &amp; Iahkalroudi, 2016; Akbari et al., 2019; Çolak &amp; Kaya, 2017; Lakioti et al., 2018; Mohamed et al., 2019; Wu, Li, et al., 2019; Yousuf et al., 2021)","plainTextFormattedCitation":"(Ahanbakhsh &amp; Iahkalroudi, 2016; Akbari et al., 2019; Çolak &amp; Kaya, 2017; Lakioti et al., 2018; Mohamed et al., 2019; Wu, Li, et al., 2019; Yousuf et al., 2021)","previouslyFormattedCitation":"(Ahanbakhsh &amp; Iahkalroudi, 2016; Akbari et al., 2019; Çolak &amp; Kaya, 2017; Lakioti et al., 2018; Mohamed et al., 2019; Wu, Li, et al., 2019; Yousuf et al., 2021)"},"properties":{"noteIndex":0},"schema":"https://github.com/citation-style-language/schema/raw/master/csl-citation.json"}</w:instrText>
      </w:r>
      <w:r>
        <w:rPr>
          <w:lang w:val="en-US"/>
        </w:rPr>
        <w:fldChar w:fldCharType="separate"/>
      </w:r>
      <w:r w:rsidRPr="0086162A">
        <w:rPr>
          <w:noProof/>
          <w:lang w:val="en-US"/>
        </w:rPr>
        <w:t>(Ahanbakhsh &amp; Iahkalroudi, 2016; Akbari et al., 2019; Çolak &amp; Kaya, 2017; Lakioti et al., 2018; Mohamed et al., 2019; Wu, Li, et al., 2019; Yousuf et al., 2021)</w:t>
      </w:r>
      <w:r>
        <w:rPr>
          <w:lang w:val="en-US"/>
        </w:rPr>
        <w:fldChar w:fldCharType="end"/>
      </w:r>
      <w:r>
        <w:rPr>
          <w:lang w:val="en-US"/>
        </w:rPr>
        <w:t>. It is prominently used where the average member of the community cannot be feasibly informed enough about the intended project to make a representative decision within reasonable resources and time. Hence, the researcher designs the fuzzy system using domain knowledge based on a physical survey of the location.</w:t>
      </w:r>
    </w:p>
    <w:p w14:paraId="674099EE" w14:textId="7EACB6C2" w:rsidR="00EB017E" w:rsidRPr="007C47D4" w:rsidRDefault="00067917" w:rsidP="00F03645">
      <w:pPr>
        <w:spacing w:line="480" w:lineRule="auto"/>
        <w:jc w:val="center"/>
        <w:rPr>
          <w:b/>
          <w:iCs/>
          <w:szCs w:val="24"/>
        </w:rPr>
      </w:pPr>
      <w:r w:rsidRPr="007C47D4">
        <w:rPr>
          <w:b/>
          <w:iCs/>
          <w:szCs w:val="24"/>
        </w:rPr>
        <w:t xml:space="preserve">Table </w:t>
      </w:r>
      <w:r w:rsidRPr="007C47D4">
        <w:rPr>
          <w:b/>
          <w:iCs/>
          <w:szCs w:val="24"/>
        </w:rPr>
        <w:fldChar w:fldCharType="begin"/>
      </w:r>
      <w:r w:rsidRPr="007C47D4">
        <w:rPr>
          <w:b/>
          <w:iCs/>
          <w:szCs w:val="24"/>
        </w:rPr>
        <w:instrText xml:space="preserve"> SEQ Figure \* ARABIC </w:instrText>
      </w:r>
      <w:r w:rsidRPr="007C47D4">
        <w:rPr>
          <w:b/>
          <w:iCs/>
          <w:szCs w:val="24"/>
        </w:rPr>
        <w:fldChar w:fldCharType="separate"/>
      </w:r>
      <w:r w:rsidR="00391266">
        <w:rPr>
          <w:b/>
          <w:iCs/>
          <w:noProof/>
          <w:szCs w:val="24"/>
        </w:rPr>
        <w:t>2</w:t>
      </w:r>
      <w:r w:rsidRPr="007C47D4">
        <w:rPr>
          <w:szCs w:val="24"/>
          <w:lang w:val="en-US"/>
        </w:rPr>
        <w:fldChar w:fldCharType="end"/>
      </w:r>
      <w:r w:rsidR="001908C1" w:rsidRPr="007C47D4">
        <w:rPr>
          <w:szCs w:val="24"/>
          <w:lang w:val="en-US"/>
        </w:rPr>
        <w:t>.1</w:t>
      </w:r>
      <w:r w:rsidRPr="007C47D4">
        <w:rPr>
          <w:b/>
          <w:iCs/>
          <w:szCs w:val="24"/>
        </w:rPr>
        <w:t xml:space="preserve"> – </w:t>
      </w:r>
      <w:r w:rsidR="00830A95" w:rsidRPr="007C47D4">
        <w:rPr>
          <w:b/>
          <w:iCs/>
          <w:szCs w:val="24"/>
        </w:rPr>
        <w:t>Selection of Reviewed Methodological Approaches</w:t>
      </w:r>
    </w:p>
    <w:p w14:paraId="7ACCE3DE" w14:textId="77777777" w:rsidR="00C4730F" w:rsidRDefault="00C4730F" w:rsidP="00F03645">
      <w:pPr>
        <w:spacing w:line="480" w:lineRule="auto"/>
        <w:rPr>
          <w:b/>
          <w:iCs/>
          <w:sz w:val="20"/>
          <w:szCs w:val="20"/>
        </w:rPr>
      </w:pPr>
    </w:p>
    <w:tbl>
      <w:tblPr>
        <w:tblW w:w="12504" w:type="dxa"/>
        <w:tblBorders>
          <w:top w:val="single" w:sz="4" w:space="0" w:color="auto"/>
          <w:bottom w:val="single" w:sz="4" w:space="0" w:color="auto"/>
        </w:tblBorders>
        <w:tblLook w:val="04A0" w:firstRow="1" w:lastRow="0" w:firstColumn="1" w:lastColumn="0" w:noHBand="0" w:noVBand="1"/>
      </w:tblPr>
      <w:tblGrid>
        <w:gridCol w:w="2210"/>
        <w:gridCol w:w="2029"/>
        <w:gridCol w:w="3273"/>
        <w:gridCol w:w="2496"/>
        <w:gridCol w:w="2496"/>
      </w:tblGrid>
      <w:tr w:rsidR="00C4730F" w14:paraId="5F301C9A" w14:textId="77777777" w:rsidTr="00D35D78">
        <w:tc>
          <w:tcPr>
            <w:tcW w:w="2210" w:type="dxa"/>
            <w:tcBorders>
              <w:top w:val="single" w:sz="4" w:space="0" w:color="auto"/>
              <w:bottom w:val="single" w:sz="4" w:space="0" w:color="auto"/>
            </w:tcBorders>
          </w:tcPr>
          <w:p w14:paraId="214EA633" w14:textId="77777777" w:rsidR="00C4730F" w:rsidRDefault="00C4730F" w:rsidP="00720B45">
            <w:pPr>
              <w:jc w:val="center"/>
              <w:rPr>
                <w:lang w:val="en-US"/>
              </w:rPr>
            </w:pPr>
            <w:r>
              <w:rPr>
                <w:lang w:val="en-US"/>
              </w:rPr>
              <w:t>AUTHOR/YEAR</w:t>
            </w:r>
          </w:p>
        </w:tc>
        <w:tc>
          <w:tcPr>
            <w:tcW w:w="2029" w:type="dxa"/>
            <w:tcBorders>
              <w:top w:val="single" w:sz="4" w:space="0" w:color="auto"/>
              <w:bottom w:val="single" w:sz="4" w:space="0" w:color="auto"/>
            </w:tcBorders>
          </w:tcPr>
          <w:p w14:paraId="614AB164" w14:textId="77777777" w:rsidR="00C4730F" w:rsidRDefault="00C4730F" w:rsidP="00720B45">
            <w:pPr>
              <w:jc w:val="center"/>
              <w:rPr>
                <w:lang w:val="en-US"/>
              </w:rPr>
            </w:pPr>
            <w:r>
              <w:rPr>
                <w:lang w:val="en-US"/>
              </w:rPr>
              <w:t>TITLE OF ARTICLE</w:t>
            </w:r>
          </w:p>
        </w:tc>
        <w:tc>
          <w:tcPr>
            <w:tcW w:w="3273" w:type="dxa"/>
            <w:tcBorders>
              <w:top w:val="single" w:sz="4" w:space="0" w:color="auto"/>
              <w:bottom w:val="single" w:sz="4" w:space="0" w:color="auto"/>
            </w:tcBorders>
          </w:tcPr>
          <w:p w14:paraId="09843262" w14:textId="77777777" w:rsidR="00C4730F" w:rsidRDefault="00C4730F" w:rsidP="00720B45">
            <w:pPr>
              <w:jc w:val="center"/>
              <w:rPr>
                <w:lang w:val="en-US"/>
              </w:rPr>
            </w:pPr>
            <w:r>
              <w:rPr>
                <w:lang w:val="en-US"/>
              </w:rPr>
              <w:t>METHOD</w:t>
            </w:r>
          </w:p>
        </w:tc>
        <w:tc>
          <w:tcPr>
            <w:tcW w:w="2496" w:type="dxa"/>
            <w:tcBorders>
              <w:top w:val="single" w:sz="4" w:space="0" w:color="auto"/>
              <w:bottom w:val="single" w:sz="4" w:space="0" w:color="auto"/>
            </w:tcBorders>
          </w:tcPr>
          <w:p w14:paraId="2F8D800B" w14:textId="77777777" w:rsidR="00C4730F" w:rsidRDefault="00C4730F" w:rsidP="00720B45">
            <w:pPr>
              <w:jc w:val="center"/>
              <w:rPr>
                <w:lang w:val="en-US"/>
              </w:rPr>
            </w:pPr>
            <w:r>
              <w:rPr>
                <w:lang w:val="en-US"/>
              </w:rPr>
              <w:t>OBSERVATION</w:t>
            </w:r>
          </w:p>
        </w:tc>
        <w:tc>
          <w:tcPr>
            <w:tcW w:w="2496" w:type="dxa"/>
            <w:tcBorders>
              <w:top w:val="single" w:sz="4" w:space="0" w:color="auto"/>
              <w:bottom w:val="single" w:sz="4" w:space="0" w:color="auto"/>
            </w:tcBorders>
          </w:tcPr>
          <w:p w14:paraId="6275E070" w14:textId="77777777" w:rsidR="00C4730F" w:rsidRDefault="00C4730F" w:rsidP="00720B45">
            <w:pPr>
              <w:jc w:val="center"/>
              <w:rPr>
                <w:lang w:val="en-US"/>
              </w:rPr>
            </w:pPr>
            <w:r>
              <w:rPr>
                <w:lang w:val="en-US"/>
              </w:rPr>
              <w:t>LIMITATIONS</w:t>
            </w:r>
          </w:p>
        </w:tc>
      </w:tr>
      <w:tr w:rsidR="00C4730F" w14:paraId="65771CB8" w14:textId="77777777" w:rsidTr="00D35D78">
        <w:tc>
          <w:tcPr>
            <w:tcW w:w="2210" w:type="dxa"/>
            <w:tcBorders>
              <w:top w:val="single" w:sz="4" w:space="0" w:color="auto"/>
            </w:tcBorders>
          </w:tcPr>
          <w:p w14:paraId="53C619B5" w14:textId="77777777" w:rsidR="00C4730F" w:rsidRPr="00C4730F" w:rsidRDefault="00C4730F" w:rsidP="00720B45">
            <w:pPr>
              <w:rPr>
                <w:sz w:val="22"/>
                <w:lang w:val="en-US"/>
              </w:rPr>
            </w:pPr>
            <w:r w:rsidRPr="00C4730F">
              <w:rPr>
                <w:sz w:val="22"/>
                <w:lang w:val="en-US"/>
              </w:rPr>
              <w:fldChar w:fldCharType="begin" w:fldLock="1"/>
            </w:r>
            <w:r w:rsidRPr="00C4730F">
              <w:rPr>
                <w:sz w:val="22"/>
                <w:lang w:val="en-US"/>
              </w:rPr>
              <w:instrText>ADDIN CSL_CITATION {"citationItems":[{"id":"ITEM-1","itemData":{"author":[{"dropping-particle":"","family":"Du","given":"Wenjuan","non-dropping-particle":"","parse-names":false,"suffix":""},{"dropping-particle":"","family":"Bi","given":"Jingtian","non-dropping-particle":"","parse-names":false,"suffix":""},{"dropping-particle":"","family":"Wang","given":"Tong","non-dropping-particle":"","parse-names":false,"suffix":""},{"dropping-particle":"","family":"Wang","given":"Haifeng","non-dropping-particle":"","parse-names":false,"suffix":""},{"dropping-particle":"","family":"Member","given":"Senior","non-dropping-particle":"","parse-names":false,"suffix":""}],"id":"ITEM-1","issue":"2","issued":{"date-parts":[["2015"]]},"page":"83-89","title":"Impact of Grid Connection of Large-Scale Wind Farms on Power System Small-Signal Angular Stability","type":"article-journal","volume":"1"},"uris":["http://www.mendeley.com/documents/?uuid=7ecc415f-bec2-4388-b848-1a46ca35ff70"]}],"mendeley":{"formattedCitation":"(Du et al., 2015)","manualFormatting":"Du et al. (2015)","plainTextFormattedCitation":"(Du et al., 2015)","previouslyFormattedCitation":"(Du et al., 2015)"},"properties":{"noteIndex":0},"schema":"https://github.com/citation-style-language/schema/raw/master/csl-citation.json"}</w:instrText>
            </w:r>
            <w:r w:rsidRPr="00C4730F">
              <w:rPr>
                <w:sz w:val="22"/>
                <w:lang w:val="en-US"/>
              </w:rPr>
              <w:fldChar w:fldCharType="separate"/>
            </w:r>
            <w:r w:rsidRPr="00C4730F">
              <w:rPr>
                <w:noProof/>
                <w:sz w:val="22"/>
                <w:lang w:val="en-US"/>
              </w:rPr>
              <w:t>Du et al. (2015)</w:t>
            </w:r>
            <w:r w:rsidRPr="00C4730F">
              <w:rPr>
                <w:sz w:val="22"/>
                <w:lang w:val="en-US"/>
              </w:rPr>
              <w:fldChar w:fldCharType="end"/>
            </w:r>
          </w:p>
        </w:tc>
        <w:tc>
          <w:tcPr>
            <w:tcW w:w="2029" w:type="dxa"/>
            <w:tcBorders>
              <w:top w:val="single" w:sz="4" w:space="0" w:color="auto"/>
            </w:tcBorders>
          </w:tcPr>
          <w:p w14:paraId="71D525D1" w14:textId="77777777" w:rsidR="00C4730F" w:rsidRPr="00C4730F" w:rsidRDefault="00C4730F" w:rsidP="00720B45">
            <w:pPr>
              <w:rPr>
                <w:sz w:val="22"/>
                <w:lang w:val="en-US"/>
              </w:rPr>
            </w:pPr>
            <w:r w:rsidRPr="00C4730F">
              <w:rPr>
                <w:sz w:val="22"/>
                <w:lang w:val="en-US"/>
              </w:rPr>
              <w:t>Impact of Grid Connection of Large-Scale Wind Farms on Power System Small-Signal Angular Stability</w:t>
            </w:r>
          </w:p>
        </w:tc>
        <w:tc>
          <w:tcPr>
            <w:tcW w:w="3273" w:type="dxa"/>
            <w:tcBorders>
              <w:top w:val="single" w:sz="4" w:space="0" w:color="auto"/>
            </w:tcBorders>
          </w:tcPr>
          <w:p w14:paraId="1918C6CD" w14:textId="63838E54" w:rsidR="00C4730F" w:rsidRPr="00C4730F" w:rsidRDefault="00C4730F" w:rsidP="00720B45">
            <w:pPr>
              <w:rPr>
                <w:sz w:val="22"/>
                <w:lang w:val="en-US"/>
              </w:rPr>
            </w:pPr>
            <w:r w:rsidRPr="00C4730F">
              <w:rPr>
                <w:sz w:val="22"/>
                <w:lang w:val="en-US"/>
              </w:rPr>
              <w:t xml:space="preserve">Modal analysis with a linearized model is used to separately investigate the effects of </w:t>
            </w:r>
            <w:r w:rsidR="009861F9">
              <w:rPr>
                <w:sz w:val="22"/>
                <w:lang w:val="en-US"/>
              </w:rPr>
              <w:t xml:space="preserve">the </w:t>
            </w:r>
            <w:r w:rsidRPr="00C4730F">
              <w:rPr>
                <w:sz w:val="22"/>
                <w:lang w:val="en-US"/>
              </w:rPr>
              <w:t>addition of wind units using superposition.</w:t>
            </w:r>
          </w:p>
        </w:tc>
        <w:tc>
          <w:tcPr>
            <w:tcW w:w="2496" w:type="dxa"/>
            <w:tcBorders>
              <w:top w:val="single" w:sz="4" w:space="0" w:color="auto"/>
            </w:tcBorders>
          </w:tcPr>
          <w:p w14:paraId="668F7452" w14:textId="03FC6BD6" w:rsidR="00C4730F" w:rsidRPr="00C4730F" w:rsidRDefault="00C4730F" w:rsidP="00720B45">
            <w:pPr>
              <w:rPr>
                <w:sz w:val="22"/>
                <w:lang w:val="en-US"/>
              </w:rPr>
            </w:pPr>
            <w:r w:rsidRPr="00C4730F">
              <w:rPr>
                <w:sz w:val="22"/>
                <w:lang w:val="en-US"/>
              </w:rPr>
              <w:t xml:space="preserve">The dynamics of </w:t>
            </w:r>
            <w:r w:rsidR="009861F9">
              <w:rPr>
                <w:sz w:val="22"/>
                <w:lang w:val="en-US"/>
              </w:rPr>
              <w:t xml:space="preserve">the </w:t>
            </w:r>
            <w:r w:rsidRPr="00C4730F">
              <w:rPr>
                <w:sz w:val="22"/>
                <w:lang w:val="en-US"/>
              </w:rPr>
              <w:t xml:space="preserve">power system consisting of synchronous generators before and after </w:t>
            </w:r>
            <w:r w:rsidR="009861F9">
              <w:rPr>
                <w:sz w:val="22"/>
                <w:lang w:val="en-US"/>
              </w:rPr>
              <w:t xml:space="preserve">the </w:t>
            </w:r>
            <w:r w:rsidRPr="00C4730F">
              <w:rPr>
                <w:sz w:val="22"/>
                <w:lang w:val="en-US"/>
              </w:rPr>
              <w:t xml:space="preserve">connection of </w:t>
            </w:r>
            <w:r w:rsidR="009861F9">
              <w:rPr>
                <w:sz w:val="22"/>
                <w:lang w:val="en-US"/>
              </w:rPr>
              <w:t xml:space="preserve">a </w:t>
            </w:r>
            <w:r w:rsidRPr="00C4730F">
              <w:rPr>
                <w:sz w:val="22"/>
                <w:lang w:val="en-US"/>
              </w:rPr>
              <w:t>DFIG wind farm was successfully separated in analysis.</w:t>
            </w:r>
          </w:p>
        </w:tc>
        <w:tc>
          <w:tcPr>
            <w:tcW w:w="2496" w:type="dxa"/>
            <w:tcBorders>
              <w:top w:val="single" w:sz="4" w:space="0" w:color="auto"/>
            </w:tcBorders>
          </w:tcPr>
          <w:p w14:paraId="286E636E" w14:textId="77777777" w:rsidR="00C4730F" w:rsidRPr="00C4730F" w:rsidRDefault="00C4730F" w:rsidP="00720B45">
            <w:pPr>
              <w:rPr>
                <w:sz w:val="22"/>
                <w:lang w:val="en-US"/>
              </w:rPr>
            </w:pPr>
            <w:r w:rsidRPr="00C4730F">
              <w:rPr>
                <w:sz w:val="22"/>
                <w:lang w:val="en-US"/>
              </w:rPr>
              <w:t>The scope of the study is limited to small-signal angle stability and pays little attention to the voltage.</w:t>
            </w:r>
          </w:p>
          <w:p w14:paraId="2DE92D2F" w14:textId="77777777" w:rsidR="00C4730F" w:rsidRPr="00C4730F" w:rsidRDefault="00C4730F" w:rsidP="00720B45">
            <w:pPr>
              <w:rPr>
                <w:sz w:val="22"/>
                <w:lang w:val="en-US"/>
              </w:rPr>
            </w:pPr>
          </w:p>
        </w:tc>
      </w:tr>
      <w:tr w:rsidR="00C4730F" w14:paraId="2253DF28" w14:textId="77777777" w:rsidTr="00D35D78">
        <w:tc>
          <w:tcPr>
            <w:tcW w:w="2210" w:type="dxa"/>
          </w:tcPr>
          <w:p w14:paraId="20394102" w14:textId="77777777" w:rsidR="00C4730F" w:rsidRDefault="00C4730F" w:rsidP="00720B45">
            <w:pPr>
              <w:rPr>
                <w:lang w:val="en-US"/>
              </w:rPr>
            </w:pPr>
            <w:r>
              <w:rPr>
                <w:lang w:val="en-US"/>
              </w:rPr>
              <w:fldChar w:fldCharType="begin" w:fldLock="1"/>
            </w:r>
            <w:r>
              <w:rPr>
                <w:lang w:val="en-US"/>
              </w:rPr>
              <w:instrText>ADDIN CSL_CITATION {"citationItems":[{"id":"ITEM-1","itemData":{"DOI":"10.1109/ACCESS.2020.3011207","author":[{"dropping-particle":"","family":"Suvorov","given":"Aleksey A","non-dropping-particle":"","parse-names":false,"suffix":""},{"dropping-particle":"","family":"Diab","given":"Ahmed A Zaki","non-dropping-particle":"","parse-names":false,"suffix":""},{"dropping-particle":"","family":"Gusev","given":"Alexander S","non-dropping-particle":"","parse-names":false,"suffix":""},{"dropping-particle":"V","family":"Andreev","given":"Mikhail","non-dropping-particle":"","parse-names":false,"suffix":""},{"dropping-particle":"","family":"Ruban","given":"Nikolay Y U","non-dropping-particle":"","parse-names":false,"suffix":""},{"dropping-particle":"","family":"Askarov","given":"Alisher B","non-dropping-particle":"","parse-names":false,"suffix":""},{"dropping-particle":"","family":"Bay","given":"Yuly D","non-dropping-particle":"","parse-names":false,"suffix":""},{"dropping-particle":"","family":"Rudnik","given":"Vladimir E","non-dropping-particle":"","parse-names":false,"suffix":""},{"dropping-particle":"","family":"Aboelsaud","given":"Raef","non-dropping-particle":"","parse-names":false,"suffix":""},{"dropping-particle":"","family":"Ibrahim","given":"Ahmed","non-dropping-particle":"","parse-names":false,"suffix":""},{"dropping-particle":"","family":"Al-sumaiti","given":"Ameena Saad","non-dropping-particle":"","parse-names":false,"suffix":""}],"id":"ITEM-1","issued":{"date-parts":[["2020"]]},"page":"136071-136091","title":"Comprehensive Validation of Transient Stability Calculations in Electric Power Systems and Hardware-Software Tool for Its Implementation","type":"article-journal","volume":"8"},"uris":["http://www.mendeley.com/documents/?uuid=0eb3b91d-bbe6-4f62-8f33-39dba20b5146"]}],"mendeley":{"formattedCitation":"(Suvorov et al., 2020)","manualFormatting":"Suvorov et al.(2020)","plainTextFormattedCitation":"(Suvorov et al., 2020)","previouslyFormattedCitation":"(Suvorov et al., 2020)"},"properties":{"noteIndex":0},"schema":"https://github.com/citation-style-language/schema/raw/master/csl-citation.json"}</w:instrText>
            </w:r>
            <w:r>
              <w:rPr>
                <w:lang w:val="en-US"/>
              </w:rPr>
              <w:fldChar w:fldCharType="separate"/>
            </w:r>
            <w:r>
              <w:rPr>
                <w:noProof/>
                <w:lang w:val="en-US"/>
              </w:rPr>
              <w:t>Suvorov et al.(</w:t>
            </w:r>
            <w:r w:rsidRPr="004D500E">
              <w:rPr>
                <w:noProof/>
                <w:lang w:val="en-US"/>
              </w:rPr>
              <w:t>2020)</w:t>
            </w:r>
            <w:r>
              <w:rPr>
                <w:lang w:val="en-US"/>
              </w:rPr>
              <w:fldChar w:fldCharType="end"/>
            </w:r>
          </w:p>
        </w:tc>
        <w:tc>
          <w:tcPr>
            <w:tcW w:w="2029" w:type="dxa"/>
          </w:tcPr>
          <w:p w14:paraId="4F7F9BA1" w14:textId="77777777" w:rsidR="00C4730F" w:rsidRDefault="00C4730F" w:rsidP="00720B45">
            <w:pPr>
              <w:rPr>
                <w:lang w:val="en-US"/>
              </w:rPr>
            </w:pPr>
            <w:r>
              <w:t>Comprehensive Validation of Transient Stability Calculations in Electric Power Systems and Hardware-Software Tool for Its Implementation</w:t>
            </w:r>
          </w:p>
        </w:tc>
        <w:tc>
          <w:tcPr>
            <w:tcW w:w="3273" w:type="dxa"/>
          </w:tcPr>
          <w:p w14:paraId="6D824847" w14:textId="77777777" w:rsidR="00C4730F" w:rsidRPr="00E26DB2" w:rsidRDefault="00C4730F" w:rsidP="00720B45">
            <w:pPr>
              <w:rPr>
                <w:lang w:val="en-US"/>
              </w:rPr>
            </w:pPr>
            <w:r w:rsidRPr="00E26DB2">
              <w:rPr>
                <w:lang w:val="en-US"/>
              </w:rPr>
              <w:t>A hardware-software reference model (HRTSim) was used to simulate the response of the system to disturbances.</w:t>
            </w:r>
          </w:p>
          <w:p w14:paraId="3A1BAF00" w14:textId="77777777" w:rsidR="00C4730F" w:rsidRPr="00E26DB2" w:rsidRDefault="00C4730F" w:rsidP="00720B45">
            <w:pPr>
              <w:rPr>
                <w:lang w:val="en-US"/>
              </w:rPr>
            </w:pPr>
          </w:p>
        </w:tc>
        <w:tc>
          <w:tcPr>
            <w:tcW w:w="2496" w:type="dxa"/>
          </w:tcPr>
          <w:p w14:paraId="5315595B" w14:textId="3479D229" w:rsidR="00C4730F" w:rsidRPr="00E26DB2" w:rsidRDefault="009861F9" w:rsidP="00720B45">
            <w:pPr>
              <w:rPr>
                <w:lang w:val="en-US"/>
              </w:rPr>
            </w:pPr>
            <w:r>
              <w:rPr>
                <w:lang w:val="en-US"/>
              </w:rPr>
              <w:t>The i</w:t>
            </w:r>
            <w:r w:rsidR="00C4730F">
              <w:rPr>
                <w:lang w:val="en-US"/>
              </w:rPr>
              <w:t>ntensity of disturbance was found to be critical in determining the error in calculations.</w:t>
            </w:r>
          </w:p>
        </w:tc>
        <w:tc>
          <w:tcPr>
            <w:tcW w:w="2496" w:type="dxa"/>
          </w:tcPr>
          <w:p w14:paraId="7511E766" w14:textId="77777777" w:rsidR="00C4730F" w:rsidRPr="00E26DB2" w:rsidRDefault="00C4730F" w:rsidP="00720B45">
            <w:pPr>
              <w:rPr>
                <w:lang w:val="en-US"/>
              </w:rPr>
            </w:pPr>
            <w:r w:rsidRPr="00E26DB2">
              <w:rPr>
                <w:lang w:val="en-US"/>
              </w:rPr>
              <w:t>The simulations did not account for uncertainties due to renewable energy penetration.</w:t>
            </w:r>
          </w:p>
          <w:p w14:paraId="4AE7311C" w14:textId="77777777" w:rsidR="00C4730F" w:rsidRPr="00E26DB2" w:rsidRDefault="00C4730F" w:rsidP="00720B45">
            <w:pPr>
              <w:ind w:left="360"/>
              <w:rPr>
                <w:lang w:val="en-US"/>
              </w:rPr>
            </w:pPr>
          </w:p>
        </w:tc>
      </w:tr>
      <w:tr w:rsidR="00C4730F" w14:paraId="08A16763" w14:textId="77777777" w:rsidTr="00D35D78">
        <w:tc>
          <w:tcPr>
            <w:tcW w:w="2210" w:type="dxa"/>
          </w:tcPr>
          <w:p w14:paraId="4A7BE541" w14:textId="77777777" w:rsidR="00C4730F" w:rsidRDefault="00C4730F" w:rsidP="00720B45">
            <w:pPr>
              <w:rPr>
                <w:lang w:val="en-US"/>
              </w:rPr>
            </w:pPr>
            <w:r>
              <w:rPr>
                <w:lang w:val="en-US"/>
              </w:rPr>
              <w:fldChar w:fldCharType="begin" w:fldLock="1"/>
            </w:r>
            <w:r>
              <w:rPr>
                <w:lang w:val="en-US"/>
              </w:rPr>
              <w:instrText>ADDIN CSL_CITATION {"citationItems":[{"id":"ITEM-1","itemData":{"DOI":"10.1016/j.egyr.2021.11.160","ISSN":"23524847","abstract":"Transient voltage stability of power system with high penetration of renewable energy faces challenges. This paper proposes a method for quantitatively evaluating the impact of renewable energy penetration rate on transient voltage stability. Based on input-to-state stability (ISS) theory, security and stability indices are constructed to evaluate the stability characteristics, and a quantitative transient voltage stability assessment framework for power system with high penetration of renewable energy is established. Case studies are performed on MATLAB/Simulink, and security/stability indices under different renewable energy penetration rates are calculated. Finally, the critical scale of renewable energy integration is obtained through the coupling relationship between stability characteristics and renewable energy penetration rate.","author":[{"dropping-particle":"","family":"Niu","given":"Shuanbao","non-dropping-particle":"","parse-names":false,"suffix":""},{"dropping-particle":"","family":"Zhang","given":"Zhe","non-dropping-particle":"","parse-names":false,"suffix":""},{"dropping-particle":"","family":"Ke","given":"Xianbo","non-dropping-particle":"","parse-names":false,"suffix":""},{"dropping-particle":"","family":"Zhang","given":"Gang","non-dropping-particle":"","parse-names":false,"suffix":""},{"dropping-particle":"","family":"Huo","given":"Chao","non-dropping-particle":"","parse-names":false,"suffix":""},{"dropping-particle":"","family":"Qin","given":"Boyu","non-dropping-particle":"","parse-names":false,"suffix":""}],"container-title":"Energy Reports","id":"ITEM-1","issued":{"date-parts":[["2022"]]},"page":"487-492","publisher":"Elsevier Ltd","title":"Impact of renewable energy penetration rate on power system transient voltage stability","type":"article-journal","volume":"8"},"uris":["http://www.mendeley.com/documents/?uuid=46ff3de0-f9ad-4ac1-aff1-b2b03845d2ad"]}],"mendeley":{"formattedCitation":"(Niu et al., 2022)","manualFormatting":"Niu et al. (2022)","plainTextFormattedCitation":"(Niu et al., 2022)","previouslyFormattedCitation":"(Niu et al., 2022)"},"properties":{"noteIndex":0},"schema":"https://github.com/citation-style-language/schema/raw/master/csl-citation.json"}</w:instrText>
            </w:r>
            <w:r>
              <w:rPr>
                <w:lang w:val="en-US"/>
              </w:rPr>
              <w:fldChar w:fldCharType="separate"/>
            </w:r>
            <w:r>
              <w:rPr>
                <w:noProof/>
                <w:lang w:val="en-US"/>
              </w:rPr>
              <w:t>Niu et al.</w:t>
            </w:r>
            <w:r w:rsidRPr="004D500E">
              <w:rPr>
                <w:noProof/>
                <w:lang w:val="en-US"/>
              </w:rPr>
              <w:t xml:space="preserve"> </w:t>
            </w:r>
            <w:r>
              <w:rPr>
                <w:noProof/>
                <w:lang w:val="en-US"/>
              </w:rPr>
              <w:t>(</w:t>
            </w:r>
            <w:r w:rsidRPr="004D500E">
              <w:rPr>
                <w:noProof/>
                <w:lang w:val="en-US"/>
              </w:rPr>
              <w:t>2022)</w:t>
            </w:r>
            <w:r>
              <w:rPr>
                <w:lang w:val="en-US"/>
              </w:rPr>
              <w:fldChar w:fldCharType="end"/>
            </w:r>
          </w:p>
        </w:tc>
        <w:tc>
          <w:tcPr>
            <w:tcW w:w="2029" w:type="dxa"/>
          </w:tcPr>
          <w:p w14:paraId="0E16B859" w14:textId="77777777" w:rsidR="00C4730F" w:rsidRDefault="00C4730F" w:rsidP="00720B45">
            <w:pPr>
              <w:rPr>
                <w:lang w:val="en-US"/>
              </w:rPr>
            </w:pPr>
            <w:r>
              <w:t>Impact of renewable energy penetration rate on power system transient voltage stability</w:t>
            </w:r>
          </w:p>
        </w:tc>
        <w:tc>
          <w:tcPr>
            <w:tcW w:w="3273" w:type="dxa"/>
          </w:tcPr>
          <w:p w14:paraId="18AAD79F" w14:textId="77777777" w:rsidR="00C4730F" w:rsidRPr="00E26DB2" w:rsidRDefault="00C4730F" w:rsidP="00720B45">
            <w:pPr>
              <w:rPr>
                <w:lang w:val="en-US"/>
              </w:rPr>
            </w:pPr>
            <w:r w:rsidRPr="00E26DB2">
              <w:rPr>
                <w:lang w:val="en-US"/>
              </w:rPr>
              <w:t>Input-to-state stability (ISS) theory is used to construct security and stability indices for the evaluation of system transient stability.</w:t>
            </w:r>
          </w:p>
          <w:p w14:paraId="6D1EA575" w14:textId="77777777" w:rsidR="00C4730F" w:rsidRPr="00E26DB2" w:rsidRDefault="00C4730F" w:rsidP="00720B45">
            <w:pPr>
              <w:rPr>
                <w:lang w:val="en-US"/>
              </w:rPr>
            </w:pPr>
          </w:p>
        </w:tc>
        <w:tc>
          <w:tcPr>
            <w:tcW w:w="2496" w:type="dxa"/>
          </w:tcPr>
          <w:p w14:paraId="4BBE6A45" w14:textId="77777777" w:rsidR="00C4730F" w:rsidRPr="00E26DB2" w:rsidRDefault="00C4730F" w:rsidP="00720B45">
            <w:pPr>
              <w:rPr>
                <w:lang w:val="en-US"/>
              </w:rPr>
            </w:pPr>
            <w:r>
              <w:rPr>
                <w:lang w:val="en-US"/>
              </w:rPr>
              <w:t>The relationship between the renewable energy penetration rate and the system stability for the modified IEEE 14-bus system is simulated and ISS is found to be accurate for nonlinear modellings.</w:t>
            </w:r>
          </w:p>
        </w:tc>
        <w:tc>
          <w:tcPr>
            <w:tcW w:w="2496" w:type="dxa"/>
          </w:tcPr>
          <w:p w14:paraId="62FFC124" w14:textId="77777777" w:rsidR="00C4730F" w:rsidRPr="00E11E05" w:rsidRDefault="00C4730F" w:rsidP="00720B45">
            <w:pPr>
              <w:rPr>
                <w:lang w:val="en-US"/>
              </w:rPr>
            </w:pPr>
            <w:r w:rsidRPr="00E11E05">
              <w:rPr>
                <w:lang w:val="en-US"/>
              </w:rPr>
              <w:t>The ISS technique relies on estimations which are not always straightforward for practical systems.</w:t>
            </w:r>
          </w:p>
        </w:tc>
      </w:tr>
      <w:tr w:rsidR="00C4730F" w14:paraId="7A4C3248" w14:textId="77777777" w:rsidTr="00D35D78">
        <w:tc>
          <w:tcPr>
            <w:tcW w:w="2210" w:type="dxa"/>
          </w:tcPr>
          <w:p w14:paraId="3307E442" w14:textId="77777777" w:rsidR="00C4730F" w:rsidRDefault="00C4730F" w:rsidP="00720B45">
            <w:pPr>
              <w:rPr>
                <w:lang w:val="en-US"/>
              </w:rPr>
            </w:pPr>
            <w:r>
              <w:rPr>
                <w:lang w:val="en-US"/>
              </w:rPr>
              <w:fldChar w:fldCharType="begin" w:fldLock="1"/>
            </w:r>
            <w:r>
              <w:rPr>
                <w:lang w:val="en-US"/>
              </w:rPr>
              <w:instrText>ADDIN CSL_CITATION {"citationItems":[{"id":"ITEM-1","itemData":{"DOI":"10.3390/EN14010161","ISSN":"19961073","abstract":"Power systems can be analyzed using either a deterministic or a probabilistic approach. The deterministic analysis centers on studying the quantities and indicators that characterize the operating states of the power system under strictly defined conditions. However, the long-term horizon of planning analyses, the changes of marketing mechanisms, the development of renewable electricity sources, the leaving from large-scale generation, the growth of smart technology and the increase in consumer awareness make the development of transmission networks a non-deterministic problem. In this article, we propose a planning procedure that takes the probabilistic elements into account. This procedure was developed to take into account the high variability of power flows caused by the generation of renewable sources and international exchange. Such conditions of the power system operation forced a departure from deterministic planning. The new probabilistic approach uses the existing tools and experience gained during subsequent development projects. As part of the probabilistic approach, simulations were carried out using the Latin Hypercube Sampling and Two Point Estimation Method algorithms. These methods effectively reduce the computation time and, at the same time, give satisfactory results. The verification was carried out on a test grid model developed in accordance with the technical standards used in the Polish Power System. Effects were assessed using a deterministic and probabilistic approach. This analysis confirmed the practical possibility of using the probabilistic approach in planning the development of transmission network in Poland. When using a probabilistic approach to predict power flow, the criteria of technical acceptability for a given development variant and the manner in which the strategy is determined are of particular importance.","author":[{"dropping-particle":"","family":"Przygrodzki","given":"Maksymilian","non-dropping-particle":"","parse-names":false,"suffix":""},{"dropping-particle":"","family":"Kubek","given":"Paweł","non-dropping-particle":"","parse-names":false,"suffix":""}],"container-title":"Energies 2021, Vol. 14, Page 161","id":"ITEM-1","issue":"1","issued":{"date-parts":[["2020","12","30"]]},"page":"161","publisher":"Multidisciplinary Digital Publishing Institute","title":"The Polish Practice of Probabilistic Approach in Power System Development Planning","type":"article-journal","volume":"14"},"uris":["http://www.mendeley.com/documents/?uuid=6d57ff57-6a23-3816-81ba-51b2adc2ed33"]}],"mendeley":{"formattedCitation":"(Przygrodzki &amp; Kubek, 2020)","manualFormatting":"Przygrodzki and Kubek (2020)","plainTextFormattedCitation":"(Przygrodzki &amp; Kubek, 2020)","previouslyFormattedCitation":"(Przygrodzki &amp; Kubek, 2020)"},"properties":{"noteIndex":0},"schema":"https://github.com/citation-style-language/schema/raw/master/csl-citation.json"}</w:instrText>
            </w:r>
            <w:r>
              <w:rPr>
                <w:lang w:val="en-US"/>
              </w:rPr>
              <w:fldChar w:fldCharType="separate"/>
            </w:r>
            <w:r>
              <w:rPr>
                <w:noProof/>
                <w:lang w:val="en-US"/>
              </w:rPr>
              <w:t>Przygrodzki and Kubek</w:t>
            </w:r>
            <w:r w:rsidRPr="004D500E">
              <w:rPr>
                <w:noProof/>
                <w:lang w:val="en-US"/>
              </w:rPr>
              <w:t xml:space="preserve"> </w:t>
            </w:r>
            <w:r>
              <w:rPr>
                <w:noProof/>
                <w:lang w:val="en-US"/>
              </w:rPr>
              <w:t>(</w:t>
            </w:r>
            <w:r w:rsidRPr="004D500E">
              <w:rPr>
                <w:noProof/>
                <w:lang w:val="en-US"/>
              </w:rPr>
              <w:t>2020)</w:t>
            </w:r>
            <w:r>
              <w:rPr>
                <w:lang w:val="en-US"/>
              </w:rPr>
              <w:fldChar w:fldCharType="end"/>
            </w:r>
          </w:p>
        </w:tc>
        <w:tc>
          <w:tcPr>
            <w:tcW w:w="2029" w:type="dxa"/>
          </w:tcPr>
          <w:p w14:paraId="50CC80A8" w14:textId="77777777" w:rsidR="00C4730F" w:rsidRDefault="00C4730F" w:rsidP="00720B45">
            <w:pPr>
              <w:rPr>
                <w:lang w:val="en-US"/>
              </w:rPr>
            </w:pPr>
            <w:r>
              <w:t>The Polish Practice of Probabilistic Approach in Power System Development Planning</w:t>
            </w:r>
          </w:p>
        </w:tc>
        <w:tc>
          <w:tcPr>
            <w:tcW w:w="3273" w:type="dxa"/>
          </w:tcPr>
          <w:p w14:paraId="50708E36" w14:textId="77777777" w:rsidR="00C4730F" w:rsidRPr="00E11E05" w:rsidRDefault="00C4730F" w:rsidP="00720B45">
            <w:pPr>
              <w:rPr>
                <w:lang w:val="en-US"/>
              </w:rPr>
            </w:pPr>
            <w:r w:rsidRPr="00E11E05">
              <w:rPr>
                <w:lang w:val="en-US"/>
              </w:rPr>
              <w:t>Probabilistic simulations of power flow simulation were carried out on Poland’s power system viz-a-viz technical standards that are in force in Poland.</w:t>
            </w:r>
          </w:p>
          <w:p w14:paraId="090C9E03" w14:textId="77777777" w:rsidR="00C4730F" w:rsidRPr="00E11E05" w:rsidRDefault="00C4730F" w:rsidP="00720B45">
            <w:pPr>
              <w:rPr>
                <w:lang w:val="en-US"/>
              </w:rPr>
            </w:pPr>
          </w:p>
        </w:tc>
        <w:tc>
          <w:tcPr>
            <w:tcW w:w="2496" w:type="dxa"/>
          </w:tcPr>
          <w:p w14:paraId="44169E40" w14:textId="77777777" w:rsidR="00C4730F" w:rsidRPr="00E11E05" w:rsidRDefault="00C4730F" w:rsidP="00720B45">
            <w:pPr>
              <w:rPr>
                <w:lang w:val="en-US"/>
              </w:rPr>
            </w:pPr>
            <w:r>
              <w:rPr>
                <w:lang w:val="en-US"/>
              </w:rPr>
              <w:t>The study successfully linked the technical analysis with the economic analysis.</w:t>
            </w:r>
          </w:p>
        </w:tc>
        <w:tc>
          <w:tcPr>
            <w:tcW w:w="2496" w:type="dxa"/>
          </w:tcPr>
          <w:p w14:paraId="32C1C9D4" w14:textId="562B19AB" w:rsidR="00C4730F" w:rsidRPr="00E11E05" w:rsidRDefault="00C4730F" w:rsidP="00720B45">
            <w:pPr>
              <w:rPr>
                <w:lang w:val="en-US"/>
              </w:rPr>
            </w:pPr>
            <w:r w:rsidRPr="00E11E05">
              <w:rPr>
                <w:lang w:val="en-US"/>
              </w:rPr>
              <w:t>The study was computationally intensive as to require the use of machine clusters or supercomputer</w:t>
            </w:r>
            <w:r w:rsidR="009861F9">
              <w:rPr>
                <w:lang w:val="en-US"/>
              </w:rPr>
              <w:t>s</w:t>
            </w:r>
            <w:r w:rsidR="008072B4">
              <w:rPr>
                <w:lang w:val="en-US"/>
              </w:rPr>
              <w:t xml:space="preserve"> which makes the methodology unsuitable for general </w:t>
            </w:r>
            <w:r w:rsidR="00817138">
              <w:rPr>
                <w:lang w:val="en-US"/>
              </w:rPr>
              <w:t>applications</w:t>
            </w:r>
            <w:r w:rsidRPr="00E11E05">
              <w:rPr>
                <w:lang w:val="en-US"/>
              </w:rPr>
              <w:t>.</w:t>
            </w:r>
          </w:p>
          <w:p w14:paraId="4F6895EB" w14:textId="77777777" w:rsidR="00C4730F" w:rsidRPr="00E11E05" w:rsidRDefault="00C4730F" w:rsidP="00720B45">
            <w:pPr>
              <w:ind w:left="360"/>
              <w:rPr>
                <w:lang w:val="en-US"/>
              </w:rPr>
            </w:pPr>
          </w:p>
        </w:tc>
      </w:tr>
      <w:tr w:rsidR="00C4730F" w14:paraId="25D3670B" w14:textId="77777777" w:rsidTr="00D35D78">
        <w:tc>
          <w:tcPr>
            <w:tcW w:w="2210" w:type="dxa"/>
          </w:tcPr>
          <w:p w14:paraId="5831F329" w14:textId="77777777" w:rsidR="00C4730F" w:rsidRDefault="00C4730F" w:rsidP="00720B45">
            <w:pPr>
              <w:rPr>
                <w:lang w:val="en-US"/>
              </w:rPr>
            </w:pPr>
            <w:r>
              <w:rPr>
                <w:lang w:val="en-US"/>
              </w:rPr>
              <w:fldChar w:fldCharType="begin" w:fldLock="1"/>
            </w:r>
            <w:r>
              <w:rPr>
                <w:lang w:val="en-US"/>
              </w:rPr>
              <w:instrText>ADDIN CSL_CITATION {"citationItems":[{"id":"ITEM-1","itemData":{"DOI":"10.1109/EI250167.2020.9347328","ISBN":"9781728196060","abstract":"With the continued growth of electricity demand, the power system is trending towards extreme operation increasingly. In order to analyze the impact of load changes on power system operating risks, a novel power system security risk assessment algorithm is proposed based on Latin hypercube sampling and daily peak load forecasting. Firstly, the gated recurrent neural network combining dynamic time warping is applied to forecast the daily peak load. Then a Markov-based component failure model is constructed and the component state is determined by Latin hypercube sampling. Finally, the optimal load reduction and security risk of the power system is calculated. The simulation results show that, compared to Monte Carlo sampling, Latin Hypercube sampling requires fewer samples to achieve the same accuracy. Furthermore, it can be found by observing the fluctuation of power system security risk and daily peak load that their trend of changing is basically the similar but the amplitude is different. When the load level is low, there is a 'compression' effect on the power system risk changes, and when the load level is high, there is a 'stretch' effect. Therefore, accurate load forecasting can determine the risk trend of the system in advance, which is beneficial to the safe and stable operation of the power system.","author":[{"dropping-particle":"","family":"Guo","given":"Jun","non-dropping-particle":"","parse-names":false,"suffix":""},{"dropping-particle":"","family":"Feng","given":"Tao","non-dropping-particle":"","parse-names":false,"suffix":""},{"dropping-particle":"","family":"Cai","given":"Zelin","non-dropping-particle":"","parse-names":false,"suffix":""},{"dropping-particle":"","family":"Yu","given":"Zeyuan","non-dropping-particle":"","parse-names":false,"suffix":""},{"dropping-particle":"","family":"Gu","given":"Yican","non-dropping-particle":"","parse-names":false,"suffix":""},{"dropping-particle":"","family":"Qian","given":"Tong","non-dropping-particle":"","parse-names":false,"suffix":""},{"dropping-particle":"","family":"Huang","given":"Kecan","non-dropping-particle":"","parse-names":false,"suffix":""},{"dropping-particle":"","family":"Tang","given":"Wenhu","non-dropping-particle":"","parse-names":false,"suffix":""}],"container-title":"2020 IEEE 4th Conference on Energy Internet and Energy System Integration: Connecting the Grids Towards a Low-Carbon High-Efficiency Energy System, EI2 2020","id":"ITEM-1","issued":{"date-parts":[["2020","10","30"]]},"page":"2787-2792","publisher":"Institute of Electrical and Electronics Engineers Inc.","title":"Security risk assessment of power system based on latin hypercube sampling and daily peak load forecasting","type":"paper-conference"},"uris":["http://www.mendeley.com/documents/?uuid=b7ce4558-a549-300e-99c0-5d2b8caab163"]}],"mendeley":{"formattedCitation":"(Guo et al., 2020)","manualFormatting":"Guo et al. (2020)","plainTextFormattedCitation":"(Guo et al., 2020)","previouslyFormattedCitation":"(Guo et al., 2020)"},"properties":{"noteIndex":0},"schema":"https://github.com/citation-style-language/schema/raw/master/csl-citation.json"}</w:instrText>
            </w:r>
            <w:r>
              <w:rPr>
                <w:lang w:val="en-US"/>
              </w:rPr>
              <w:fldChar w:fldCharType="separate"/>
            </w:r>
            <w:r>
              <w:rPr>
                <w:noProof/>
                <w:lang w:val="en-US"/>
              </w:rPr>
              <w:t>Guo et al.</w:t>
            </w:r>
            <w:r w:rsidRPr="004D500E">
              <w:rPr>
                <w:noProof/>
                <w:lang w:val="en-US"/>
              </w:rPr>
              <w:t xml:space="preserve"> </w:t>
            </w:r>
            <w:r>
              <w:rPr>
                <w:noProof/>
                <w:lang w:val="en-US"/>
              </w:rPr>
              <w:t>(</w:t>
            </w:r>
            <w:r w:rsidRPr="004D500E">
              <w:rPr>
                <w:noProof/>
                <w:lang w:val="en-US"/>
              </w:rPr>
              <w:t>2020)</w:t>
            </w:r>
            <w:r>
              <w:rPr>
                <w:lang w:val="en-US"/>
              </w:rPr>
              <w:fldChar w:fldCharType="end"/>
            </w:r>
          </w:p>
        </w:tc>
        <w:tc>
          <w:tcPr>
            <w:tcW w:w="2029" w:type="dxa"/>
          </w:tcPr>
          <w:p w14:paraId="0F4A413E" w14:textId="719E5437" w:rsidR="00C4730F" w:rsidRDefault="00C4730F" w:rsidP="009861F9">
            <w:pPr>
              <w:rPr>
                <w:lang w:val="en-US"/>
              </w:rPr>
            </w:pPr>
            <w:r>
              <w:t xml:space="preserve">Security risk assessment of power system based on </w:t>
            </w:r>
            <w:r w:rsidR="009861F9">
              <w:t>L</w:t>
            </w:r>
            <w:r>
              <w:t>atin hypercube sampling and daily peak load forecasting</w:t>
            </w:r>
          </w:p>
        </w:tc>
        <w:tc>
          <w:tcPr>
            <w:tcW w:w="3273" w:type="dxa"/>
          </w:tcPr>
          <w:p w14:paraId="2EB596BB" w14:textId="77777777" w:rsidR="00C4730F" w:rsidRPr="00E11E05" w:rsidRDefault="00C4730F" w:rsidP="00720B45">
            <w:pPr>
              <w:rPr>
                <w:lang w:val="en-US"/>
              </w:rPr>
            </w:pPr>
            <w:r w:rsidRPr="00E11E05">
              <w:rPr>
                <w:lang w:val="en-US"/>
              </w:rPr>
              <w:t>A risk assessment algorithm using Latin hypercube sampling in conjunction with peak load forecasting is proposed.</w:t>
            </w:r>
            <w:r>
              <w:rPr>
                <w:lang w:val="en-US"/>
              </w:rPr>
              <w:t xml:space="preserve"> Markov modelling and Recurrent Neural Networks are also used.</w:t>
            </w:r>
          </w:p>
        </w:tc>
        <w:tc>
          <w:tcPr>
            <w:tcW w:w="2496" w:type="dxa"/>
          </w:tcPr>
          <w:p w14:paraId="0764480C" w14:textId="5280EC20" w:rsidR="00C4730F" w:rsidRPr="00E11E05" w:rsidRDefault="00C4730F" w:rsidP="009861F9">
            <w:pPr>
              <w:rPr>
                <w:lang w:val="en-US"/>
              </w:rPr>
            </w:pPr>
            <w:r>
              <w:rPr>
                <w:lang w:val="en-US"/>
              </w:rPr>
              <w:t>The Latin-hypercube</w:t>
            </w:r>
            <w:r w:rsidR="009861F9">
              <w:rPr>
                <w:lang w:val="en-US"/>
              </w:rPr>
              <w:t>-</w:t>
            </w:r>
            <w:r>
              <w:rPr>
                <w:lang w:val="en-US"/>
              </w:rPr>
              <w:t xml:space="preserve">based method is found to be more efficient than </w:t>
            </w:r>
            <w:r w:rsidR="009861F9">
              <w:rPr>
                <w:lang w:val="en-US"/>
              </w:rPr>
              <w:t xml:space="preserve">the </w:t>
            </w:r>
            <w:r>
              <w:rPr>
                <w:lang w:val="en-US"/>
              </w:rPr>
              <w:t>Monte Carlo simulation for the dataset considered in the study.</w:t>
            </w:r>
          </w:p>
        </w:tc>
        <w:tc>
          <w:tcPr>
            <w:tcW w:w="2496" w:type="dxa"/>
          </w:tcPr>
          <w:p w14:paraId="2D2CAC1C" w14:textId="77777777" w:rsidR="00C4730F" w:rsidRPr="00E11E05" w:rsidRDefault="00C4730F" w:rsidP="00720B45">
            <w:pPr>
              <w:rPr>
                <w:lang w:val="en-US"/>
              </w:rPr>
            </w:pPr>
            <w:r w:rsidRPr="00E11E05">
              <w:rPr>
                <w:lang w:val="en-US"/>
              </w:rPr>
              <w:t>This method is not able to identify the weak links in the power system.</w:t>
            </w:r>
          </w:p>
        </w:tc>
      </w:tr>
      <w:tr w:rsidR="00C4730F" w14:paraId="34D2237E" w14:textId="77777777" w:rsidTr="00D35D78">
        <w:tc>
          <w:tcPr>
            <w:tcW w:w="2210" w:type="dxa"/>
          </w:tcPr>
          <w:p w14:paraId="3A24E5AA" w14:textId="77777777" w:rsidR="00C4730F" w:rsidRDefault="00C4730F" w:rsidP="00720B45">
            <w:pPr>
              <w:rPr>
                <w:lang w:val="en-US"/>
              </w:rPr>
            </w:pPr>
            <w:r>
              <w:rPr>
                <w:lang w:val="en-US"/>
              </w:rPr>
              <w:fldChar w:fldCharType="begin" w:fldLock="1"/>
            </w:r>
            <w:r>
              <w:rPr>
                <w:lang w:val="en-US"/>
              </w:rPr>
              <w:instrText>ADDIN CSL_CITATION {"citationItems":[{"id":"ITEM-1","itemData":{"DOI":"10.1049/RPG2.12169","ISSN":"17521424","abstract":"The risks associated with wind power forecast (WF) deviations are of paramount importance to many power system participants (PSPs). However, traditional sampling approaches are computationally prohibitive to model these deviations. Additionally, setting a risk level for satisfying different PSPs receives little attention. This paper constructs a risk-adjustable stochastic day-ahead scheduling (RSDS) model to balance the risk requirements of PSPs, and proposes a Sobol-augmented Latin Hypercube Sampling (SaLHS) approach to improve sampling efficiency for scenario generation process in RSDS. At first, SaLHS and D-vine copula are combined to generate WF error scenarios for RSDS considering correlations of wind farms. Specifically, SaLHS improves the uniformity and removes the correlation of random samples. Then, a Glue-VaR-based generation adequacy index (GVGAI) is proposed to measure operational risk. By adjusting the parameters of GVGAI, a desirable risk level can be obtained considering requirements of different PSPs. Furthermore, a multi-objective RSDS model is constructed considering operational cost and GVGAI. At last, an entropy-Weighted Aggregated Sum Product Assessment method is proposed to find the best compromise solution for RSDS model based on the Pareto front obtained by an ε-constraint method. A modified IEEE-RTS system is used to validate the effectiveness of proposed method via numerical simulations.","author":[{"dropping-particle":"","family":"Ma","given":"Zeyang","non-dropping-particle":"","parse-names":false,"suffix":""},{"dropping-particle":"","family":"Gao","given":"Jianwei","non-dropping-particle":"","parse-names":false,"suffix":""},{"dropping-particle":"","family":"Hu","given":"Wenqiang","non-dropping-particle":"","parse-names":false,"suffix":""},{"dropping-particle":"","family":"Dinavahi","given":"Venkata","non-dropping-particle":"","parse-names":false,"suffix":""}],"container-title":"IET Renewable Power Generation","id":"ITEM-1","issue":"11","issued":{"date-parts":[["2021","8","1"]]},"page":"2356-2367","publisher":"John Wiley and Sons Inc","title":"Risk-adjustable stochastic schedule based on Sobol augmented Latin hypercube sampling considering correlation of wind power uncertainties","type":"article-journal","volume":"15"},"uris":["http://www.mendeley.com/documents/?uuid=4cab5603-4b3d-3b96-8bee-c7eb28e999c4"]}],"mendeley":{"formattedCitation":"(Ma et al., 2021)","manualFormatting":"Ma et al. (2021)","plainTextFormattedCitation":"(Ma et al., 2021)","previouslyFormattedCitation":"(Ma et al., 2021)"},"properties":{"noteIndex":0},"schema":"https://github.com/citation-style-language/schema/raw/master/csl-citation.json"}</w:instrText>
            </w:r>
            <w:r>
              <w:rPr>
                <w:lang w:val="en-US"/>
              </w:rPr>
              <w:fldChar w:fldCharType="separate"/>
            </w:r>
            <w:r>
              <w:rPr>
                <w:noProof/>
                <w:lang w:val="en-US"/>
              </w:rPr>
              <w:t>Ma et al.</w:t>
            </w:r>
            <w:r w:rsidRPr="004D500E">
              <w:rPr>
                <w:noProof/>
                <w:lang w:val="en-US"/>
              </w:rPr>
              <w:t xml:space="preserve"> </w:t>
            </w:r>
            <w:r>
              <w:rPr>
                <w:noProof/>
                <w:lang w:val="en-US"/>
              </w:rPr>
              <w:t>(</w:t>
            </w:r>
            <w:r w:rsidRPr="004D500E">
              <w:rPr>
                <w:noProof/>
                <w:lang w:val="en-US"/>
              </w:rPr>
              <w:t>2021)</w:t>
            </w:r>
            <w:r>
              <w:rPr>
                <w:lang w:val="en-US"/>
              </w:rPr>
              <w:fldChar w:fldCharType="end"/>
            </w:r>
          </w:p>
        </w:tc>
        <w:tc>
          <w:tcPr>
            <w:tcW w:w="2029" w:type="dxa"/>
          </w:tcPr>
          <w:p w14:paraId="348B8E57" w14:textId="6422B7AB" w:rsidR="00C4730F" w:rsidRDefault="00C4730F" w:rsidP="00720B45">
            <w:pPr>
              <w:rPr>
                <w:lang w:val="en-US"/>
              </w:rPr>
            </w:pPr>
            <w:r>
              <w:t xml:space="preserve">Risk-adjustable stochastic schedule based on Sobol augmented Latin hypercube sampling considering </w:t>
            </w:r>
            <w:r w:rsidR="009861F9">
              <w:t xml:space="preserve">the </w:t>
            </w:r>
            <w:r>
              <w:t>correlation of wind power uncertainties</w:t>
            </w:r>
          </w:p>
        </w:tc>
        <w:tc>
          <w:tcPr>
            <w:tcW w:w="3273" w:type="dxa"/>
          </w:tcPr>
          <w:p w14:paraId="68E06270" w14:textId="47046C58" w:rsidR="00C4730F" w:rsidRPr="00FA2566" w:rsidRDefault="009861F9" w:rsidP="009861F9">
            <w:pPr>
              <w:rPr>
                <w:lang w:val="en-US"/>
              </w:rPr>
            </w:pPr>
            <w:r>
              <w:rPr>
                <w:lang w:val="en-US"/>
              </w:rPr>
              <w:t>The S</w:t>
            </w:r>
            <w:r w:rsidR="00C4730F" w:rsidRPr="00FA2566">
              <w:rPr>
                <w:lang w:val="en-US"/>
              </w:rPr>
              <w:t xml:space="preserve">obol-sequence method was used to augment the Latin Hypercube Sampling to handle </w:t>
            </w:r>
            <w:r>
              <w:rPr>
                <w:lang w:val="en-US"/>
              </w:rPr>
              <w:t xml:space="preserve">the </w:t>
            </w:r>
            <w:r w:rsidR="00C4730F" w:rsidRPr="00FA2566">
              <w:rPr>
                <w:lang w:val="en-US"/>
              </w:rPr>
              <w:t>higher dimensionality of the</w:t>
            </w:r>
            <w:r w:rsidR="00C4730F">
              <w:rPr>
                <w:lang w:val="en-US"/>
              </w:rPr>
              <w:t xml:space="preserve"> wind</w:t>
            </w:r>
            <w:r w:rsidR="00C4730F" w:rsidRPr="00FA2566">
              <w:rPr>
                <w:lang w:val="en-US"/>
              </w:rPr>
              <w:t xml:space="preserve"> forecast problem.</w:t>
            </w:r>
          </w:p>
        </w:tc>
        <w:tc>
          <w:tcPr>
            <w:tcW w:w="2496" w:type="dxa"/>
          </w:tcPr>
          <w:p w14:paraId="032D63CB" w14:textId="60447690" w:rsidR="00C4730F" w:rsidRPr="00FA2566" w:rsidRDefault="009861F9" w:rsidP="00720B45">
            <w:pPr>
              <w:rPr>
                <w:lang w:val="en-US"/>
              </w:rPr>
            </w:pPr>
            <w:r>
              <w:rPr>
                <w:lang w:val="en-US"/>
              </w:rPr>
              <w:t>The c</w:t>
            </w:r>
            <w:r w:rsidR="00C4730F">
              <w:rPr>
                <w:lang w:val="en-US"/>
              </w:rPr>
              <w:t xml:space="preserve">opula method is also incorporated into the method proposed in this work and tested on </w:t>
            </w:r>
            <w:r>
              <w:rPr>
                <w:lang w:val="en-US"/>
              </w:rPr>
              <w:t xml:space="preserve">the </w:t>
            </w:r>
            <w:r w:rsidR="00C4730F">
              <w:rPr>
                <w:lang w:val="en-US"/>
              </w:rPr>
              <w:t>IEEE 118-bus system with promising results.</w:t>
            </w:r>
          </w:p>
        </w:tc>
        <w:tc>
          <w:tcPr>
            <w:tcW w:w="2496" w:type="dxa"/>
          </w:tcPr>
          <w:p w14:paraId="7F5A14F2" w14:textId="77777777" w:rsidR="00C4730F" w:rsidRPr="00FA2566" w:rsidRDefault="00C4730F" w:rsidP="00720B45">
            <w:pPr>
              <w:rPr>
                <w:lang w:val="en-US"/>
              </w:rPr>
            </w:pPr>
            <w:r w:rsidRPr="00FA2566">
              <w:rPr>
                <w:lang w:val="en-US"/>
              </w:rPr>
              <w:t>The proposed method requires generating a large number of stochastic scenarios.</w:t>
            </w:r>
          </w:p>
          <w:p w14:paraId="3DE27C95" w14:textId="77777777" w:rsidR="00C4730F" w:rsidRPr="00FA2566" w:rsidRDefault="00C4730F" w:rsidP="00720B45">
            <w:pPr>
              <w:rPr>
                <w:lang w:val="en-US"/>
              </w:rPr>
            </w:pPr>
            <w:r w:rsidRPr="00FA2566">
              <w:rPr>
                <w:lang w:val="en-US"/>
              </w:rPr>
              <w:t>The proposed method is limited to generation adequacy indices.</w:t>
            </w:r>
          </w:p>
        </w:tc>
      </w:tr>
      <w:tr w:rsidR="00C4730F" w14:paraId="5354A930" w14:textId="77777777" w:rsidTr="00D35D78">
        <w:tc>
          <w:tcPr>
            <w:tcW w:w="2210" w:type="dxa"/>
          </w:tcPr>
          <w:p w14:paraId="7CA8578F" w14:textId="77777777" w:rsidR="00C4730F" w:rsidRDefault="00C4730F" w:rsidP="00720B45">
            <w:pPr>
              <w:rPr>
                <w:lang w:val="en-US"/>
              </w:rPr>
            </w:pPr>
            <w:r>
              <w:rPr>
                <w:lang w:val="en-US"/>
              </w:rPr>
              <w:fldChar w:fldCharType="begin" w:fldLock="1"/>
            </w:r>
            <w:r>
              <w:rPr>
                <w:lang w:val="en-US"/>
              </w:rPr>
              <w:instrText>ADDIN CSL_CITATION {"citationItems":[{"id":"ITEM-1","itemData":{"DOI":"10.1016/J.SCS.2021.103059","ISSN":"2210-6707","abstract":"The energy hubs (EHs) have been developed as multi-carrier systems to enhance the energy efficiency, reliability, and economic profits. Also, the residential sector could be techno-economically optimized by applying the residential EH (REH) scheme. The system uncertainties are one of the most crucial problems that might adversely affect the EHs and REHs. The stochastic nature of renewable energy sources’ output power as supply-side's uncertainties in REHs have received more attention than modelling and studies of demand-side ones, e.g., plug-in hybrid electric vehicle (PHEV) uncertainties. Although several types of research, particularly Monte Carlo simulation-based studies, have been reported for probabilistic optimal operation of REHs, there is a research gap about proposing a fast method considering both PHEVs and renewable energy source (RES) uncertainties simultaneously. This study aims to investigate the stochastic energy management of REHs, considering intermittencies in the PHEVs and the RESs using the two-point estimation method (2PEM). In this paper, the uncertainties in the PHEVs, i.e., arrival time, driving distance, and departure time, are concerned. The consideration of different charging modes of PHEVs, such as vehicle-to-grid and grid-to-vehicle modes, is another contribution of this article. The comparative results are verified with the current methods, and the proposed method's efficiency is illustrated.","author":[{"dropping-particle":"","family":"Emrani-Rahaghi","given":"Pouria","non-dropping-particle":"","parse-names":false,"suffix":""},{"dropping-particle":"","family":"Hashemi-Dezaki","given":"Hamed","non-dropping-particle":"","parse-names":false,"suffix":""},{"dropping-particle":"","family":"Hasankhani","given":"Arezoo","non-dropping-particle":"","parse-names":false,"suffix":""}],"container-title":"Sustainable Cities and Society","id":"ITEM-1","issued":{"date-parts":[["2021","9","1"]]},"page":"103059","publisher":"Elsevier","title":"Optimal stochastic operation of residential energy hubs based on plug-in hybrid electric vehicle uncertainties using two-point estimation method","type":"article-journal","volume":"72"},"uris":["http://www.mendeley.com/documents/?uuid=5e1a9da4-cd2e-372b-95bc-bdb6ea588fdf"]}],"mendeley":{"formattedCitation":"(Emrani-Rahaghi et al., 2021)","manualFormatting":"Emrani-Rahaghi et al. (2021)","plainTextFormattedCitation":"(Emrani-Rahaghi et al., 2021)","previouslyFormattedCitation":"(Emrani-Rahaghi et al., 2021)"},"properties":{"noteIndex":0},"schema":"https://github.com/citation-style-language/schema/raw/master/csl-citation.json"}</w:instrText>
            </w:r>
            <w:r>
              <w:rPr>
                <w:lang w:val="en-US"/>
              </w:rPr>
              <w:fldChar w:fldCharType="separate"/>
            </w:r>
            <w:r>
              <w:rPr>
                <w:noProof/>
                <w:lang w:val="en-US"/>
              </w:rPr>
              <w:t>Emrani-Rahaghi et al.</w:t>
            </w:r>
            <w:r w:rsidRPr="004D500E">
              <w:rPr>
                <w:noProof/>
                <w:lang w:val="en-US"/>
              </w:rPr>
              <w:t xml:space="preserve"> </w:t>
            </w:r>
            <w:r>
              <w:rPr>
                <w:noProof/>
                <w:lang w:val="en-US"/>
              </w:rPr>
              <w:t>(</w:t>
            </w:r>
            <w:r w:rsidRPr="004D500E">
              <w:rPr>
                <w:noProof/>
                <w:lang w:val="en-US"/>
              </w:rPr>
              <w:t>2021)</w:t>
            </w:r>
            <w:r>
              <w:rPr>
                <w:lang w:val="en-US"/>
              </w:rPr>
              <w:fldChar w:fldCharType="end"/>
            </w:r>
          </w:p>
        </w:tc>
        <w:tc>
          <w:tcPr>
            <w:tcW w:w="2029" w:type="dxa"/>
          </w:tcPr>
          <w:p w14:paraId="61341164" w14:textId="77777777" w:rsidR="00C4730F" w:rsidRDefault="00C4730F" w:rsidP="00720B45">
            <w:pPr>
              <w:rPr>
                <w:lang w:val="en-US"/>
              </w:rPr>
            </w:pPr>
            <w:r>
              <w:t>Optimal stochastic operation of residential energy hubs based on plug-in hybrid electric vehicle uncertainties using two-point estimation method.</w:t>
            </w:r>
          </w:p>
        </w:tc>
        <w:tc>
          <w:tcPr>
            <w:tcW w:w="3273" w:type="dxa"/>
          </w:tcPr>
          <w:p w14:paraId="258C20B1" w14:textId="2A799F9D" w:rsidR="00C4730F" w:rsidRPr="00FA2566" w:rsidRDefault="00C4730F" w:rsidP="00720B45">
            <w:pPr>
              <w:rPr>
                <w:lang w:val="en-US"/>
              </w:rPr>
            </w:pPr>
            <w:r w:rsidRPr="00FA2566">
              <w:rPr>
                <w:lang w:val="en-US"/>
              </w:rPr>
              <w:t>T</w:t>
            </w:r>
            <w:r w:rsidR="009861F9">
              <w:rPr>
                <w:lang w:val="en-US"/>
              </w:rPr>
              <w:t>he t</w:t>
            </w:r>
            <w:r w:rsidRPr="00FA2566">
              <w:rPr>
                <w:lang w:val="en-US"/>
              </w:rPr>
              <w:t>wo-point estimation method is used for the optimization of the residential energy hubs incorporating plug-in hybrid electric vehicles.</w:t>
            </w:r>
          </w:p>
          <w:p w14:paraId="0BCEE758" w14:textId="77777777" w:rsidR="00C4730F" w:rsidRPr="00FA2566" w:rsidRDefault="00C4730F" w:rsidP="00720B45">
            <w:pPr>
              <w:rPr>
                <w:lang w:val="en-US"/>
              </w:rPr>
            </w:pPr>
          </w:p>
        </w:tc>
        <w:tc>
          <w:tcPr>
            <w:tcW w:w="2496" w:type="dxa"/>
          </w:tcPr>
          <w:p w14:paraId="1B8DC18F" w14:textId="3F7257B6" w:rsidR="00C4730F" w:rsidRPr="00FA2566" w:rsidRDefault="00C4730F" w:rsidP="009861F9">
            <w:pPr>
              <w:rPr>
                <w:lang w:val="en-US"/>
              </w:rPr>
            </w:pPr>
            <w:r>
              <w:rPr>
                <w:lang w:val="en-US"/>
              </w:rPr>
              <w:t>The solutions were better when the uncertainty of the electric vehicles w</w:t>
            </w:r>
            <w:r w:rsidR="009861F9">
              <w:rPr>
                <w:lang w:val="en-US"/>
              </w:rPr>
              <w:t>as</w:t>
            </w:r>
            <w:r>
              <w:rPr>
                <w:lang w:val="en-US"/>
              </w:rPr>
              <w:t xml:space="preserve"> implemented in the optimization based on the developed model.</w:t>
            </w:r>
          </w:p>
        </w:tc>
        <w:tc>
          <w:tcPr>
            <w:tcW w:w="2496" w:type="dxa"/>
          </w:tcPr>
          <w:p w14:paraId="28475355" w14:textId="64625905" w:rsidR="00C4730F" w:rsidRPr="00FA2566" w:rsidRDefault="00C4730F" w:rsidP="009861F9">
            <w:pPr>
              <w:rPr>
                <w:lang w:val="en-US"/>
              </w:rPr>
            </w:pPr>
            <w:r w:rsidRPr="00FA2566">
              <w:rPr>
                <w:lang w:val="en-US"/>
              </w:rPr>
              <w:t>The interactions of different aspects of uncertainty such as the electricity price w</w:t>
            </w:r>
            <w:r w:rsidR="009861F9">
              <w:rPr>
                <w:lang w:val="en-US"/>
              </w:rPr>
              <w:t>ere</w:t>
            </w:r>
            <w:r w:rsidRPr="00FA2566">
              <w:rPr>
                <w:lang w:val="en-US"/>
              </w:rPr>
              <w:t xml:space="preserve"> not considered, it was focused on the electric vehicles.</w:t>
            </w:r>
          </w:p>
        </w:tc>
      </w:tr>
      <w:tr w:rsidR="00C4730F" w14:paraId="0F341F24" w14:textId="77777777" w:rsidTr="00D35D78">
        <w:tc>
          <w:tcPr>
            <w:tcW w:w="2210" w:type="dxa"/>
          </w:tcPr>
          <w:p w14:paraId="71EB70F3" w14:textId="77777777" w:rsidR="00C4730F" w:rsidRDefault="00C4730F" w:rsidP="00720B45">
            <w:pPr>
              <w:rPr>
                <w:lang w:val="en-US"/>
              </w:rPr>
            </w:pPr>
            <w:r>
              <w:rPr>
                <w:lang w:val="en-US"/>
              </w:rPr>
              <w:fldChar w:fldCharType="begin" w:fldLock="1"/>
            </w:r>
            <w:r>
              <w:rPr>
                <w:lang w:val="en-US"/>
              </w:rPr>
              <w:instrText>ADDIN CSL_CITATION {"citationItems":[{"id":"ITEM-1","itemData":{"DOI":"10.1007/S00521-019-04130-Y/TABLES/9","ISSN":"14333058","abstract":"Many forecasting models are built on neural networks. The key issues in these models, which strongly translate into the accuracy of forecasts, are data representation and the decomposition of the forecasting problem. In this work, we consider both of these problems using short-term electricity load demand forecasting as an example. A load time series expresses both the trend and multiple seasonal cycles. To deal with multi-seasonality, we consider four methods of the problem decomposition. Depending on the decomposition degree, the problem is split into local subproblems which are modeled using neural networks. We move from the global model, which is competent for all forecasting tasks, through the local models competent for the subproblems, to the models built individually for each forecasting task. Additionally, we consider different ways of the input data encoding and analyze the impact of the data representation on the results. The forecasting models are examined on the real power system data from four European countries. Results indicate that the local approaches can significantly improve the accuracy of load forecasting, compared to the global approach. A greater degree of decomposition leads to the greater reduction in forecast errors.","author":[{"dropping-particle":"","family":"Dudek","given":"Grzegorz","non-dropping-particle":"","parse-names":false,"suffix":""}],"container-title":"Neural Computing and Applications","id":"ITEM-1","issue":"8","issued":{"date-parts":[["2020","4","1"]]},"page":"3695-3707","publisher":"Springer","title":"Multilayer perceptron for short-term load forecasting: from global to local approach","type":"article-journal","volume":"32"},"uris":["http://www.mendeley.com/documents/?uuid=0bf7b0e6-b19f-3a49-8cb1-d4322716b1a6"]}],"mendeley":{"formattedCitation":"(Dudek, 2020)","manualFormatting":"Dudek (2020)","plainTextFormattedCitation":"(Dudek, 2020)","previouslyFormattedCitation":"(Dudek, 2020)"},"properties":{"noteIndex":0},"schema":"https://github.com/citation-style-language/schema/raw/master/csl-citation.json"}</w:instrText>
            </w:r>
            <w:r>
              <w:rPr>
                <w:lang w:val="en-US"/>
              </w:rPr>
              <w:fldChar w:fldCharType="separate"/>
            </w:r>
            <w:r>
              <w:rPr>
                <w:noProof/>
                <w:lang w:val="en-US"/>
              </w:rPr>
              <w:t>Dudek</w:t>
            </w:r>
            <w:r w:rsidRPr="004D500E">
              <w:rPr>
                <w:noProof/>
                <w:lang w:val="en-US"/>
              </w:rPr>
              <w:t xml:space="preserve"> </w:t>
            </w:r>
            <w:r>
              <w:rPr>
                <w:noProof/>
                <w:lang w:val="en-US"/>
              </w:rPr>
              <w:t>(</w:t>
            </w:r>
            <w:r w:rsidRPr="004D500E">
              <w:rPr>
                <w:noProof/>
                <w:lang w:val="en-US"/>
              </w:rPr>
              <w:t>2020)</w:t>
            </w:r>
            <w:r>
              <w:rPr>
                <w:lang w:val="en-US"/>
              </w:rPr>
              <w:fldChar w:fldCharType="end"/>
            </w:r>
          </w:p>
        </w:tc>
        <w:tc>
          <w:tcPr>
            <w:tcW w:w="2029" w:type="dxa"/>
          </w:tcPr>
          <w:p w14:paraId="7059044C" w14:textId="77777777" w:rsidR="00C4730F" w:rsidRDefault="00C4730F" w:rsidP="00720B45">
            <w:pPr>
              <w:rPr>
                <w:lang w:val="en-US"/>
              </w:rPr>
            </w:pPr>
            <w:r>
              <w:t>Multilayer perceptron for short-term load forecasting: from global to local approach.</w:t>
            </w:r>
          </w:p>
        </w:tc>
        <w:tc>
          <w:tcPr>
            <w:tcW w:w="3273" w:type="dxa"/>
          </w:tcPr>
          <w:p w14:paraId="2206D8B7" w14:textId="3358B44F" w:rsidR="00C4730F" w:rsidRPr="00D22592" w:rsidRDefault="00C4730F" w:rsidP="00720B45">
            <w:pPr>
              <w:rPr>
                <w:lang w:val="en-US"/>
              </w:rPr>
            </w:pPr>
            <w:r w:rsidRPr="00D22592">
              <w:rPr>
                <w:lang w:val="en-US"/>
              </w:rPr>
              <w:t>Multilayer perceptron network with Levenberg-Marqua</w:t>
            </w:r>
            <w:r w:rsidR="009861F9">
              <w:rPr>
                <w:lang w:val="en-US"/>
              </w:rPr>
              <w:t>r</w:t>
            </w:r>
            <w:r w:rsidRPr="00D22592">
              <w:rPr>
                <w:lang w:val="en-US"/>
              </w:rPr>
              <w:t>dt algorithm using Bayesian regularization is applied to the load forecasting</w:t>
            </w:r>
          </w:p>
        </w:tc>
        <w:tc>
          <w:tcPr>
            <w:tcW w:w="2496" w:type="dxa"/>
          </w:tcPr>
          <w:p w14:paraId="7BB496C1" w14:textId="77777777" w:rsidR="00C4730F" w:rsidRPr="00FA2566" w:rsidRDefault="00C4730F" w:rsidP="00720B45">
            <w:pPr>
              <w:rPr>
                <w:lang w:val="en-US"/>
              </w:rPr>
            </w:pPr>
            <w:r>
              <w:rPr>
                <w:lang w:val="en-US"/>
              </w:rPr>
              <w:t>Splitting the problem into subproblems to be handled by separate multilayer perceptrons improved the accuracy of forecasting.</w:t>
            </w:r>
          </w:p>
        </w:tc>
        <w:tc>
          <w:tcPr>
            <w:tcW w:w="2496" w:type="dxa"/>
          </w:tcPr>
          <w:p w14:paraId="5A0865BE" w14:textId="46B34D39" w:rsidR="00C4730F" w:rsidRPr="00FA2566" w:rsidRDefault="00C4730F" w:rsidP="009861F9">
            <w:pPr>
              <w:rPr>
                <w:lang w:val="en-US"/>
              </w:rPr>
            </w:pPr>
            <w:r w:rsidRPr="00FA2566">
              <w:rPr>
                <w:lang w:val="en-US"/>
              </w:rPr>
              <w:t>The model relies on splitting the problem into sub</w:t>
            </w:r>
            <w:r>
              <w:rPr>
                <w:lang w:val="en-US"/>
              </w:rPr>
              <w:t>-</w:t>
            </w:r>
            <w:r w:rsidRPr="00FA2566">
              <w:rPr>
                <w:lang w:val="en-US"/>
              </w:rPr>
              <w:t>problems and separate training of several neural networks.</w:t>
            </w:r>
          </w:p>
        </w:tc>
      </w:tr>
      <w:tr w:rsidR="00C4730F" w14:paraId="0A5D3C8D" w14:textId="77777777" w:rsidTr="00D35D78">
        <w:tc>
          <w:tcPr>
            <w:tcW w:w="2210" w:type="dxa"/>
          </w:tcPr>
          <w:p w14:paraId="5D9B57E2" w14:textId="77777777" w:rsidR="00C4730F" w:rsidRDefault="00C4730F" w:rsidP="00720B45">
            <w:pPr>
              <w:rPr>
                <w:lang w:val="en-US"/>
              </w:rPr>
            </w:pPr>
            <w:r>
              <w:rPr>
                <w:lang w:val="en-US"/>
              </w:rPr>
              <w:fldChar w:fldCharType="begin" w:fldLock="1"/>
            </w:r>
            <w:r>
              <w:rPr>
                <w:lang w:val="en-US"/>
              </w:rPr>
              <w:instrText>ADDIN CSL_CITATION {"citationItems":[{"id":"ITEM-1","itemData":{"DOI":"10.1007/S42835-020-00424-7","ISSN":"2093-7423","abstract":"Short-term load forecasting (STLF) is essential for power system operation. STLF based on deep neural network using LSTM layer is proposed. In order to apply the forecasting method to STLF, the input features are separated into historical and prediction data. Historical data are input to long short-term memory (LSTM) layer to model the relationships between past observed data. The outputs of the LSTM layer are incorporated with outputs of fully-connected layer in which prediction data, for instance weather information for forecasting day, are input. The optimal parameters of the proposed forecasting method are selected following several experiment. The proposed method is expected to contribute to stable power system operation by providing a precise load forecasting.","author":[{"dropping-particle":"","family":"Kwon","given":"Bo Sung","non-dropping-particle":"","parse-names":false,"suffix":""},{"dropping-particle":"","family":"Park","given":"Rae Jun","non-dropping-particle":"","parse-names":false,"suffix":""},{"dropping-particle":"Bin","family":"Song","given":"Kyung","non-dropping-particle":"","parse-names":false,"suffix":""}],"container-title":"Journal of Electrical Engineering &amp; Technology 2020 15:4","id":"ITEM-1","issue":"4","issued":{"date-parts":[["2020","5","11"]]},"page":"1501-1509","publisher":"Springer","title":"Short-Term Load Forecasting Based on Deep Neural Networks Using LSTM Layer","type":"article-journal","volume":"15"},"uris":["http://www.mendeley.com/documents/?uuid=050eb89e-73ab-30b0-b816-9314059f461e"]}],"mendeley":{"formattedCitation":"(Kwon et al., 2020)","manualFormatting":"Kwon et al. (2020)","plainTextFormattedCitation":"(Kwon et al., 2020)","previouslyFormattedCitation":"(Kwon et al., 2020)"},"properties":{"noteIndex":0},"schema":"https://github.com/citation-style-language/schema/raw/master/csl-citation.json"}</w:instrText>
            </w:r>
            <w:r>
              <w:rPr>
                <w:lang w:val="en-US"/>
              </w:rPr>
              <w:fldChar w:fldCharType="separate"/>
            </w:r>
            <w:r>
              <w:rPr>
                <w:noProof/>
                <w:lang w:val="en-US"/>
              </w:rPr>
              <w:t>Kwon et al.</w:t>
            </w:r>
            <w:r w:rsidRPr="004D500E">
              <w:rPr>
                <w:noProof/>
                <w:lang w:val="en-US"/>
              </w:rPr>
              <w:t xml:space="preserve"> </w:t>
            </w:r>
            <w:r>
              <w:rPr>
                <w:noProof/>
                <w:lang w:val="en-US"/>
              </w:rPr>
              <w:t>(</w:t>
            </w:r>
            <w:r w:rsidRPr="004D500E">
              <w:rPr>
                <w:noProof/>
                <w:lang w:val="en-US"/>
              </w:rPr>
              <w:t>2020)</w:t>
            </w:r>
            <w:r>
              <w:rPr>
                <w:lang w:val="en-US"/>
              </w:rPr>
              <w:fldChar w:fldCharType="end"/>
            </w:r>
          </w:p>
        </w:tc>
        <w:tc>
          <w:tcPr>
            <w:tcW w:w="2029" w:type="dxa"/>
          </w:tcPr>
          <w:p w14:paraId="2B874E99" w14:textId="77777777" w:rsidR="00C4730F" w:rsidRDefault="00C4730F" w:rsidP="00720B45">
            <w:pPr>
              <w:rPr>
                <w:lang w:val="en-US"/>
              </w:rPr>
            </w:pPr>
            <w:r>
              <w:t>Short-Term Load Forecasting Based on Deep Neural Networks Using LSTM Layer.</w:t>
            </w:r>
          </w:p>
        </w:tc>
        <w:tc>
          <w:tcPr>
            <w:tcW w:w="3273" w:type="dxa"/>
          </w:tcPr>
          <w:p w14:paraId="00DF00BA" w14:textId="77777777" w:rsidR="00C4730F" w:rsidRPr="00056D12" w:rsidRDefault="00C4730F" w:rsidP="00720B45">
            <w:pPr>
              <w:rPr>
                <w:lang w:val="en-US"/>
              </w:rPr>
            </w:pPr>
            <w:r w:rsidRPr="00056D12">
              <w:rPr>
                <w:lang w:val="en-US"/>
              </w:rPr>
              <w:t>Periodicity of load variation according to daily, weekly, and monthly patterns is made to reflect in the training algorithm.</w:t>
            </w:r>
          </w:p>
        </w:tc>
        <w:tc>
          <w:tcPr>
            <w:tcW w:w="2496" w:type="dxa"/>
          </w:tcPr>
          <w:p w14:paraId="062B9B71" w14:textId="6F6AA120" w:rsidR="00C4730F" w:rsidRPr="00056D12" w:rsidRDefault="00C4730F" w:rsidP="009861F9">
            <w:pPr>
              <w:rPr>
                <w:lang w:val="en-US"/>
              </w:rPr>
            </w:pPr>
            <w:r>
              <w:rPr>
                <w:lang w:val="en-US"/>
              </w:rPr>
              <w:t xml:space="preserve">Identification and incorporation of factors influencing </w:t>
            </w:r>
            <w:r w:rsidR="009861F9">
              <w:rPr>
                <w:lang w:val="en-US"/>
              </w:rPr>
              <w:t xml:space="preserve">the </w:t>
            </w:r>
            <w:r>
              <w:rPr>
                <w:lang w:val="en-US"/>
              </w:rPr>
              <w:t>load</w:t>
            </w:r>
            <w:r w:rsidR="009861F9">
              <w:rPr>
                <w:lang w:val="en-US"/>
              </w:rPr>
              <w:t xml:space="preserve"> into training</w:t>
            </w:r>
            <w:r>
              <w:rPr>
                <w:lang w:val="en-US"/>
              </w:rPr>
              <w:t xml:space="preserve"> the deep neural network </w:t>
            </w:r>
            <w:r w:rsidR="009861F9">
              <w:rPr>
                <w:lang w:val="en-US"/>
              </w:rPr>
              <w:t>improved</w:t>
            </w:r>
            <w:r>
              <w:rPr>
                <w:lang w:val="en-US"/>
              </w:rPr>
              <w:t xml:space="preserve"> the results of training.</w:t>
            </w:r>
          </w:p>
        </w:tc>
        <w:tc>
          <w:tcPr>
            <w:tcW w:w="2496" w:type="dxa"/>
          </w:tcPr>
          <w:p w14:paraId="51F6F68C" w14:textId="1E15B89C" w:rsidR="00C4730F" w:rsidRPr="00056D12" w:rsidRDefault="00C4730F" w:rsidP="009861F9">
            <w:pPr>
              <w:rPr>
                <w:lang w:val="en-US"/>
              </w:rPr>
            </w:pPr>
            <w:r w:rsidRPr="00056D12">
              <w:rPr>
                <w:lang w:val="en-US"/>
              </w:rPr>
              <w:t xml:space="preserve">Fluctuation in the load due to the availability of renewable energy resources </w:t>
            </w:r>
            <w:r w:rsidR="009861F9">
              <w:rPr>
                <w:lang w:val="en-US"/>
              </w:rPr>
              <w:t>is</w:t>
            </w:r>
            <w:r w:rsidRPr="00056D12">
              <w:rPr>
                <w:lang w:val="en-US"/>
              </w:rPr>
              <w:t xml:space="preserve"> not accounted for in the study.</w:t>
            </w:r>
          </w:p>
        </w:tc>
      </w:tr>
      <w:tr w:rsidR="00C4730F" w14:paraId="530D67B8" w14:textId="77777777" w:rsidTr="00D35D78">
        <w:tc>
          <w:tcPr>
            <w:tcW w:w="2210" w:type="dxa"/>
          </w:tcPr>
          <w:p w14:paraId="35E89FBA" w14:textId="77777777" w:rsidR="00C4730F" w:rsidRDefault="00C4730F" w:rsidP="00720B45">
            <w:pPr>
              <w:rPr>
                <w:lang w:val="en-US"/>
              </w:rPr>
            </w:pPr>
            <w:r>
              <w:rPr>
                <w:lang w:val="en-US"/>
              </w:rPr>
              <w:fldChar w:fldCharType="begin" w:fldLock="1"/>
            </w:r>
            <w:r>
              <w:rPr>
                <w:lang w:val="en-US"/>
              </w:rPr>
              <w:instrText>ADDIN CSL_CITATION {"citationItems":[{"id":"ITEM-1","itemData":{"DOI":"10.1016/J.ENERGY.2018.10.119","ISSN":"0360-5442","abstract":"Along with the deregulation of electric power market as well as aggregation of renewable resources, short term load forecasting (STLF) has become more and more momentous. However, it is a hard task due to various influential factors that leads to volatility and instability of the series. Therefore, this paper proposes a hybrid model which combines empirical mode decomposition (EMD), minimal redundancy maximal relevance (mRMR), general regression neural network (GRNN) with fruit fly optimization algorithm (FOA), namely EMD-mRMR-FOA-GRNN. The original load series is firstly decomposed into a quantity of intrinsic mode functions (IMFs) and a residue with different frequency so as to weaken the volatility of the series influenced by complicated factors. Then, mRMR is employed to obtain the best feature set through the correlation analysis between each IMF and the features including day types, temperature, meteorology conditions and so on. Finally, FOA is utilized to optimize the smoothing factor in GRNN. The ultimate forecasted load can be derived from the summation of the predicted results for all IMFs. To validate the proposed technique, load data in Langfang, China are provided. The results demonstrate that EMD-mRMR-FOA-GRNN is a promising approach in terms of STLF.","author":[{"dropping-particle":"","family":"Liang","given":"Yi","non-dropping-particle":"","parse-names":false,"suffix":""},{"dropping-particle":"","family":"Niu","given":"Dongxiao","non-dropping-particle":"","parse-names":false,"suffix":""},{"dropping-particle":"","family":"Hong","given":"Wei Chiang","non-dropping-particle":"","parse-names":false,"suffix":""}],"container-title":"Energy","id":"ITEM-1","issued":{"date-parts":[["2019","1","1"]]},"page":"653-663","publisher":"Pergamon","title":"Short term load forecasting based on feature extraction and improved general regression neural network model","type":"article-journal","volume":"166"},"uris":["http://www.mendeley.com/documents/?uuid=95e21d0d-d739-3ce2-a272-bcf1e3401067"]}],"mendeley":{"formattedCitation":"(Y. Liang et al., 2019)","manualFormatting":"Liang et al. (2019)","plainTextFormattedCitation":"(Y. Liang et al., 2019)","previouslyFormattedCitation":"(Y. Liang et al., 2019)"},"properties":{"noteIndex":0},"schema":"https://github.com/citation-style-language/schema/raw/master/csl-citation.json"}</w:instrText>
            </w:r>
            <w:r>
              <w:rPr>
                <w:lang w:val="en-US"/>
              </w:rPr>
              <w:fldChar w:fldCharType="separate"/>
            </w:r>
            <w:r>
              <w:rPr>
                <w:noProof/>
                <w:lang w:val="en-US"/>
              </w:rPr>
              <w:t>Liang et al.</w:t>
            </w:r>
            <w:r w:rsidRPr="004D500E">
              <w:rPr>
                <w:noProof/>
                <w:lang w:val="en-US"/>
              </w:rPr>
              <w:t xml:space="preserve"> </w:t>
            </w:r>
            <w:r>
              <w:rPr>
                <w:noProof/>
                <w:lang w:val="en-US"/>
              </w:rPr>
              <w:t>(</w:t>
            </w:r>
            <w:r w:rsidRPr="004D500E">
              <w:rPr>
                <w:noProof/>
                <w:lang w:val="en-US"/>
              </w:rPr>
              <w:t>2019)</w:t>
            </w:r>
            <w:r>
              <w:rPr>
                <w:lang w:val="en-US"/>
              </w:rPr>
              <w:fldChar w:fldCharType="end"/>
            </w:r>
          </w:p>
        </w:tc>
        <w:tc>
          <w:tcPr>
            <w:tcW w:w="2029" w:type="dxa"/>
          </w:tcPr>
          <w:p w14:paraId="38446662" w14:textId="77777777" w:rsidR="00C4730F" w:rsidRDefault="00C4730F" w:rsidP="00720B45">
            <w:pPr>
              <w:rPr>
                <w:lang w:val="en-US"/>
              </w:rPr>
            </w:pPr>
            <w:r>
              <w:t>Short-term load forecasting based on feature extraction and improved general regression neural network model.</w:t>
            </w:r>
          </w:p>
        </w:tc>
        <w:tc>
          <w:tcPr>
            <w:tcW w:w="3273" w:type="dxa"/>
          </w:tcPr>
          <w:p w14:paraId="33187FD7" w14:textId="6360AEB5" w:rsidR="00C4730F" w:rsidRPr="00056D12" w:rsidRDefault="00C4730F" w:rsidP="00720B45">
            <w:pPr>
              <w:rPr>
                <w:lang w:val="en-US"/>
              </w:rPr>
            </w:pPr>
            <w:r w:rsidRPr="00056D12">
              <w:rPr>
                <w:lang w:val="en-US"/>
              </w:rPr>
              <w:t>Empirical mode decomposition is applied in combination with multiple computational intelligence approaches as well as regression to accomplish short</w:t>
            </w:r>
            <w:r w:rsidR="009861F9">
              <w:rPr>
                <w:lang w:val="en-US"/>
              </w:rPr>
              <w:t>-</w:t>
            </w:r>
            <w:r w:rsidRPr="00056D12">
              <w:rPr>
                <w:lang w:val="en-US"/>
              </w:rPr>
              <w:t>term load forecasting.</w:t>
            </w:r>
          </w:p>
          <w:p w14:paraId="4DED2476" w14:textId="77777777" w:rsidR="00C4730F" w:rsidRPr="00056D12" w:rsidRDefault="00C4730F" w:rsidP="00720B45">
            <w:pPr>
              <w:rPr>
                <w:lang w:val="en-US"/>
              </w:rPr>
            </w:pPr>
          </w:p>
        </w:tc>
        <w:tc>
          <w:tcPr>
            <w:tcW w:w="2496" w:type="dxa"/>
          </w:tcPr>
          <w:p w14:paraId="1D9C960A" w14:textId="77777777" w:rsidR="00C4730F" w:rsidRPr="00056D12" w:rsidRDefault="00C4730F" w:rsidP="00720B45">
            <w:pPr>
              <w:rPr>
                <w:lang w:val="en-US"/>
              </w:rPr>
            </w:pPr>
            <w:r>
              <w:rPr>
                <w:lang w:val="en-US"/>
              </w:rPr>
              <w:t>The hybrid model thus developed was found to outperform the individual methods.</w:t>
            </w:r>
          </w:p>
        </w:tc>
        <w:tc>
          <w:tcPr>
            <w:tcW w:w="2496" w:type="dxa"/>
          </w:tcPr>
          <w:p w14:paraId="1B34C8F0" w14:textId="2CC934BA" w:rsidR="00C4730F" w:rsidRPr="00056D12" w:rsidRDefault="00C4730F" w:rsidP="009861F9">
            <w:pPr>
              <w:rPr>
                <w:lang w:val="en-US"/>
              </w:rPr>
            </w:pPr>
            <w:r w:rsidRPr="00056D12">
              <w:rPr>
                <w:lang w:val="en-US"/>
              </w:rPr>
              <w:t>The study focused on load forecasting but not on its relationship and effectiveness toward power system stability.</w:t>
            </w:r>
          </w:p>
        </w:tc>
      </w:tr>
      <w:tr w:rsidR="00C4730F" w14:paraId="3D0B8AF2" w14:textId="77777777" w:rsidTr="00D35D78">
        <w:tc>
          <w:tcPr>
            <w:tcW w:w="2210" w:type="dxa"/>
          </w:tcPr>
          <w:p w14:paraId="4450D117" w14:textId="77777777" w:rsidR="00C4730F" w:rsidRDefault="00C4730F" w:rsidP="00720B45">
            <w:pPr>
              <w:rPr>
                <w:lang w:val="en-US"/>
              </w:rPr>
            </w:pPr>
            <w:r>
              <w:rPr>
                <w:lang w:val="en-US"/>
              </w:rPr>
              <w:fldChar w:fldCharType="begin" w:fldLock="1"/>
            </w:r>
            <w:r>
              <w:rPr>
                <w:lang w:val="en-US"/>
              </w:rPr>
              <w:instrText>ADDIN CSL_CITATION {"citationItems":[{"id":"ITEM-1","itemData":{"DOI":"10.1051/E3SCONF/20198401007","ISSN":"2267-1242","abstract":"The issue of very short-term forecasting is gaining more and more importance. It covers both the subject of power demand forecasting and forecasting of power generated in renewable energy sources. In particular, for the reason of necessity of ensuring reliable electricity supplies to consumers, it is very important in small energy micro-systems, which are commonly called microgrids. Statistical analysis of data for a sample big dynamics low voltage object will be presented in this paper. The object, in paper author’s opinion, belongs to a class of objects with difficulties in forecasting, in case of very short-term horizon. Moreover, forecasting methods, which can be applied to this type of forecasts, will be shortly characterized. Then results of sample very short-term ex post forecasts of power demand provided by several selected forecasting methods will be presented, as well as some qualitative analysis of obtained forecasts will be carried out. At the end of the paper observations and conclusions concerning analyzed subject, i.e. very short-term forecasting of power demand of big dynamics objects, will be presented.","author":[{"dropping-particle":"","family":"Parol","given":"Mirosław","non-dropping-particle":"","parse-names":false,"suffix":""},{"dropping-particle":"","family":"Piotrowski","given":"Paweł","non-dropping-particle":"","parse-names":false,"suffix":""},{"dropping-particle":"","family":"Piotrowski","given":"Mariusz","non-dropping-particle":"","parse-names":false,"suffix":""}],"container-title":"E3S Web of Conferences","id":"ITEM-1","issued":{"date-parts":[["2019","2","11"]]},"page":"01007","publisher":"EDP Sciences","title":"Very short-term forecasting of power demand of big dynamics objects","type":"article-journal","volume":"84"},"uris":["http://www.mendeley.com/documents/?uuid=bea115c0-9af2-344c-91e7-21b2bb187541"]}],"mendeley":{"formattedCitation":"(Parol et al., 2019)","manualFormatting":"Parol et al. (2019)","plainTextFormattedCitation":"(Parol et al., 2019)","previouslyFormattedCitation":"(Parol et al., 2019)"},"properties":{"noteIndex":0},"schema":"https://github.com/citation-style-language/schema/raw/master/csl-citation.json"}</w:instrText>
            </w:r>
            <w:r>
              <w:rPr>
                <w:lang w:val="en-US"/>
              </w:rPr>
              <w:fldChar w:fldCharType="separate"/>
            </w:r>
            <w:r w:rsidRPr="004D500E">
              <w:rPr>
                <w:noProof/>
                <w:lang w:val="en-US"/>
              </w:rPr>
              <w:t>Pa</w:t>
            </w:r>
            <w:r>
              <w:rPr>
                <w:noProof/>
                <w:lang w:val="en-US"/>
              </w:rPr>
              <w:t>rol et al.</w:t>
            </w:r>
            <w:r w:rsidRPr="004D500E">
              <w:rPr>
                <w:noProof/>
                <w:lang w:val="en-US"/>
              </w:rPr>
              <w:t xml:space="preserve"> </w:t>
            </w:r>
            <w:r>
              <w:rPr>
                <w:noProof/>
                <w:lang w:val="en-US"/>
              </w:rPr>
              <w:t>(</w:t>
            </w:r>
            <w:r w:rsidRPr="004D500E">
              <w:rPr>
                <w:noProof/>
                <w:lang w:val="en-US"/>
              </w:rPr>
              <w:t>2019)</w:t>
            </w:r>
            <w:r>
              <w:rPr>
                <w:lang w:val="en-US"/>
              </w:rPr>
              <w:fldChar w:fldCharType="end"/>
            </w:r>
          </w:p>
        </w:tc>
        <w:tc>
          <w:tcPr>
            <w:tcW w:w="2029" w:type="dxa"/>
          </w:tcPr>
          <w:p w14:paraId="6B7231A0" w14:textId="77777777" w:rsidR="00C4730F" w:rsidRDefault="00C4730F" w:rsidP="00720B45">
            <w:pPr>
              <w:rPr>
                <w:lang w:val="en-US"/>
              </w:rPr>
            </w:pPr>
            <w:r>
              <w:t>Very short-term forecasting of power demand of big dynamics objects.</w:t>
            </w:r>
          </w:p>
        </w:tc>
        <w:tc>
          <w:tcPr>
            <w:tcW w:w="3273" w:type="dxa"/>
          </w:tcPr>
          <w:p w14:paraId="16E6B1E7" w14:textId="02777090" w:rsidR="00C4730F" w:rsidRPr="00056D12" w:rsidRDefault="00C4730F" w:rsidP="00720B45">
            <w:pPr>
              <w:rPr>
                <w:lang w:val="en-US"/>
              </w:rPr>
            </w:pPr>
            <w:r w:rsidRPr="00056D12">
              <w:rPr>
                <w:lang w:val="en-US"/>
              </w:rPr>
              <w:t xml:space="preserve">The effectiveness of </w:t>
            </w:r>
            <w:r w:rsidR="009861F9">
              <w:rPr>
                <w:lang w:val="en-US"/>
              </w:rPr>
              <w:t xml:space="preserve">the </w:t>
            </w:r>
            <w:r w:rsidRPr="00056D12">
              <w:rPr>
                <w:lang w:val="en-US"/>
              </w:rPr>
              <w:t>naïve method is contrasted with weighted moving average-based models.</w:t>
            </w:r>
          </w:p>
          <w:p w14:paraId="2B439840" w14:textId="77777777" w:rsidR="00C4730F" w:rsidRPr="00056D12" w:rsidRDefault="00C4730F" w:rsidP="00720B45">
            <w:pPr>
              <w:rPr>
                <w:lang w:val="en-US"/>
              </w:rPr>
            </w:pPr>
          </w:p>
        </w:tc>
        <w:tc>
          <w:tcPr>
            <w:tcW w:w="2496" w:type="dxa"/>
          </w:tcPr>
          <w:p w14:paraId="5B34A4F7" w14:textId="568D85D0" w:rsidR="00C4730F" w:rsidRPr="00056D12" w:rsidRDefault="00C4730F" w:rsidP="009861F9">
            <w:pPr>
              <w:rPr>
                <w:lang w:val="en-US"/>
              </w:rPr>
            </w:pPr>
            <w:r>
              <w:rPr>
                <w:lang w:val="en-US"/>
              </w:rPr>
              <w:t xml:space="preserve">Auto-Regression Moving Average (ARMA) and Multi-Layer Perceptron are considered in the study and give comparable quality results that are better than </w:t>
            </w:r>
            <w:r w:rsidR="009861F9">
              <w:rPr>
                <w:lang w:val="en-US"/>
              </w:rPr>
              <w:t xml:space="preserve">the </w:t>
            </w:r>
            <w:r>
              <w:rPr>
                <w:lang w:val="en-US"/>
              </w:rPr>
              <w:t>naïve method</w:t>
            </w:r>
          </w:p>
        </w:tc>
        <w:tc>
          <w:tcPr>
            <w:tcW w:w="2496" w:type="dxa"/>
          </w:tcPr>
          <w:p w14:paraId="0DA99025" w14:textId="77777777" w:rsidR="00C4730F" w:rsidRPr="00056D12" w:rsidRDefault="00C4730F" w:rsidP="00720B45">
            <w:pPr>
              <w:rPr>
                <w:lang w:val="en-US"/>
              </w:rPr>
            </w:pPr>
            <w:r w:rsidRPr="00056D12">
              <w:rPr>
                <w:lang w:val="en-US"/>
              </w:rPr>
              <w:t xml:space="preserve">The study focused on load forecasting but not power system stability. </w:t>
            </w:r>
          </w:p>
        </w:tc>
      </w:tr>
      <w:tr w:rsidR="00C4730F" w14:paraId="7B3E9EC1" w14:textId="77777777" w:rsidTr="00D35D78">
        <w:tc>
          <w:tcPr>
            <w:tcW w:w="2210" w:type="dxa"/>
          </w:tcPr>
          <w:p w14:paraId="7EDE45E5" w14:textId="480BA25B" w:rsidR="00C4730F" w:rsidRDefault="00C4730F" w:rsidP="00720B45">
            <w:pPr>
              <w:rPr>
                <w:lang w:val="en-US"/>
              </w:rPr>
            </w:pPr>
            <w:r>
              <w:rPr>
                <w:lang w:val="en-US"/>
              </w:rPr>
              <w:fldChar w:fldCharType="begin" w:fldLock="1"/>
            </w:r>
            <w:r w:rsidR="00232773">
              <w:rPr>
                <w:lang w:val="en-US"/>
              </w:rPr>
              <w:instrText>ADDIN CSL_CITATION {"citationItems":[{"id":"ITEM-1","itemData":{"DOI":"10.3390/EN14051290","ISSN":"19961073","abstract":"This paper addresses very short-term (10 s) forecasting of power demand of highly variable loads. The main purpose of this study is to develop methods useful for this type of forecast. We have completed a comprehensive study using two different time series, which are very difficult to access in practice, of 10 s power demand characterized by big dynamics of load changes. This is an emerging and promising forecasting research topic, yet to be more widely recognized in the forecasting research community. This problem is particularly important in microgrids, i.e., small energy micro-systems. Power demand forecasting, like forecasting of renewable power generation, is of key importance, especially in island mode operation of microgrids. This is due to the necessity of ensuring reliable power supplies to consumers. Inaccurate very short-term forecasts can cause improper operation of microgrids or increase costs/decrease profits in the electricity market. This paper presents a detailed statistical analysis of data for two sample low voltage loads characterized by large variability, which are located in a sewage treatment plant. The experience of the authors of this paper is that very short-term forecasting is very difficult for such loads. Special attention has been paid to different forecasting methods, which can be applied to this type of forecast, and to the selection of explanatory variables in these methods. Some of the ensemble models (eight selected models belonging to the following classes of methods: random forest regression, gradient boosted trees, weighted averaging ensemble, machine learning) proposed in the scope of choice of methods sets constituting the models set are unique models developed by the authors of this study. The obtained forecasts are presented and analyzed in detail. Moreover, qualitative analysis of the forecasts obtained has been carried out. We analyze various measures of forecasts quality. We think that some of the presented forecasting methods are promising for practical applications, i.e., for microgrid operation control, because of their accuracy and stability. The analysis of usefulness of various forecasting methods for two independent time series is an essential, very valuable element of the study carried out. Thanks to this, reliability of conclusions concerning the preferred methods has considerably increased.","author":[{"dropping-particle":"","family":"Parol","given":"Mirosław","non-dropping-particle":"","parse-names":false,"suffix":""},{"dropping-particle":"","family":"Piotrowski","given":"Paweł","non-dropping-particle":"","parse-names":false,"suffix":""},{"dropping-particle":"","family":"Kapler","given":"Piotr","non-dropping-particle":"","parse-names":false,"suffix":""},{"dropping-particle":"","family":"Piotrowski","given":"Mariusz","non-dropping-particle":"","parse-names":false,"suffix":""}],"container-title":"Energies 2021, Vol. 14, Page 1290","id":"ITEM-1","issue":"5","issued":{"date-parts":[["2021","2","26"]]},"page":"1290","publisher":"Multidisciplinary Digital Publishing Institute","title":"Forecasting of 10-Second Power Demand of Highly Variable Loads for Microgrid Operation Control","type":"article-journal","volume":"14"},"uris":["http://www.mendeley.com/documents/?uuid=a8d5cde3-381e-3908-82f5-517e6e9c7dfc"]}],"mendeley":{"formattedCitation":"(Parol et al., 2021)","manualFormatting":"Parol et al. (2021)","plainTextFormattedCitation":"(Parol et al., 2021)","previouslyFormattedCitation":"(Parol et al., 2021)"},"properties":{"noteIndex":0},"schema":"https://github.com/citation-style-language/schema/raw/master/csl-citation.json"}</w:instrText>
            </w:r>
            <w:r>
              <w:rPr>
                <w:lang w:val="en-US"/>
              </w:rPr>
              <w:fldChar w:fldCharType="separate"/>
            </w:r>
            <w:r>
              <w:rPr>
                <w:noProof/>
                <w:lang w:val="en-US"/>
              </w:rPr>
              <w:t>Parol et al.</w:t>
            </w:r>
            <w:r w:rsidRPr="004D500E">
              <w:rPr>
                <w:noProof/>
                <w:lang w:val="en-US"/>
              </w:rPr>
              <w:t xml:space="preserve"> </w:t>
            </w:r>
            <w:r>
              <w:rPr>
                <w:noProof/>
                <w:lang w:val="en-US"/>
              </w:rPr>
              <w:t>(</w:t>
            </w:r>
            <w:r w:rsidRPr="004D500E">
              <w:rPr>
                <w:noProof/>
                <w:lang w:val="en-US"/>
              </w:rPr>
              <w:t>2021)</w:t>
            </w:r>
            <w:r>
              <w:rPr>
                <w:lang w:val="en-US"/>
              </w:rPr>
              <w:fldChar w:fldCharType="end"/>
            </w:r>
          </w:p>
        </w:tc>
        <w:tc>
          <w:tcPr>
            <w:tcW w:w="2029" w:type="dxa"/>
          </w:tcPr>
          <w:p w14:paraId="302C562F" w14:textId="77777777" w:rsidR="00C4730F" w:rsidRDefault="00C4730F" w:rsidP="00720B45">
            <w:pPr>
              <w:rPr>
                <w:lang w:val="en-US"/>
              </w:rPr>
            </w:pPr>
            <w:r>
              <w:t>Forecasting of 10-Second Power Demand of Highly Variable Loads for Microgrid Operation Control.</w:t>
            </w:r>
          </w:p>
        </w:tc>
        <w:tc>
          <w:tcPr>
            <w:tcW w:w="3273" w:type="dxa"/>
          </w:tcPr>
          <w:p w14:paraId="2FF30372" w14:textId="77777777" w:rsidR="00C4730F" w:rsidRPr="00056D12" w:rsidRDefault="00C4730F" w:rsidP="00720B45">
            <w:pPr>
              <w:rPr>
                <w:lang w:val="en-US"/>
              </w:rPr>
            </w:pPr>
            <w:r w:rsidRPr="00056D12">
              <w:rPr>
                <w:lang w:val="en-US"/>
              </w:rPr>
              <w:t>Fifteen forecasting methods are used to verify the efficiency of 10-second power demand forecasting on various values of hyperparameters.</w:t>
            </w:r>
          </w:p>
          <w:p w14:paraId="18D7F300" w14:textId="77777777" w:rsidR="00C4730F" w:rsidRPr="00056D12" w:rsidRDefault="00C4730F" w:rsidP="00720B45">
            <w:pPr>
              <w:rPr>
                <w:lang w:val="en-US"/>
              </w:rPr>
            </w:pPr>
          </w:p>
        </w:tc>
        <w:tc>
          <w:tcPr>
            <w:tcW w:w="2496" w:type="dxa"/>
          </w:tcPr>
          <w:p w14:paraId="2F91FE86" w14:textId="76BEC36B" w:rsidR="00C4730F" w:rsidRPr="00056D12" w:rsidRDefault="00C4730F" w:rsidP="009861F9">
            <w:pPr>
              <w:rPr>
                <w:lang w:val="en-US"/>
              </w:rPr>
            </w:pPr>
            <w:r>
              <w:rPr>
                <w:lang w:val="en-US"/>
              </w:rPr>
              <w:t>Ensemble methods proposed for load forecasting in power systems under uncertainty were found to be promising.</w:t>
            </w:r>
          </w:p>
        </w:tc>
        <w:tc>
          <w:tcPr>
            <w:tcW w:w="2496" w:type="dxa"/>
          </w:tcPr>
          <w:p w14:paraId="0EDE2503" w14:textId="77777777" w:rsidR="00C4730F" w:rsidRPr="00056D12" w:rsidRDefault="00C4730F" w:rsidP="00720B45">
            <w:pPr>
              <w:rPr>
                <w:lang w:val="en-US"/>
              </w:rPr>
            </w:pPr>
            <w:r w:rsidRPr="00056D12">
              <w:rPr>
                <w:lang w:val="en-US"/>
              </w:rPr>
              <w:t>The study focused on load forecasting but not on generation forecasting.</w:t>
            </w:r>
          </w:p>
        </w:tc>
      </w:tr>
      <w:tr w:rsidR="00C4730F" w14:paraId="7F05B9CD" w14:textId="77777777" w:rsidTr="00D35D78">
        <w:tc>
          <w:tcPr>
            <w:tcW w:w="2210" w:type="dxa"/>
          </w:tcPr>
          <w:p w14:paraId="2C5D5AEF" w14:textId="24CD5AA2" w:rsidR="00C4730F" w:rsidRDefault="00C4730F" w:rsidP="00720B45">
            <w:pPr>
              <w:rPr>
                <w:lang w:val="en-US"/>
              </w:rPr>
            </w:pPr>
            <w:r>
              <w:rPr>
                <w:lang w:val="en-US"/>
              </w:rPr>
              <w:fldChar w:fldCharType="begin" w:fldLock="1"/>
            </w:r>
            <w:r w:rsidR="001357C8">
              <w:rPr>
                <w:lang w:val="en-US"/>
              </w:rPr>
              <w:instrText>ADDIN CSL_CITATION {"citationItems":[{"id":"ITEM-1","itemData":{"DOI":"10.3390/EN14082164","ISSN":"19961073","abstract":"The role of renewable energy sources in the Polish power system is growing. The highest share of installed capacity goes to wind and solar energy. Both sources are characterized by high variability of their power output and very low dispatchability. Taking into account the nature of the power system, it is, therefore, imperative to predict their future energy generation to economically schedule the use of conventional generators. Considering the above, this paper examines the possibility to predict day-ahead wind power based on different machine learning methods not for a specific wind farm but at national level. A numerical weather prediction model used operationally in the Institute of Meteorology and Water Management–National Research Institute in Poland and hourly data of recorded wind power generation in Poland were used for forecasting models creation and testing. With the best method, the Extreme Gradient Boosting, and two years of training (2018–2019), the day-ahead, hourly wind power generation in Poland in 2020 was predicted with 26.7% mean absolute percentage error and 4.5% root mean square error accuracy. Seasonal and daily differences in predicted error were found, showing high mean absolute percentage error in summer and during daytime.","author":[{"dropping-particle":"","family":"Bochenek","given":"Bogdan","non-dropping-particle":"","parse-names":false,"suffix":""},{"dropping-particle":"","family":"Jurasz","given":"Jakub","non-dropping-particle":"","parse-names":false,"suffix":""},{"dropping-particle":"","family":"Jaczewski","given":"Adam","non-dropping-particle":"","parse-names":false,"suffix":""},{"dropping-particle":"","family":"Stachura","given":"Gabriel","non-dropping-particle":"","parse-names":false,"suffix":""},{"dropping-particle":"","family":"Sekuła","given":"Piotr","non-dropping-particle":"","parse-names":false,"suffix":""},{"dropping-particle":"","family":"Strzyżewski","given":"Tomasz","non-dropping-particle":"","parse-names":false,"suffix":""},{"dropping-particle":"","family":"Wdowikowski","given":"Marcin","non-dropping-particle":"","parse-names":false,"suffix":""},{"dropping-particle":"","family":"Figurski","given":"Mariusz","non-dropping-particle":"","parse-names":false,"suffix":""}],"container-title":"Energies 2021, Vol. 14, Page 2164","id":"ITEM-1","issue":"8","issued":{"date-parts":[["2021","4","13"]]},"page":"2164","publisher":"Multidisciplinary Digital Publishing Institute","title":"Day-Ahead Wind Power Forecasting in Poland Based on Numerical Weather Prediction","type":"article-journal","volume":"14"},"uris":["http://www.mendeley.com/documents/?uuid=9f7e5b92-18fa-35d6-b795-e578054fe49e"]}],"mendeley":{"formattedCitation":"(Bochenek et al., 2021)","manualFormatting":"Bochenek et al., (2021)","plainTextFormattedCitation":"(Bochenek et al., 2021)","previouslyFormattedCitation":"(Bochenek et al., 2021)"},"properties":{"noteIndex":0},"schema":"https://github.com/citation-style-language/schema/raw/master/csl-citation.json"}</w:instrText>
            </w:r>
            <w:r>
              <w:rPr>
                <w:lang w:val="en-US"/>
              </w:rPr>
              <w:fldChar w:fldCharType="separate"/>
            </w:r>
            <w:r w:rsidR="00232773" w:rsidRPr="00232773">
              <w:rPr>
                <w:noProof/>
                <w:lang w:val="en-US"/>
              </w:rPr>
              <w:t xml:space="preserve">Bochenek et al., </w:t>
            </w:r>
            <w:r w:rsidR="00232773">
              <w:rPr>
                <w:noProof/>
                <w:lang w:val="en-US"/>
              </w:rPr>
              <w:t>(</w:t>
            </w:r>
            <w:r w:rsidR="00232773" w:rsidRPr="00232773">
              <w:rPr>
                <w:noProof/>
                <w:lang w:val="en-US"/>
              </w:rPr>
              <w:t>2021)</w:t>
            </w:r>
            <w:r>
              <w:rPr>
                <w:lang w:val="en-US"/>
              </w:rPr>
              <w:fldChar w:fldCharType="end"/>
            </w:r>
          </w:p>
        </w:tc>
        <w:tc>
          <w:tcPr>
            <w:tcW w:w="2029" w:type="dxa"/>
          </w:tcPr>
          <w:p w14:paraId="14765061" w14:textId="77777777" w:rsidR="00C4730F" w:rsidRDefault="00C4730F" w:rsidP="00720B45">
            <w:pPr>
              <w:rPr>
                <w:lang w:val="en-US"/>
              </w:rPr>
            </w:pPr>
            <w:r>
              <w:t>Day-Ahead Wind Power Forecasting in Poland Based on Numerical Weather Prediction.</w:t>
            </w:r>
          </w:p>
        </w:tc>
        <w:tc>
          <w:tcPr>
            <w:tcW w:w="3273" w:type="dxa"/>
          </w:tcPr>
          <w:p w14:paraId="19F64CA4" w14:textId="3E934605" w:rsidR="00C4730F" w:rsidRPr="00056D12" w:rsidRDefault="009861F9" w:rsidP="00720B45">
            <w:pPr>
              <w:rPr>
                <w:lang w:val="en-US"/>
              </w:rPr>
            </w:pPr>
            <w:r>
              <w:rPr>
                <w:lang w:val="en-US"/>
              </w:rPr>
              <w:t>The e</w:t>
            </w:r>
            <w:r w:rsidR="00C4730F" w:rsidRPr="00056D12">
              <w:rPr>
                <w:lang w:val="en-US"/>
              </w:rPr>
              <w:t>xtreme Gradient Boosting method and two years of training were used to train the prediction model.</w:t>
            </w:r>
          </w:p>
        </w:tc>
        <w:tc>
          <w:tcPr>
            <w:tcW w:w="2496" w:type="dxa"/>
          </w:tcPr>
          <w:p w14:paraId="18E6FA49" w14:textId="77777777" w:rsidR="00C4730F" w:rsidRPr="00056D12" w:rsidRDefault="00C4730F" w:rsidP="00720B45">
            <w:pPr>
              <w:rPr>
                <w:lang w:val="en-US"/>
              </w:rPr>
            </w:pPr>
            <w:r w:rsidRPr="00056D12">
              <w:rPr>
                <w:lang w:val="en-US"/>
              </w:rPr>
              <w:t>24-hour forecasting of available wind power was attempted in this work using weather data.</w:t>
            </w:r>
          </w:p>
          <w:p w14:paraId="701C79AA" w14:textId="77777777" w:rsidR="00C4730F" w:rsidRPr="00056D12" w:rsidRDefault="00C4730F" w:rsidP="00720B45">
            <w:pPr>
              <w:rPr>
                <w:lang w:val="en-US"/>
              </w:rPr>
            </w:pPr>
          </w:p>
        </w:tc>
        <w:tc>
          <w:tcPr>
            <w:tcW w:w="2496" w:type="dxa"/>
          </w:tcPr>
          <w:p w14:paraId="0F7462FA" w14:textId="77777777" w:rsidR="00C4730F" w:rsidRPr="00056D12" w:rsidRDefault="00C4730F" w:rsidP="00720B45">
            <w:pPr>
              <w:rPr>
                <w:lang w:val="en-US"/>
              </w:rPr>
            </w:pPr>
            <w:r w:rsidRPr="00056D12">
              <w:rPr>
                <w:lang w:val="en-US"/>
              </w:rPr>
              <w:t>Training</w:t>
            </w:r>
            <w:r>
              <w:rPr>
                <w:lang w:val="en-US"/>
              </w:rPr>
              <w:t xml:space="preserve"> of the model</w:t>
            </w:r>
            <w:r w:rsidRPr="00056D12">
              <w:rPr>
                <w:lang w:val="en-US"/>
              </w:rPr>
              <w:t xml:space="preserve"> takes years.</w:t>
            </w:r>
          </w:p>
        </w:tc>
      </w:tr>
      <w:tr w:rsidR="00C4730F" w14:paraId="68D26090" w14:textId="77777777" w:rsidTr="00D35D78">
        <w:tc>
          <w:tcPr>
            <w:tcW w:w="2210" w:type="dxa"/>
          </w:tcPr>
          <w:p w14:paraId="19B5FB64" w14:textId="77777777" w:rsidR="00C4730F" w:rsidRDefault="00C4730F" w:rsidP="00720B45">
            <w:pPr>
              <w:rPr>
                <w:lang w:val="en-US"/>
              </w:rPr>
            </w:pPr>
            <w:r>
              <w:rPr>
                <w:lang w:val="en-US"/>
              </w:rPr>
              <w:fldChar w:fldCharType="begin" w:fldLock="1"/>
            </w:r>
            <w:r>
              <w:rPr>
                <w:lang w:val="en-US"/>
              </w:rPr>
              <w:instrText>ADDIN CSL_CITATION {"citationItems":[{"id":"ITEM-1","itemData":{"DOI":"10.3390/EN13236375","ISSN":"19961073","abstract":"The high penetration of renewable sources of energy in electrical power systems implies an increase in the uncertainty variables of the economic dispatch (ED). Uncertainty costs are a metric to quantify the variability introduced from renewable energy generation, that is to say: wind energy generation (WEG), run-of-the-river hydro generators (RHG), and solar photovoltaic generation (PVG). On other side, there are associated uncertainties to the charge/uncharge of plug-in electric vehicles (PEV). Thus, in this paper, the uncertainty cost functions (UCF) and their marginal expressions as a way of modeling and assessment of stochasticity in power systems with high penetration of smart grids elements is presented. In this work, a mathematical analysis is presented using the first and second derivatives of the UCF, where the marginal uncertainty cost functions (MUCF) and the UCF&amp;rsquo;s minimums for PVG, WEG, PEV, and RHG are derived. Further, a model validation is presented, considering comparative test results from the state of the art of the UCF minimum, developed in a previous study, to the minimum reached with the presented (MUCF) solution.","author":[{"dropping-particle":"","family":"Reyes","given":"Elkin D.","non-dropping-particle":"","parse-names":false,"suffix":""},{"dropping-particle":"","family":"Bretas","given":"Arturo S.","non-dropping-particle":"","parse-names":false,"suffix":""},{"dropping-particle":"","family":"Rivera","given":"Sergio","non-dropping-particle":"","parse-names":false,"suffix":""}],"container-title":"Energies 2020, Vol. 13, Page 6375","id":"ITEM-1","issue":"23","issued":{"date-parts":[["2020","12","2"]]},"page":"6375","publisher":"Multidisciplinary Digital Publishing Institute","title":"Marginal Uncertainty Cost Functions for Solar Photovoltaic, Wind Energy, Hydro Generators, and Plug-In Electric Vehicles","type":"article-journal","volume":"13"},"uris":["http://www.mendeley.com/documents/?uuid=458ccdff-1182-3a52-9fa6-dc49a62b27fa"]}],"mendeley":{"formattedCitation":"(Reyes et al., 2020)","manualFormatting":"Reyes et al. (2020)","plainTextFormattedCitation":"(Reyes et al., 2020)","previouslyFormattedCitation":"(Reyes et al., 2020)"},"properties":{"noteIndex":0},"schema":"https://github.com/citation-style-language/schema/raw/master/csl-citation.json"}</w:instrText>
            </w:r>
            <w:r>
              <w:rPr>
                <w:lang w:val="en-US"/>
              </w:rPr>
              <w:fldChar w:fldCharType="separate"/>
            </w:r>
            <w:r>
              <w:rPr>
                <w:noProof/>
                <w:lang w:val="en-US"/>
              </w:rPr>
              <w:t>Reyes et al.</w:t>
            </w:r>
            <w:r w:rsidRPr="00D2712E">
              <w:rPr>
                <w:noProof/>
                <w:lang w:val="en-US"/>
              </w:rPr>
              <w:t xml:space="preserve"> </w:t>
            </w:r>
            <w:r>
              <w:rPr>
                <w:noProof/>
                <w:lang w:val="en-US"/>
              </w:rPr>
              <w:t>(</w:t>
            </w:r>
            <w:r w:rsidRPr="00D2712E">
              <w:rPr>
                <w:noProof/>
                <w:lang w:val="en-US"/>
              </w:rPr>
              <w:t>2020)</w:t>
            </w:r>
            <w:r>
              <w:rPr>
                <w:lang w:val="en-US"/>
              </w:rPr>
              <w:fldChar w:fldCharType="end"/>
            </w:r>
          </w:p>
        </w:tc>
        <w:tc>
          <w:tcPr>
            <w:tcW w:w="2029" w:type="dxa"/>
          </w:tcPr>
          <w:p w14:paraId="7579E000" w14:textId="77777777" w:rsidR="00C4730F" w:rsidRDefault="00C4730F" w:rsidP="00720B45">
            <w:pPr>
              <w:rPr>
                <w:lang w:val="en-US"/>
              </w:rPr>
            </w:pPr>
            <w:r>
              <w:t>Marginal Uncertainty Cost Functions for Solar Photovoltaic, Wind Energy, Hydro Generators, and Plug-In Electric Vehicles.</w:t>
            </w:r>
          </w:p>
        </w:tc>
        <w:tc>
          <w:tcPr>
            <w:tcW w:w="3273" w:type="dxa"/>
          </w:tcPr>
          <w:p w14:paraId="5F935470" w14:textId="77777777" w:rsidR="00C4730F" w:rsidRPr="000C2C02" w:rsidRDefault="00C4730F" w:rsidP="00720B45">
            <w:pPr>
              <w:rPr>
                <w:lang w:val="en-US"/>
              </w:rPr>
            </w:pPr>
            <w:r>
              <w:rPr>
                <w:lang w:val="en-US"/>
              </w:rPr>
              <w:t xml:space="preserve">The </w:t>
            </w:r>
            <w:r w:rsidRPr="000C2C02">
              <w:rPr>
                <w:lang w:val="en-US"/>
              </w:rPr>
              <w:t xml:space="preserve">uncertainty due to demand-supply mismatch is </w:t>
            </w:r>
            <w:r>
              <w:rPr>
                <w:lang w:val="en-US"/>
              </w:rPr>
              <w:t>analytically modelled</w:t>
            </w:r>
            <w:r w:rsidRPr="000C2C02">
              <w:rPr>
                <w:lang w:val="en-US"/>
              </w:rPr>
              <w:t xml:space="preserve"> in t</w:t>
            </w:r>
            <w:r>
              <w:rPr>
                <w:lang w:val="en-US"/>
              </w:rPr>
              <w:t>erms of cost functions.</w:t>
            </w:r>
          </w:p>
        </w:tc>
        <w:tc>
          <w:tcPr>
            <w:tcW w:w="2496" w:type="dxa"/>
          </w:tcPr>
          <w:p w14:paraId="321B3105" w14:textId="77777777" w:rsidR="00C4730F" w:rsidRPr="000C2C02" w:rsidRDefault="00C4730F" w:rsidP="00720B45">
            <w:pPr>
              <w:rPr>
                <w:lang w:val="en-US"/>
              </w:rPr>
            </w:pPr>
            <w:r>
              <w:rPr>
                <w:lang w:val="en-US"/>
              </w:rPr>
              <w:t>The derived results were found to be in accordance with pre-existent modelling methods.</w:t>
            </w:r>
          </w:p>
        </w:tc>
        <w:tc>
          <w:tcPr>
            <w:tcW w:w="2496" w:type="dxa"/>
          </w:tcPr>
          <w:p w14:paraId="5834489C" w14:textId="610C61B9" w:rsidR="00C4730F" w:rsidRPr="000C2C02" w:rsidRDefault="00C4730F" w:rsidP="009861F9">
            <w:pPr>
              <w:rPr>
                <w:lang w:val="en-US"/>
              </w:rPr>
            </w:pPr>
            <w:r w:rsidRPr="000C2C02">
              <w:rPr>
                <w:lang w:val="en-US"/>
              </w:rPr>
              <w:t>The effects of the cost functions on power system stability w</w:t>
            </w:r>
            <w:r w:rsidR="009861F9">
              <w:rPr>
                <w:lang w:val="en-US"/>
              </w:rPr>
              <w:t>ere</w:t>
            </w:r>
            <w:r w:rsidRPr="000C2C02">
              <w:rPr>
                <w:lang w:val="en-US"/>
              </w:rPr>
              <w:t xml:space="preserve"> not mentioned.</w:t>
            </w:r>
          </w:p>
        </w:tc>
      </w:tr>
      <w:tr w:rsidR="00C4730F" w14:paraId="6A5C9305" w14:textId="77777777" w:rsidTr="00D35D78">
        <w:tc>
          <w:tcPr>
            <w:tcW w:w="2210" w:type="dxa"/>
          </w:tcPr>
          <w:p w14:paraId="69CF509F" w14:textId="77777777" w:rsidR="00C4730F" w:rsidRDefault="00C4730F" w:rsidP="00720B45">
            <w:pPr>
              <w:rPr>
                <w:lang w:val="en-US"/>
              </w:rPr>
            </w:pPr>
            <w:r>
              <w:rPr>
                <w:lang w:val="en-US"/>
              </w:rPr>
              <w:fldChar w:fldCharType="begin" w:fldLock="1"/>
            </w:r>
            <w:r>
              <w:rPr>
                <w:lang w:val="en-US"/>
              </w:rPr>
              <w:instrText>ADDIN CSL_CITATION {"citationItems":[{"id":"ITEM-1","itemData":{"DOI":"10.3390/PR10010105","ISSN":"22279717","abstract":"Wind energy has become one of the world&amp;rsquo;s most renewable energy sources in recent years. It is regarded as a clean energy source because it produces no greenhouse gas emissions. The assessment of wind energy resources is an important step in the development of any wind energy conversion system (WECS). As a result, this article examines the wind energy potential of nine Jordanian wind locations: Queen Alia Airport, Civil Amman Airport, King Hussein Airport, Irbid, Mafraq, Ma&amp;rsquo;an, Ghor Al Safi, Safawi, and Irwaished. The available wind speed data were implemented using three statistical distribution models, Weibull, Rayleigh, and Gamma distributions, and one traditional estimation method, the Maximum Likelihood Method (MLM). Three optimization techniques were used to assign parameters to each distribution model: Particle Swarm Optimization (PSO), Grey Wolf Optimizer (GWO), and Whale Optimization Algorithm (WOA). To determine the optimal distribution model, the performance of these distribution models was tested. According to the findings, King Hussein Airport features the highest wind power density, followed by Queen Alia Airport, while Irbid features the lowest, followed by Ghor Al Safi.","author":[{"dropping-particle":"","family":"Al-Mhairat","given":"Bashar","non-dropping-particle":"","parse-names":false,"suffix":""},{"dropping-particle":"","family":"Al-Quraan","given":"Ayman","non-dropping-particle":"","parse-names":false,"suffix":""}],"container-title":"Processes","id":"ITEM-1","issue":"1","issued":{"date-parts":[["2022","1","5"]]},"page":"105","publisher":"Multidisciplinary Digital Publishing Institute","title":"Assessment of Wind Energy Resources in Jordan Using Different Optimization Techniques","type":"article-journal","volume":"10"},"uris":["http://www.mendeley.com/documents/?uuid=ff560aa9-11ab-31a8-950e-200f30264758"]}],"mendeley":{"formattedCitation":"(Al-Mhairat &amp; Al-Quraan, 2022)","manualFormatting":"Al-Mhairat and Al-Quraan (2022)","plainTextFormattedCitation":"(Al-Mhairat &amp; Al-Quraan, 2022)","previouslyFormattedCitation":"(Al-Mhairat &amp; Al-Quraan, 2022)"},"properties":{"noteIndex":0},"schema":"https://github.com/citation-style-language/schema/raw/master/csl-citation.json"}</w:instrText>
            </w:r>
            <w:r>
              <w:rPr>
                <w:lang w:val="en-US"/>
              </w:rPr>
              <w:fldChar w:fldCharType="separate"/>
            </w:r>
            <w:r>
              <w:rPr>
                <w:noProof/>
                <w:lang w:val="en-US"/>
              </w:rPr>
              <w:t>Al-Mhairat and Al-Quraan</w:t>
            </w:r>
            <w:r w:rsidRPr="00D2712E">
              <w:rPr>
                <w:noProof/>
                <w:lang w:val="en-US"/>
              </w:rPr>
              <w:t xml:space="preserve"> </w:t>
            </w:r>
            <w:r>
              <w:rPr>
                <w:noProof/>
                <w:lang w:val="en-US"/>
              </w:rPr>
              <w:t>(</w:t>
            </w:r>
            <w:r w:rsidRPr="00D2712E">
              <w:rPr>
                <w:noProof/>
                <w:lang w:val="en-US"/>
              </w:rPr>
              <w:t>2022)</w:t>
            </w:r>
            <w:r>
              <w:rPr>
                <w:lang w:val="en-US"/>
              </w:rPr>
              <w:fldChar w:fldCharType="end"/>
            </w:r>
          </w:p>
        </w:tc>
        <w:tc>
          <w:tcPr>
            <w:tcW w:w="2029" w:type="dxa"/>
          </w:tcPr>
          <w:p w14:paraId="5154DB92" w14:textId="77777777" w:rsidR="00C4730F" w:rsidRDefault="00C4730F" w:rsidP="00720B45">
            <w:pPr>
              <w:rPr>
                <w:lang w:val="en-US"/>
              </w:rPr>
            </w:pPr>
            <w:r>
              <w:t>Assessment of Wind Energy Resources in Jordan Using Different Optimization Techniques.</w:t>
            </w:r>
          </w:p>
        </w:tc>
        <w:tc>
          <w:tcPr>
            <w:tcW w:w="3273" w:type="dxa"/>
          </w:tcPr>
          <w:p w14:paraId="3F785AE3" w14:textId="29463FEC" w:rsidR="00C4730F" w:rsidRPr="000C2C02" w:rsidRDefault="00C4730F" w:rsidP="00720B45">
            <w:pPr>
              <w:rPr>
                <w:lang w:val="en-US"/>
              </w:rPr>
            </w:pPr>
            <w:r w:rsidRPr="000C2C02">
              <w:rPr>
                <w:lang w:val="en-US"/>
              </w:rPr>
              <w:t>Weibull, G</w:t>
            </w:r>
            <w:r>
              <w:rPr>
                <w:lang w:val="en-US"/>
              </w:rPr>
              <w:t>amma, and Rayleigh dist</w:t>
            </w:r>
            <w:r w:rsidR="009861F9">
              <w:rPr>
                <w:lang w:val="en-US"/>
              </w:rPr>
              <w:t>r</w:t>
            </w:r>
            <w:r>
              <w:rPr>
                <w:lang w:val="en-US"/>
              </w:rPr>
              <w:t xml:space="preserve">ibutions were used for modelling, while </w:t>
            </w:r>
            <w:r w:rsidRPr="000C2C02">
              <w:rPr>
                <w:lang w:val="en-US"/>
              </w:rPr>
              <w:t>Particle Swarm Optimization, Grey Wolf Algorithm, and Whale Optimization were used to optimize the parameters for the distribution models.</w:t>
            </w:r>
          </w:p>
        </w:tc>
        <w:tc>
          <w:tcPr>
            <w:tcW w:w="2496" w:type="dxa"/>
          </w:tcPr>
          <w:p w14:paraId="0743910F" w14:textId="77777777" w:rsidR="00C4730F" w:rsidRPr="000C2C02" w:rsidRDefault="00C4730F" w:rsidP="00720B45">
            <w:pPr>
              <w:rPr>
                <w:lang w:val="en-US"/>
              </w:rPr>
            </w:pPr>
            <w:r>
              <w:rPr>
                <w:lang w:val="en-US"/>
              </w:rPr>
              <w:t>Particle Swarm Optimization was found to outperform the other computational intelligence methods in the study.</w:t>
            </w:r>
          </w:p>
        </w:tc>
        <w:tc>
          <w:tcPr>
            <w:tcW w:w="2496" w:type="dxa"/>
          </w:tcPr>
          <w:p w14:paraId="462090B7" w14:textId="77777777" w:rsidR="00C4730F" w:rsidRPr="000C2C02" w:rsidRDefault="00C4730F" w:rsidP="00720B45">
            <w:pPr>
              <w:rPr>
                <w:lang w:val="en-US"/>
              </w:rPr>
            </w:pPr>
            <w:r w:rsidRPr="000C2C02">
              <w:rPr>
                <w:lang w:val="en-US"/>
              </w:rPr>
              <w:t xml:space="preserve">The study did not consider the impact of the connection of wind energy to the grid </w:t>
            </w:r>
            <w:r>
              <w:rPr>
                <w:lang w:val="en-US"/>
              </w:rPr>
              <w:t xml:space="preserve">on stability </w:t>
            </w:r>
            <w:r w:rsidRPr="000C2C02">
              <w:rPr>
                <w:lang w:val="en-US"/>
              </w:rPr>
              <w:t>based on the results of the analysis.</w:t>
            </w:r>
          </w:p>
        </w:tc>
      </w:tr>
      <w:tr w:rsidR="00C4730F" w14:paraId="6736A20B" w14:textId="77777777" w:rsidTr="00D35D78">
        <w:tc>
          <w:tcPr>
            <w:tcW w:w="2210" w:type="dxa"/>
          </w:tcPr>
          <w:p w14:paraId="7C811F26" w14:textId="77777777" w:rsidR="00C4730F" w:rsidRDefault="00C4730F" w:rsidP="00720B45">
            <w:pPr>
              <w:rPr>
                <w:lang w:val="en-US"/>
              </w:rPr>
            </w:pPr>
            <w:r>
              <w:rPr>
                <w:lang w:val="en-US"/>
              </w:rPr>
              <w:fldChar w:fldCharType="begin" w:fldLock="1"/>
            </w:r>
            <w:r>
              <w:rPr>
                <w:lang w:val="en-US"/>
              </w:rPr>
              <w:instrText>ADDIN CSL_CITATION {"citationItems":[{"id":"ITEM-1","itemData":{"DOI":"10.1016/J.ASEJ.2021.02.004","ISSN":"2090-4479","abstract":"This paper presents an economical-technical-environmental dispatch (ETED) model for an adapted IEEE 30-bus system incorporated with thermal and a mix of renewable energy sources (RESs). Total fuel costs, active power losses, and emissions level minimization is the main aim. Different equality and inequality limits involving prohibited operating zones (POZs) are considered as system restrictions. Metaheuristic optimization techniques – moth-flame optimization, salp swarm algorithm, improved grey wolf optimizer, and multi-verse optimizer – are employed to find the best solution for the generation cost, losses, and emissions. Various scenarios are examined to approve the ability of the formulated optimization model in solving the problem. A weighted sum strategy using the analytic hierarchy process (AHP) is used to convert the multi-objective problem into a normalized single-objective one. The AHP-ETED model presented in this work can significantly minimize fuel costs to 902.4951 $/h, lower emission levels as 0.09785 t/h, and achieve a lower power loss of 2.4110 MW. The results attained validate that the IGWO outperforms the other considered algorithms in finding the best solution to the ETED problem.","author":[{"dropping-particle":"","family":"Rawa","given":"Muhyaddin","non-dropping-particle":"","parse-names":false,"suffix":""},{"dropping-particle":"","family":"Abusorrah","given":"Abdullah","non-dropping-particle":"","parse-names":false,"suffix":""},{"dropping-particle":"","family":"Bassi","given":"Hussain","non-dropping-particle":"","parse-names":false,"suffix":""},{"dropping-particle":"","family":"Mekhilef","given":"Saad","non-dropping-particle":"","parse-names":false,"suffix":""},{"dropping-particle":"","family":"Ali","given":"Ziad M.","non-dropping-particle":"","parse-names":false,"suffix":""},{"dropping-particle":"","family":"Abdel Aleem","given":"Shady H.E.","non-dropping-particle":"","parse-names":false,"suffix":""},{"dropping-particle":"","family":"Hasanien","given":"Hany M.","non-dropping-particle":"","parse-names":false,"suffix":""},{"dropping-particle":"","family":"Omar","given":"Ahmed I.","non-dropping-particle":"","parse-names":false,"suffix":""}],"container-title":"Ain Shams Engineering Journal","id":"ITEM-1","issue":"3","issued":{"date-parts":[["2021","9","1"]]},"page":"2717-2734","publisher":"Elsevier","title":"Economical-technical-environmental operation of power networks with wind-solar-hydropower generation using analytic hierarchy process and improved grey wolf algorithm","type":"article-journal","volume":"12"},"uris":["http://www.mendeley.com/documents/?uuid=f5ecd2bb-85bb-3b75-9ea8-a6caae907df8"]}],"mendeley":{"formattedCitation":"(Rawa et al., 2021)","manualFormatting":"Rawa et al. (2021)","plainTextFormattedCitation":"(Rawa et al., 2021)","previouslyFormattedCitation":"(Rawa et al., 2021)"},"properties":{"noteIndex":0},"schema":"https://github.com/citation-style-language/schema/raw/master/csl-citation.json"}</w:instrText>
            </w:r>
            <w:r>
              <w:rPr>
                <w:lang w:val="en-US"/>
              </w:rPr>
              <w:fldChar w:fldCharType="separate"/>
            </w:r>
            <w:r>
              <w:rPr>
                <w:noProof/>
                <w:lang w:val="en-US"/>
              </w:rPr>
              <w:t>Rawa et al.</w:t>
            </w:r>
            <w:r w:rsidRPr="00EB017E">
              <w:rPr>
                <w:noProof/>
                <w:lang w:val="en-US"/>
              </w:rPr>
              <w:t xml:space="preserve"> </w:t>
            </w:r>
            <w:r>
              <w:rPr>
                <w:noProof/>
                <w:lang w:val="en-US"/>
              </w:rPr>
              <w:t>(</w:t>
            </w:r>
            <w:r w:rsidRPr="00EB017E">
              <w:rPr>
                <w:noProof/>
                <w:lang w:val="en-US"/>
              </w:rPr>
              <w:t>2021)</w:t>
            </w:r>
            <w:r>
              <w:rPr>
                <w:lang w:val="en-US"/>
              </w:rPr>
              <w:fldChar w:fldCharType="end"/>
            </w:r>
          </w:p>
        </w:tc>
        <w:tc>
          <w:tcPr>
            <w:tcW w:w="2029" w:type="dxa"/>
          </w:tcPr>
          <w:p w14:paraId="0094EA12" w14:textId="77777777" w:rsidR="00C4730F" w:rsidRDefault="00C4730F" w:rsidP="00720B45">
            <w:pPr>
              <w:rPr>
                <w:lang w:val="en-US"/>
              </w:rPr>
            </w:pPr>
            <w:r>
              <w:t>Economical-technical-environmental operation of power networks with wind-solar-hydropower generation using analytic hierarchy process and improved grey wolf algorithm.</w:t>
            </w:r>
          </w:p>
        </w:tc>
        <w:tc>
          <w:tcPr>
            <w:tcW w:w="3273" w:type="dxa"/>
          </w:tcPr>
          <w:p w14:paraId="6BE4725A" w14:textId="27338B8B" w:rsidR="00C4730F" w:rsidRPr="00056D12" w:rsidRDefault="00C4730F" w:rsidP="00720B45">
            <w:pPr>
              <w:rPr>
                <w:lang w:val="en-US"/>
              </w:rPr>
            </w:pPr>
            <w:r w:rsidRPr="00056D12">
              <w:rPr>
                <w:lang w:val="en-US"/>
              </w:rPr>
              <w:t xml:space="preserve">Improved Grey Wolf Optimization algorithm and other metaheuristic techniques were compared on </w:t>
            </w:r>
            <w:r w:rsidR="009861F9">
              <w:rPr>
                <w:lang w:val="en-US"/>
              </w:rPr>
              <w:t xml:space="preserve">the </w:t>
            </w:r>
            <w:r w:rsidRPr="00056D12">
              <w:rPr>
                <w:lang w:val="en-US"/>
              </w:rPr>
              <w:t>IEEE 30-bus system with renewable penetration.</w:t>
            </w:r>
          </w:p>
          <w:p w14:paraId="3603E148" w14:textId="77777777" w:rsidR="00C4730F" w:rsidRPr="00056D12" w:rsidRDefault="00C4730F" w:rsidP="00720B45">
            <w:pPr>
              <w:rPr>
                <w:lang w:val="en-US"/>
              </w:rPr>
            </w:pPr>
          </w:p>
        </w:tc>
        <w:tc>
          <w:tcPr>
            <w:tcW w:w="2496" w:type="dxa"/>
          </w:tcPr>
          <w:p w14:paraId="4DE64C77" w14:textId="77777777" w:rsidR="00C4730F" w:rsidRPr="00056D12" w:rsidRDefault="00C4730F" w:rsidP="00720B45">
            <w:pPr>
              <w:rPr>
                <w:lang w:val="en-US"/>
              </w:rPr>
            </w:pPr>
            <w:r>
              <w:rPr>
                <w:lang w:val="en-US"/>
              </w:rPr>
              <w:t>The Improved Grey Wolf Optimization algorithm was found to be superior to others such as the moth-flame and salp swarm algorithm.</w:t>
            </w:r>
          </w:p>
        </w:tc>
        <w:tc>
          <w:tcPr>
            <w:tcW w:w="2496" w:type="dxa"/>
          </w:tcPr>
          <w:p w14:paraId="17104BBF" w14:textId="77777777" w:rsidR="00C4730F" w:rsidRPr="00056D12" w:rsidRDefault="00C4730F" w:rsidP="00720B45">
            <w:pPr>
              <w:rPr>
                <w:lang w:val="en-US"/>
              </w:rPr>
            </w:pPr>
            <w:r w:rsidRPr="00056D12">
              <w:rPr>
                <w:lang w:val="en-US"/>
              </w:rPr>
              <w:t>The study sought to optimize three variables considering the penetration of renewable resources. However, voltage stability was not one of them.</w:t>
            </w:r>
          </w:p>
        </w:tc>
      </w:tr>
      <w:tr w:rsidR="00C4730F" w14:paraId="51273EED" w14:textId="77777777" w:rsidTr="00D35D78">
        <w:tc>
          <w:tcPr>
            <w:tcW w:w="2210" w:type="dxa"/>
          </w:tcPr>
          <w:p w14:paraId="35F38106" w14:textId="77777777" w:rsidR="00C4730F" w:rsidRDefault="00C4730F" w:rsidP="00720B45">
            <w:pPr>
              <w:rPr>
                <w:lang w:val="en-US"/>
              </w:rPr>
            </w:pPr>
            <w:r>
              <w:rPr>
                <w:lang w:val="en-US"/>
              </w:rPr>
              <w:fldChar w:fldCharType="begin" w:fldLock="1"/>
            </w:r>
            <w:r>
              <w:rPr>
                <w:lang w:val="en-US"/>
              </w:rPr>
              <w:instrText>ADDIN CSL_CITATION {"citationItems":[{"id":"ITEM-1","itemData":{"DOI":"10.3390/EN15030861","abstract":"This paper proposes the Compound Inverse Rayleigh distribution as a proper model for the characterization of the probability distribution of extreme values of wind-speed. This topic is gaining interest in the field of renewable generation, from the viewpoint of assessing both wind power production and wind-tower mechanical reliability and safety. The first part of the paper illustrates such model starting from its origin as a generalization of the Inverse Rayleigh model by means of a continuous mixture generated by a Gamma distribution on the scale parameter, which gives rise to its name. Moreover, its validity for interpreting different field data is illustrated resorting to real wind speed data. Then, a novel Bayes approach for the estimation of such extreme wind-speed model is proposed. The method relies upon the assessment of prior information in a practical way, that should be easily available to system engineers. The results of a large set of numerical simulations&amp;mdash;using typical values of wind-speed parameters&amp;mdash;are reported to illustrate the efficiency and the accuracy of the proposed method. The validity of the approach is also verified in terms of its robustness with respect to significant differences compared to the assumed prior information.","author":[{"dropping-particle":"","family":"Chiodo","given":"Elio","non-dropping-particle":"","parse-names":false,"suffix":""},{"dropping-particle":"","family":"Fantauzzi","given":"Maurizio","non-dropping-particle":"","parse-names":false,"suffix":""},{"dropping-particle":"","family":"Mazzanti","given":"Giovanni","non-dropping-particle":"","parse-names":false,"suffix":""}],"container-title":"Energies 2022, Vol. 15, Page 861","id":"ITEM-1","issue":"3","issued":{"date-parts":[["2022","1","25"]]},"page":"861","publisher":"Multidisciplinary Digital Publishing Institute","title":"The Compound Inverse Rayleigh as an Extreme Wind Speed Distribution and Its Bayes Estimation","type":"article-journal","volume":"15"},"uris":["http://www.mendeley.com/documents/?uuid=3aa3d52d-7abd-3abd-b592-cfa0b89a3b94"]}],"mendeley":{"formattedCitation":"(Chiodo et al., 2022)","manualFormatting":"Chiodo et al. (2022)","plainTextFormattedCitation":"(Chiodo et al., 2022)","previouslyFormattedCitation":"(Chiodo et al., 2022)"},"properties":{"noteIndex":0},"schema":"https://github.com/citation-style-language/schema/raw/master/csl-citation.json"}</w:instrText>
            </w:r>
            <w:r>
              <w:rPr>
                <w:lang w:val="en-US"/>
              </w:rPr>
              <w:fldChar w:fldCharType="separate"/>
            </w:r>
            <w:r>
              <w:rPr>
                <w:noProof/>
                <w:lang w:val="en-US"/>
              </w:rPr>
              <w:t>Chiodo et al.</w:t>
            </w:r>
            <w:r w:rsidRPr="00EB017E">
              <w:rPr>
                <w:noProof/>
                <w:lang w:val="en-US"/>
              </w:rPr>
              <w:t xml:space="preserve"> </w:t>
            </w:r>
            <w:r>
              <w:rPr>
                <w:noProof/>
                <w:lang w:val="en-US"/>
              </w:rPr>
              <w:t>(</w:t>
            </w:r>
            <w:r w:rsidRPr="00EB017E">
              <w:rPr>
                <w:noProof/>
                <w:lang w:val="en-US"/>
              </w:rPr>
              <w:t>2022)</w:t>
            </w:r>
            <w:r>
              <w:rPr>
                <w:lang w:val="en-US"/>
              </w:rPr>
              <w:fldChar w:fldCharType="end"/>
            </w:r>
          </w:p>
        </w:tc>
        <w:tc>
          <w:tcPr>
            <w:tcW w:w="2029" w:type="dxa"/>
          </w:tcPr>
          <w:p w14:paraId="59A994C6" w14:textId="77777777" w:rsidR="00C4730F" w:rsidRDefault="00C4730F" w:rsidP="00720B45">
            <w:pPr>
              <w:rPr>
                <w:lang w:val="en-US"/>
              </w:rPr>
            </w:pPr>
            <w:r>
              <w:t>The Compound Inverse Rayleigh as an Extreme Wind Speed Distribution and Its Bayes Estimation</w:t>
            </w:r>
          </w:p>
        </w:tc>
        <w:tc>
          <w:tcPr>
            <w:tcW w:w="3273" w:type="dxa"/>
          </w:tcPr>
          <w:p w14:paraId="59BD68B6" w14:textId="77777777" w:rsidR="00C4730F" w:rsidRPr="000C2C02" w:rsidRDefault="00C4730F" w:rsidP="00720B45">
            <w:pPr>
              <w:rPr>
                <w:lang w:val="en-US"/>
              </w:rPr>
            </w:pPr>
            <w:r w:rsidRPr="000C2C02">
              <w:rPr>
                <w:lang w:val="en-US"/>
              </w:rPr>
              <w:t>The Compound Inverse Rayleigh distribution was proposed for characterizing extreme wind speed values in power system uncertainty planning.</w:t>
            </w:r>
          </w:p>
          <w:p w14:paraId="526706D3" w14:textId="77777777" w:rsidR="00C4730F" w:rsidRPr="000C2C02" w:rsidRDefault="00C4730F" w:rsidP="00720B45">
            <w:pPr>
              <w:ind w:left="360"/>
              <w:rPr>
                <w:lang w:val="en-US"/>
              </w:rPr>
            </w:pPr>
          </w:p>
        </w:tc>
        <w:tc>
          <w:tcPr>
            <w:tcW w:w="2496" w:type="dxa"/>
          </w:tcPr>
          <w:p w14:paraId="557DBE64" w14:textId="2DF8B3A3" w:rsidR="00C4730F" w:rsidRPr="00D14DF4" w:rsidRDefault="00C4730F" w:rsidP="00720B45">
            <w:pPr>
              <w:rPr>
                <w:lang w:val="en-US"/>
              </w:rPr>
            </w:pPr>
            <w:r>
              <w:rPr>
                <w:lang w:val="en-US"/>
              </w:rPr>
              <w:t>Locations in Greece were used to validate the effectiveness of this distribut</w:t>
            </w:r>
            <w:r w:rsidR="009861F9">
              <w:rPr>
                <w:lang w:val="en-US"/>
              </w:rPr>
              <w:t>ion which gave different qualities</w:t>
            </w:r>
            <w:r>
              <w:rPr>
                <w:lang w:val="en-US"/>
              </w:rPr>
              <w:t xml:space="preserve"> of results in different locations.</w:t>
            </w:r>
          </w:p>
        </w:tc>
        <w:tc>
          <w:tcPr>
            <w:tcW w:w="2496" w:type="dxa"/>
          </w:tcPr>
          <w:p w14:paraId="53FDF830" w14:textId="0291727C" w:rsidR="00C4730F" w:rsidRPr="00D14DF4" w:rsidRDefault="00C4730F" w:rsidP="009861F9">
            <w:pPr>
              <w:rPr>
                <w:lang w:val="en-US"/>
              </w:rPr>
            </w:pPr>
            <w:r w:rsidRPr="00D14DF4">
              <w:rPr>
                <w:lang w:val="en-US"/>
              </w:rPr>
              <w:t xml:space="preserve">There were cases in which the approximation was found unsuitable, which may be critical </w:t>
            </w:r>
            <w:r w:rsidR="009861F9">
              <w:rPr>
                <w:lang w:val="en-US"/>
              </w:rPr>
              <w:t>for</w:t>
            </w:r>
            <w:r w:rsidRPr="00D14DF4">
              <w:rPr>
                <w:lang w:val="en-US"/>
              </w:rPr>
              <w:t xml:space="preserve"> power system stability.</w:t>
            </w:r>
          </w:p>
        </w:tc>
      </w:tr>
      <w:tr w:rsidR="00985FBF" w14:paraId="00BA1081" w14:textId="77777777" w:rsidTr="00D35D78">
        <w:tc>
          <w:tcPr>
            <w:tcW w:w="2210" w:type="dxa"/>
          </w:tcPr>
          <w:p w14:paraId="6143E2C5" w14:textId="4945F283" w:rsidR="00985FBF" w:rsidRDefault="00985FBF" w:rsidP="00720B45">
            <w:pPr>
              <w:rPr>
                <w:lang w:val="en-US"/>
              </w:rPr>
            </w:pPr>
            <w:r>
              <w:rPr>
                <w:lang w:val="en-US"/>
              </w:rPr>
              <w:fldChar w:fldCharType="begin" w:fldLock="1"/>
            </w:r>
            <w:r>
              <w:rPr>
                <w:lang w:val="en-US"/>
              </w:rPr>
              <w:instrText>ADDIN CSL_CITATION {"citationItems":[{"id":"ITEM-1","itemData":{"DOI":"10.1109/INFOTEH51037.2021.9400525","ISBN":"9781728182292","abstract":"In recent years, the number of requests for connection of PV systems to the medium voltage distribution network has been significantly increasing. In order to approve a connection, it is necessary to comprehensively consider the integration impacts on the grid. In this paper, a two-step quasi-dynamic network simulation in DIgSILENT PowerFactory automated by Python scripting is proposed. In the first step, based on statistics of meteorological parameters and consumer load profiles, long-term hourly sequences of PV system power production and load of all consumers were artificially generated. In the second step, a Monte Carlo simulation applied to IEEE 33-bus system with an integrated PV system was performed. As illustrative results, the voltage profile and active power losses are shown and discussed.","author":[{"dropping-particle":"","family":"Starcevic","given":"Vanja","non-dropping-particle":"","parse-names":false,"suffix":""},{"dropping-particle":"","family":"Zeljkovic","given":"Cedomir","non-dropping-particle":"","parse-names":false,"suffix":""},{"dropping-particle":"","family":"Kitic","given":"Nemanja","non-dropping-particle":"","parse-names":false,"suffix":""},{"dropping-particle":"","family":"Mrsic","given":"Predrag","non-dropping-particle":"","parse-names":false,"suffix":""},{"dropping-particle":"","family":"Erceg","given":"Bojan","non-dropping-particle":"","parse-names":false,"suffix":""},{"dropping-particle":"","family":"Jovanovic","given":"Vedran","non-dropping-particle":"","parse-names":false,"suffix":""}],"container-title":"2021 20th International Symposium INFOTEH-JAHORINA, INFOTEH 2021 - Proceedings","id":"ITEM-1","issued":{"date-parts":[["2021","3","17"]]},"publisher":"Institute of Electrical and Electronics Engineers Inc.","title":"PV System Integration Assessment by Automated Monte Carlo Simulation in DIgSILENT PowerFactory","type":"paper-conference"},"uris":["http://www.mendeley.com/documents/?uuid=f90e1cd7-ad81-33b0-b3bd-48e723162bb4"]}],"mendeley":{"formattedCitation":"(Starcevic et al., 2021)","manualFormatting":"Starcevic et al. (2021)","plainTextFormattedCitation":"(Starcevic et al., 2021)","previouslyFormattedCitation":"(Starcevic et al., 2021)"},"properties":{"noteIndex":0},"schema":"https://github.com/citation-style-language/schema/raw/master/csl-citation.json"}</w:instrText>
            </w:r>
            <w:r>
              <w:rPr>
                <w:lang w:val="en-US"/>
              </w:rPr>
              <w:fldChar w:fldCharType="separate"/>
            </w:r>
            <w:r>
              <w:rPr>
                <w:noProof/>
                <w:lang w:val="en-US"/>
              </w:rPr>
              <w:t>Starcevic et al.</w:t>
            </w:r>
            <w:r w:rsidRPr="00985FBF">
              <w:rPr>
                <w:noProof/>
                <w:lang w:val="en-US"/>
              </w:rPr>
              <w:t xml:space="preserve"> </w:t>
            </w:r>
            <w:r>
              <w:rPr>
                <w:noProof/>
                <w:lang w:val="en-US"/>
              </w:rPr>
              <w:t>(</w:t>
            </w:r>
            <w:r w:rsidRPr="00985FBF">
              <w:rPr>
                <w:noProof/>
                <w:lang w:val="en-US"/>
              </w:rPr>
              <w:t>2021)</w:t>
            </w:r>
            <w:r>
              <w:rPr>
                <w:lang w:val="en-US"/>
              </w:rPr>
              <w:fldChar w:fldCharType="end"/>
            </w:r>
          </w:p>
        </w:tc>
        <w:tc>
          <w:tcPr>
            <w:tcW w:w="2029" w:type="dxa"/>
          </w:tcPr>
          <w:p w14:paraId="072CFCAE" w14:textId="627D11E5" w:rsidR="00985FBF" w:rsidRDefault="00985FBF" w:rsidP="00720B45">
            <w:r>
              <w:t>PV System Integration Assessment by Automated Monte Carlo Simulation in DIgSILENT PowerFactory</w:t>
            </w:r>
          </w:p>
          <w:p w14:paraId="045F8732" w14:textId="731CE54A" w:rsidR="00985FBF" w:rsidRDefault="00985FBF" w:rsidP="00720B45"/>
        </w:tc>
        <w:tc>
          <w:tcPr>
            <w:tcW w:w="3273" w:type="dxa"/>
          </w:tcPr>
          <w:p w14:paraId="5FD244A8" w14:textId="5359C0A7" w:rsidR="00985FBF" w:rsidRPr="000C2C02" w:rsidRDefault="00985FBF" w:rsidP="00720B45">
            <w:pPr>
              <w:rPr>
                <w:lang w:val="en-US"/>
              </w:rPr>
            </w:pPr>
            <w:r>
              <w:rPr>
                <w:lang w:val="en-US"/>
              </w:rPr>
              <w:t xml:space="preserve">Monte Carlo simulation was used with PowerFactory to investigate the impact of integrating PV generation into the medium voltage distribution network, specifically </w:t>
            </w:r>
            <w:r w:rsidR="009861F9">
              <w:rPr>
                <w:lang w:val="en-US"/>
              </w:rPr>
              <w:t xml:space="preserve">the </w:t>
            </w:r>
            <w:r>
              <w:rPr>
                <w:lang w:val="en-US"/>
              </w:rPr>
              <w:t>IEEE 33-bus system.</w:t>
            </w:r>
          </w:p>
        </w:tc>
        <w:tc>
          <w:tcPr>
            <w:tcW w:w="2496" w:type="dxa"/>
          </w:tcPr>
          <w:p w14:paraId="20A0C36A" w14:textId="705343BB" w:rsidR="00985FBF" w:rsidRDefault="00473648" w:rsidP="00720B45">
            <w:pPr>
              <w:rPr>
                <w:lang w:val="en-US"/>
              </w:rPr>
            </w:pPr>
            <w:r>
              <w:rPr>
                <w:lang w:val="en-US"/>
              </w:rPr>
              <w:t>It was shown that the quasi-dynamic simulation results were satisfactory for long-term system investigation.</w:t>
            </w:r>
          </w:p>
        </w:tc>
        <w:tc>
          <w:tcPr>
            <w:tcW w:w="2496" w:type="dxa"/>
          </w:tcPr>
          <w:p w14:paraId="52757FF1" w14:textId="55A8D05F" w:rsidR="00985FBF" w:rsidRPr="00D14DF4" w:rsidRDefault="00473648" w:rsidP="00720B45">
            <w:pPr>
              <w:rPr>
                <w:lang w:val="en-US"/>
              </w:rPr>
            </w:pPr>
            <w:r>
              <w:rPr>
                <w:lang w:val="en-US"/>
              </w:rPr>
              <w:t>Only PV integration was considered in the study.</w:t>
            </w:r>
          </w:p>
        </w:tc>
      </w:tr>
      <w:tr w:rsidR="00985FBF" w14:paraId="61EC16CB" w14:textId="77777777" w:rsidTr="00D35D78">
        <w:tc>
          <w:tcPr>
            <w:tcW w:w="2210" w:type="dxa"/>
          </w:tcPr>
          <w:p w14:paraId="7D17D111" w14:textId="4B44B520" w:rsidR="00985FBF" w:rsidRDefault="00473648" w:rsidP="00720B45">
            <w:pPr>
              <w:rPr>
                <w:lang w:val="en-US"/>
              </w:rPr>
            </w:pPr>
            <w:r>
              <w:rPr>
                <w:lang w:val="en-US"/>
              </w:rPr>
              <w:fldChar w:fldCharType="begin" w:fldLock="1"/>
            </w:r>
            <w:r w:rsidR="00C23D40">
              <w:rPr>
                <w:lang w:val="en-US"/>
              </w:rPr>
              <w:instrText>ADDIN CSL_CITATION {"citationItems":[{"id":"ITEM-1","itemData":{"ISBN":"978-3-030-00350-0","abstract":"In this article, an electrical system with a study case is presented within the Colombian industrial electric sector in order to identify the changes in the electrical variables of a electrical network with distributed generation (DG). To achieve this, each present load in the 14-node IEEE system was modelled as daily demand curve of the Colombian industrial electric sector. In first place, the power dispatch of the 14-node IEEE system with DG was optimized through the particle swarm method. Afterwards, Quasi-Dynamic simulations were implemented throughout a 24-h period in the different nodes of the system with the purpose of estimate the transformers and line losses as well as the variations in the power and voltage profiles in the system nodes. DG systems supply effectively the demanded power however the voltage and power profiles resulting from Quasi-Dynamic simulations do not show significant changes in the behavior of the electrical network.","author":[{"dropping-particle":"","family":"Gaitan","given":"Luis Felipe","non-dropping-particle":"","parse-names":false,"suffix":""},{"dropping-particle":"","family":"Gómez","given":"Juan David","non-dropping-particle":"","parse-names":false,"suffix":""},{"dropping-particle":"","family":"Trujillo","given":"Edwin Rivas","non-dropping-particle":"","parse-names":false,"suffix":""}],"editor":[{"dropping-particle":"","family":"Figueroa-García","given":"Juan Carlos","non-dropping-particle":"","parse-names":false,"suffix":""},{"dropping-particle":"","family":"López-Santana","given":"Eduyn Ramiro","non-dropping-particle":"","parse-names":false,"suffix":""},{"dropping-particle":"","family":"Rodriguez-Molano","given":"José Ignacio","non-dropping-particle":"","parse-names":false,"suffix":""}],"id":"ITEM-1","issued":{"date-parts":[["2018"]]},"page":"497-508","publisher":"Springer International Publishing","publisher-place":"Cham","title":"Simulation of a 14 Node IEEE System with Distributed Generation Using Quasi-dynamic Analysis BT  - Applied Computer Sciences in Engineering","type":"paper-conference"},"uris":["http://www.mendeley.com/documents/?uuid=d36b1712-ecc9-4006-b91d-8400180c0f43"]}],"mendeley":{"formattedCitation":"(Gaitan et al., 2018)","manualFormatting":"Gaitan et al. (2018)","plainTextFormattedCitation":"(Gaitan et al., 2018)","previouslyFormattedCitation":"(Gaitan et al., 2018)"},"properties":{"noteIndex":0},"schema":"https://github.com/citation-style-language/schema/raw/master/csl-citation.json"}</w:instrText>
            </w:r>
            <w:r>
              <w:rPr>
                <w:lang w:val="en-US"/>
              </w:rPr>
              <w:fldChar w:fldCharType="separate"/>
            </w:r>
            <w:r w:rsidR="00C23D40">
              <w:rPr>
                <w:noProof/>
                <w:lang w:val="en-US"/>
              </w:rPr>
              <w:t>Gaitan et al.</w:t>
            </w:r>
            <w:r w:rsidRPr="00473648">
              <w:rPr>
                <w:noProof/>
                <w:lang w:val="en-US"/>
              </w:rPr>
              <w:t xml:space="preserve"> </w:t>
            </w:r>
            <w:r w:rsidR="00C23D40">
              <w:rPr>
                <w:noProof/>
                <w:lang w:val="en-US"/>
              </w:rPr>
              <w:t>(</w:t>
            </w:r>
            <w:r w:rsidRPr="00473648">
              <w:rPr>
                <w:noProof/>
                <w:lang w:val="en-US"/>
              </w:rPr>
              <w:t>2018)</w:t>
            </w:r>
            <w:r>
              <w:rPr>
                <w:lang w:val="en-US"/>
              </w:rPr>
              <w:fldChar w:fldCharType="end"/>
            </w:r>
          </w:p>
        </w:tc>
        <w:tc>
          <w:tcPr>
            <w:tcW w:w="2029" w:type="dxa"/>
          </w:tcPr>
          <w:p w14:paraId="15BC7FD3" w14:textId="09DA9F31" w:rsidR="00985FBF" w:rsidRDefault="00364604" w:rsidP="00720B45">
            <w:r w:rsidRPr="00364604">
              <w:t>Simulation of a 14 Node IEEE System with Distributed Generation Using Quasi-dynamic Analysis</w:t>
            </w:r>
          </w:p>
        </w:tc>
        <w:tc>
          <w:tcPr>
            <w:tcW w:w="3273" w:type="dxa"/>
          </w:tcPr>
          <w:p w14:paraId="7B809066" w14:textId="2C39746E" w:rsidR="00985FBF" w:rsidRPr="000C2C02" w:rsidRDefault="00364604" w:rsidP="00720B45">
            <w:pPr>
              <w:rPr>
                <w:lang w:val="en-US"/>
              </w:rPr>
            </w:pPr>
            <w:r>
              <w:rPr>
                <w:lang w:val="en-US"/>
              </w:rPr>
              <w:t>A set of load curves based on Colombian electricity profiles was used with Particle Swarm Optimisation to optimize the power dispatch on the IEEE 14-bus system.</w:t>
            </w:r>
          </w:p>
        </w:tc>
        <w:tc>
          <w:tcPr>
            <w:tcW w:w="2496" w:type="dxa"/>
          </w:tcPr>
          <w:p w14:paraId="0E309597" w14:textId="13E5BED3" w:rsidR="00985FBF" w:rsidRDefault="00364604" w:rsidP="00720B45">
            <w:pPr>
              <w:rPr>
                <w:lang w:val="en-US"/>
              </w:rPr>
            </w:pPr>
            <w:r>
              <w:rPr>
                <w:lang w:val="en-US"/>
              </w:rPr>
              <w:t>The quasi-dynamic simulation results were found to be representative of the system behavio</w:t>
            </w:r>
            <w:r w:rsidR="009861F9">
              <w:rPr>
                <w:lang w:val="en-US"/>
              </w:rPr>
              <w:t>u</w:t>
            </w:r>
            <w:r>
              <w:rPr>
                <w:lang w:val="en-US"/>
              </w:rPr>
              <w:t xml:space="preserve">r. </w:t>
            </w:r>
          </w:p>
        </w:tc>
        <w:tc>
          <w:tcPr>
            <w:tcW w:w="2496" w:type="dxa"/>
          </w:tcPr>
          <w:p w14:paraId="78E77122" w14:textId="688692D0" w:rsidR="00985FBF" w:rsidRPr="00D14DF4" w:rsidRDefault="00364604" w:rsidP="00720B45">
            <w:pPr>
              <w:rPr>
                <w:lang w:val="en-US"/>
              </w:rPr>
            </w:pPr>
            <w:r>
              <w:rPr>
                <w:lang w:val="en-US"/>
              </w:rPr>
              <w:t>Only 24-hour periods were considered in the simulation.</w:t>
            </w:r>
          </w:p>
        </w:tc>
      </w:tr>
      <w:tr w:rsidR="00C23D40" w14:paraId="1BD481D7" w14:textId="77777777" w:rsidTr="00D35D78">
        <w:tc>
          <w:tcPr>
            <w:tcW w:w="2210" w:type="dxa"/>
          </w:tcPr>
          <w:p w14:paraId="511CBFDA" w14:textId="39130D97" w:rsidR="00C23D40" w:rsidRDefault="00C23D40" w:rsidP="00720B45">
            <w:pPr>
              <w:rPr>
                <w:lang w:val="en-US"/>
              </w:rPr>
            </w:pPr>
            <w:r>
              <w:rPr>
                <w:lang w:val="en-US"/>
              </w:rPr>
              <w:fldChar w:fldCharType="begin" w:fldLock="1"/>
            </w:r>
            <w:r w:rsidR="00CA7E0B">
              <w:rPr>
                <w:lang w:val="en-US"/>
              </w:rPr>
              <w:instrText>ADDIN CSL_CITATION {"citationItems":[{"id":"ITEM-1","itemData":{"DOI":"10.1007/978-3-319-98687-6_13","ISBN":"9783319986876","abstract":"This chapter introduces concepts to understand, formulate, and solve a microgrid design and optimal sizing problem. First, basic concepts of energy potential assessment are introduced, in order to determine if a location is suitable for PV and wind generation systems...","author":[{"dropping-particle":"","family":"Rey","given":"Juan M.","non-dropping-particle":"","parse-names":false,"suffix":""},{"dropping-particle":"","family":"Vergara","given":"Pedro P.","non-dropping-particle":"","parse-names":false,"suffix":""},{"dropping-particle":"","family":"Solano","given":"Javier","non-dropping-particle":"","parse-names":false,"suffix":""},{"dropping-particle":"","family":"Ordóñez","given":"Gabriel","non-dropping-particle":"","parse-names":false,"suffix":""}],"container-title":"Microgrids Design and Implementation","id":"ITEM-1","issued":{"date-parts":[["2019","11","29"]]},"page":"337-367","publisher":"Springer, Cham","title":"Design and Optimal Sizing of Microgrids","type":"article-journal"},"uris":["http://www.mendeley.com/documents/?uuid=0fb16e63-7322-3804-bf17-a4f11f5b14eb"]}],"mendeley":{"formattedCitation":"(Rey et al., 2019)","manualFormatting":"Rey et al. (2019)","plainTextFormattedCitation":"(Rey et al., 2019)","previouslyFormattedCitation":"(Rey et al., 2019)"},"properties":{"noteIndex":0},"schema":"https://github.com/citation-style-language/schema/raw/master/csl-citation.json"}</w:instrText>
            </w:r>
            <w:r>
              <w:rPr>
                <w:lang w:val="en-US"/>
              </w:rPr>
              <w:fldChar w:fldCharType="separate"/>
            </w:r>
            <w:r w:rsidRPr="00C23D40">
              <w:rPr>
                <w:noProof/>
                <w:lang w:val="en-US"/>
              </w:rPr>
              <w:t xml:space="preserve">Rey et al. </w:t>
            </w:r>
            <w:r>
              <w:rPr>
                <w:noProof/>
                <w:lang w:val="en-US"/>
              </w:rPr>
              <w:t>(</w:t>
            </w:r>
            <w:r w:rsidRPr="00C23D40">
              <w:rPr>
                <w:noProof/>
                <w:lang w:val="en-US"/>
              </w:rPr>
              <w:t>2019)</w:t>
            </w:r>
            <w:r>
              <w:rPr>
                <w:lang w:val="en-US"/>
              </w:rPr>
              <w:fldChar w:fldCharType="end"/>
            </w:r>
          </w:p>
        </w:tc>
        <w:tc>
          <w:tcPr>
            <w:tcW w:w="2029" w:type="dxa"/>
          </w:tcPr>
          <w:p w14:paraId="56F8E962" w14:textId="779FA115" w:rsidR="00C23D40" w:rsidRPr="00364604" w:rsidRDefault="00C23D40" w:rsidP="00720B45">
            <w:r w:rsidRPr="00C23D40">
              <w:t>Design and Optimal Sizing of Microgrids</w:t>
            </w:r>
          </w:p>
        </w:tc>
        <w:tc>
          <w:tcPr>
            <w:tcW w:w="3273" w:type="dxa"/>
          </w:tcPr>
          <w:p w14:paraId="261E309E" w14:textId="6873135E" w:rsidR="00C23D40" w:rsidRDefault="00C23D40" w:rsidP="00720B45">
            <w:pPr>
              <w:rPr>
                <w:lang w:val="en-US"/>
              </w:rPr>
            </w:pPr>
            <w:r>
              <w:rPr>
                <w:lang w:val="en-US"/>
              </w:rPr>
              <w:t>A set of concepts and methodologies for analyzing and sizing microgrids are presented and classified</w:t>
            </w:r>
          </w:p>
        </w:tc>
        <w:tc>
          <w:tcPr>
            <w:tcW w:w="2496" w:type="dxa"/>
          </w:tcPr>
          <w:p w14:paraId="6F3BD2F8" w14:textId="2CF7B383" w:rsidR="00C23D40" w:rsidRDefault="00C23D40" w:rsidP="00720B45">
            <w:pPr>
              <w:rPr>
                <w:lang w:val="en-US"/>
              </w:rPr>
            </w:pPr>
            <w:r>
              <w:rPr>
                <w:lang w:val="en-US"/>
              </w:rPr>
              <w:t>Social acceptability analysis for microgrids using fuzzy logic with selected factors is proposed.</w:t>
            </w:r>
          </w:p>
        </w:tc>
        <w:tc>
          <w:tcPr>
            <w:tcW w:w="2496" w:type="dxa"/>
          </w:tcPr>
          <w:p w14:paraId="65196F6C" w14:textId="291CC458" w:rsidR="00C23D40" w:rsidRDefault="00C23D40" w:rsidP="009861F9">
            <w:pPr>
              <w:rPr>
                <w:lang w:val="en-US"/>
              </w:rPr>
            </w:pPr>
            <w:r>
              <w:rPr>
                <w:lang w:val="en-US"/>
              </w:rPr>
              <w:t>T</w:t>
            </w:r>
            <w:r w:rsidR="00760E7B">
              <w:rPr>
                <w:lang w:val="en-US"/>
              </w:rPr>
              <w:t>he precise structure of fuzzy rules and membership functions</w:t>
            </w:r>
            <w:r>
              <w:rPr>
                <w:lang w:val="en-US"/>
              </w:rPr>
              <w:t xml:space="preserve"> in the study was not made available.</w:t>
            </w:r>
          </w:p>
        </w:tc>
      </w:tr>
    </w:tbl>
    <w:p w14:paraId="37771A57" w14:textId="1AFD19A1" w:rsidR="00C4730F" w:rsidRDefault="00C4730F" w:rsidP="00F03645">
      <w:pPr>
        <w:spacing w:line="480" w:lineRule="auto"/>
        <w:jc w:val="center"/>
        <w:rPr>
          <w:lang w:val="en-US"/>
        </w:rPr>
        <w:sectPr w:rsidR="00C4730F" w:rsidSect="000A5DF8">
          <w:pgSz w:w="15840" w:h="12240" w:orient="landscape"/>
          <w:pgMar w:top="1440" w:right="1440" w:bottom="2160" w:left="1440" w:header="706" w:footer="706" w:gutter="0"/>
          <w:cols w:space="708"/>
          <w:docGrid w:linePitch="360"/>
        </w:sectPr>
      </w:pPr>
    </w:p>
    <w:p w14:paraId="6F3A5584" w14:textId="5BD9FCB9" w:rsidR="00C348FA" w:rsidRDefault="002829A3" w:rsidP="00F03645">
      <w:pPr>
        <w:pStyle w:val="Heading3"/>
        <w:spacing w:line="480" w:lineRule="auto"/>
      </w:pPr>
      <w:bookmarkStart w:id="32" w:name="_Toc110502570"/>
      <w:r>
        <w:t>2.9</w:t>
      </w:r>
      <w:r w:rsidR="00C348FA">
        <w:t xml:space="preserve"> </w:t>
      </w:r>
      <w:r w:rsidR="00072952">
        <w:t>GAP IDENTIFIED IN THE LITERATURE</w:t>
      </w:r>
      <w:bookmarkEnd w:id="32"/>
    </w:p>
    <w:p w14:paraId="2BEFA7F5" w14:textId="5BC69DE2" w:rsidR="00624B99" w:rsidRDefault="00C348FA" w:rsidP="00F03645">
      <w:pPr>
        <w:spacing w:line="480" w:lineRule="auto"/>
        <w:rPr>
          <w:lang w:val="en-US"/>
        </w:rPr>
      </w:pPr>
      <w:r w:rsidRPr="00C348FA">
        <w:rPr>
          <w:lang w:val="en-US"/>
        </w:rPr>
        <w:t xml:space="preserve">A review of the </w:t>
      </w:r>
      <w:r w:rsidR="009861F9">
        <w:rPr>
          <w:lang w:val="en-US"/>
        </w:rPr>
        <w:t>works of literature</w:t>
      </w:r>
      <w:r w:rsidR="00D2378C">
        <w:rPr>
          <w:lang w:val="en-US"/>
        </w:rPr>
        <w:t xml:space="preserve"> on microgrids reflects</w:t>
      </w:r>
      <w:r w:rsidRPr="00C348FA">
        <w:rPr>
          <w:lang w:val="en-US"/>
        </w:rPr>
        <w:t xml:space="preserve"> that most of these studies have been performed based on the factors that prevail in parts of the Asian continent, and some in America and Europe. However, literature shows a paucity of research efforts in this direction in Africa. Also, previous studies and several methodologies have been used based on other power systems in regions of various countries, on the large national grid systems (including the Nigerian national grid), and the IEEE benchmark microgrids. However, little work has been done</w:t>
      </w:r>
      <w:r w:rsidR="00D2378C">
        <w:rPr>
          <w:lang w:val="en-US"/>
        </w:rPr>
        <w:t xml:space="preserve"> on community microgrids with a focus on </w:t>
      </w:r>
      <w:r w:rsidRPr="00C348FA">
        <w:rPr>
          <w:lang w:val="en-US"/>
        </w:rPr>
        <w:t>Nigerian lo</w:t>
      </w:r>
      <w:r w:rsidR="00D2378C">
        <w:rPr>
          <w:lang w:val="en-US"/>
        </w:rPr>
        <w:t>cal communities</w:t>
      </w:r>
      <w:r w:rsidRPr="00C348FA">
        <w:rPr>
          <w:lang w:val="en-US"/>
        </w:rPr>
        <w:t>. Additionally, while some of the works in the literature considered power system stability and some</w:t>
      </w:r>
      <w:r w:rsidR="004B5FEB">
        <w:rPr>
          <w:lang w:val="en-US"/>
        </w:rPr>
        <w:t xml:space="preserve"> others</w:t>
      </w:r>
      <w:r w:rsidRPr="00C348FA">
        <w:rPr>
          <w:lang w:val="en-US"/>
        </w:rPr>
        <w:t xml:space="preserve"> considered </w:t>
      </w:r>
      <w:r w:rsidR="004B5FEB">
        <w:rPr>
          <w:lang w:val="en-US"/>
        </w:rPr>
        <w:t xml:space="preserve">renewable resource </w:t>
      </w:r>
      <w:r w:rsidRPr="00C348FA">
        <w:rPr>
          <w:lang w:val="en-US"/>
        </w:rPr>
        <w:t xml:space="preserve">uncertainty, they did not </w:t>
      </w:r>
      <w:r w:rsidR="004B5FEB">
        <w:rPr>
          <w:lang w:val="en-US"/>
        </w:rPr>
        <w:t>unite</w:t>
      </w:r>
      <w:r w:rsidRPr="00C348FA">
        <w:rPr>
          <w:lang w:val="en-US"/>
        </w:rPr>
        <w:t xml:space="preserve"> the two concepts in </w:t>
      </w:r>
      <w:r w:rsidR="006A39AF">
        <w:rPr>
          <w:lang w:val="en-US"/>
        </w:rPr>
        <w:t xml:space="preserve">the context of </w:t>
      </w:r>
      <w:r w:rsidRPr="00C348FA">
        <w:rPr>
          <w:lang w:val="en-US"/>
        </w:rPr>
        <w:t>a renewable-based system.</w:t>
      </w:r>
      <w:r w:rsidR="006F582E">
        <w:rPr>
          <w:lang w:val="en-US"/>
        </w:rPr>
        <w:t xml:space="preserve"> Moreso, quasi-dynamic simulation</w:t>
      </w:r>
      <w:r w:rsidR="004B5FEB">
        <w:rPr>
          <w:lang w:val="en-US"/>
        </w:rPr>
        <w:t xml:space="preserve">, </w:t>
      </w:r>
      <w:r w:rsidR="004B5FEB" w:rsidRPr="00D2378C">
        <w:rPr>
          <w:lang w:val="en-US"/>
        </w:rPr>
        <w:t>as carried out in this study</w:t>
      </w:r>
      <w:r w:rsidR="004B5FEB">
        <w:rPr>
          <w:lang w:val="en-US"/>
        </w:rPr>
        <w:t>,</w:t>
      </w:r>
      <w:r w:rsidR="006F582E">
        <w:rPr>
          <w:lang w:val="en-US"/>
        </w:rPr>
        <w:t xml:space="preserve"> has not been commonly used in literature for microgrid modelling and simulation.</w:t>
      </w:r>
    </w:p>
    <w:p w14:paraId="240B3759" w14:textId="77777777" w:rsidR="00624B99" w:rsidRDefault="00624B99" w:rsidP="00F03645">
      <w:pPr>
        <w:spacing w:line="480" w:lineRule="auto"/>
        <w:jc w:val="left"/>
        <w:rPr>
          <w:lang w:val="en-US"/>
        </w:rPr>
      </w:pPr>
      <w:r>
        <w:rPr>
          <w:lang w:val="en-US"/>
        </w:rPr>
        <w:br w:type="page"/>
      </w:r>
    </w:p>
    <w:p w14:paraId="5D5726E6" w14:textId="77777777" w:rsidR="00C348FA" w:rsidRPr="00C348FA" w:rsidRDefault="00C348FA" w:rsidP="00F03645">
      <w:pPr>
        <w:spacing w:line="480" w:lineRule="auto"/>
        <w:rPr>
          <w:lang w:val="en-US"/>
        </w:rPr>
      </w:pPr>
    </w:p>
    <w:p w14:paraId="737C3006" w14:textId="4B25C9C6" w:rsidR="00204CF2" w:rsidRDefault="0042346C" w:rsidP="00F03645">
      <w:pPr>
        <w:pStyle w:val="Heading1"/>
        <w:spacing w:line="480" w:lineRule="auto"/>
        <w:rPr>
          <w:lang w:val="en-US"/>
        </w:rPr>
      </w:pPr>
      <w:bookmarkStart w:id="33" w:name="_Toc110502571"/>
      <w:r>
        <w:rPr>
          <w:lang w:val="en-US"/>
        </w:rPr>
        <w:t>CHAPTER</w:t>
      </w:r>
      <w:r w:rsidR="007A1E2D">
        <w:rPr>
          <w:lang w:val="en-US"/>
        </w:rPr>
        <w:t xml:space="preserve"> THREE</w:t>
      </w:r>
      <w:bookmarkEnd w:id="33"/>
    </w:p>
    <w:p w14:paraId="7E4B5AA6" w14:textId="647A3332" w:rsidR="007A1E2D" w:rsidRDefault="007A1E2D" w:rsidP="00F03645">
      <w:pPr>
        <w:pStyle w:val="Heading2"/>
        <w:spacing w:line="480" w:lineRule="auto"/>
        <w:rPr>
          <w:lang w:val="en-US"/>
        </w:rPr>
      </w:pPr>
      <w:bookmarkStart w:id="34" w:name="_Toc110502572"/>
      <w:r>
        <w:rPr>
          <w:lang w:val="en-US"/>
        </w:rPr>
        <w:t>M</w:t>
      </w:r>
      <w:r w:rsidR="00B3679D">
        <w:rPr>
          <w:lang w:val="en-US"/>
        </w:rPr>
        <w:t>ETHODOLOGY</w:t>
      </w:r>
      <w:bookmarkEnd w:id="34"/>
    </w:p>
    <w:p w14:paraId="2BE197E7" w14:textId="4F366275" w:rsidR="00313206" w:rsidRDefault="00F21561" w:rsidP="00F03645">
      <w:pPr>
        <w:pStyle w:val="Heading3"/>
        <w:spacing w:line="480" w:lineRule="auto"/>
      </w:pPr>
      <w:bookmarkStart w:id="35" w:name="_Toc110502573"/>
      <w:r>
        <w:t xml:space="preserve">3.1 </w:t>
      </w:r>
      <w:r w:rsidR="004B7FDA">
        <w:t>RESEARCH DESIGN/MODEL SPECIFICATION</w:t>
      </w:r>
      <w:bookmarkEnd w:id="35"/>
    </w:p>
    <w:p w14:paraId="10B23B9A" w14:textId="281F61FA" w:rsidR="00A734DB" w:rsidRDefault="00A734DB" w:rsidP="00A734DB">
      <w:pPr>
        <w:pStyle w:val="Heading3"/>
      </w:pPr>
      <w:bookmarkStart w:id="36" w:name="_Toc110502574"/>
      <w:r>
        <w:t>3.1.1 Description of Study Area</w:t>
      </w:r>
      <w:bookmarkEnd w:id="36"/>
    </w:p>
    <w:p w14:paraId="1441AE53" w14:textId="073E2021" w:rsidR="002040A7" w:rsidRDefault="009E3737" w:rsidP="00F03645">
      <w:pPr>
        <w:spacing w:line="480" w:lineRule="auto"/>
        <w:rPr>
          <w:rFonts w:cs="Times New Roman"/>
          <w:szCs w:val="24"/>
          <w:lang w:eastAsia="en-GB"/>
        </w:rPr>
      </w:pPr>
      <w:r>
        <w:rPr>
          <w:lang w:val="en-US"/>
        </w:rPr>
        <w:t>The research data i</w:t>
      </w:r>
      <w:r w:rsidR="004A69AD">
        <w:rPr>
          <w:lang w:val="en-US"/>
        </w:rPr>
        <w:t xml:space="preserve">s </w:t>
      </w:r>
      <w:r w:rsidR="0067152A" w:rsidRPr="00624B99">
        <w:rPr>
          <w:lang w:val="en-US"/>
        </w:rPr>
        <w:t>based on Arandun in Irepodun Local Government Area</w:t>
      </w:r>
      <w:r w:rsidR="00C96DB0" w:rsidRPr="00624B99">
        <w:rPr>
          <w:lang w:val="en-US"/>
        </w:rPr>
        <w:t>, Kwara State, Nigeria. The coordinates of the town are 8° 4' 59" N</w:t>
      </w:r>
      <w:r w:rsidR="00C96DB0" w:rsidRPr="00624B99">
        <w:rPr>
          <w:rFonts w:cs="Times New Roman"/>
          <w:szCs w:val="24"/>
          <w:lang w:eastAsia="en-GB"/>
        </w:rPr>
        <w:t xml:space="preserve"> and 4° 57' 0" E, about </w:t>
      </w:r>
      <w:r w:rsidR="009A272D" w:rsidRPr="00624B99">
        <w:rPr>
          <w:rFonts w:cs="Times New Roman"/>
          <w:szCs w:val="24"/>
          <w:lang w:eastAsia="en-GB"/>
        </w:rPr>
        <w:t>64 km distance from I</w:t>
      </w:r>
      <w:r w:rsidR="007306DB" w:rsidRPr="00624B99">
        <w:rPr>
          <w:rFonts w:cs="Times New Roman"/>
          <w:szCs w:val="24"/>
          <w:lang w:eastAsia="en-GB"/>
        </w:rPr>
        <w:t>lorin, the state capital</w:t>
      </w:r>
      <w:r w:rsidR="0098076B" w:rsidRPr="00624B99">
        <w:rPr>
          <w:rFonts w:cs="Times New Roman"/>
          <w:szCs w:val="24"/>
          <w:lang w:eastAsia="en-GB"/>
        </w:rPr>
        <w:t>,</w:t>
      </w:r>
      <w:r w:rsidR="00484F42" w:rsidRPr="00624B99">
        <w:rPr>
          <w:rFonts w:cs="Times New Roman"/>
          <w:szCs w:val="24"/>
          <w:lang w:eastAsia="en-GB"/>
        </w:rPr>
        <w:t xml:space="preserve"> within a few kilometres of</w:t>
      </w:r>
      <w:r w:rsidR="0098076B" w:rsidRPr="00624B99">
        <w:rPr>
          <w:rFonts w:cs="Times New Roman"/>
          <w:szCs w:val="24"/>
          <w:lang w:eastAsia="en-GB"/>
        </w:rPr>
        <w:t xml:space="preserve"> </w:t>
      </w:r>
      <w:r w:rsidR="009861F9">
        <w:rPr>
          <w:rFonts w:cs="Times New Roman"/>
          <w:szCs w:val="24"/>
          <w:lang w:eastAsia="en-GB"/>
        </w:rPr>
        <w:t xml:space="preserve">the </w:t>
      </w:r>
      <w:r w:rsidR="0098076B" w:rsidRPr="00624B99">
        <w:rPr>
          <w:rFonts w:cs="Times New Roman"/>
          <w:szCs w:val="24"/>
          <w:lang w:eastAsia="en-GB"/>
        </w:rPr>
        <w:t>Osun-Kwara border</w:t>
      </w:r>
      <w:r w:rsidR="007306DB" w:rsidRPr="00624B99">
        <w:rPr>
          <w:rFonts w:cs="Times New Roman"/>
          <w:szCs w:val="24"/>
          <w:lang w:eastAsia="en-GB"/>
        </w:rPr>
        <w:t xml:space="preserve">. The </w:t>
      </w:r>
      <w:r w:rsidR="00B008DE" w:rsidRPr="00624B99">
        <w:rPr>
          <w:rFonts w:cs="Times New Roman"/>
          <w:szCs w:val="24"/>
          <w:lang w:eastAsia="en-GB"/>
        </w:rPr>
        <w:t xml:space="preserve">town has a </w:t>
      </w:r>
      <w:r w:rsidR="007306DB" w:rsidRPr="00624B99">
        <w:rPr>
          <w:rFonts w:cs="Times New Roman"/>
          <w:szCs w:val="24"/>
          <w:lang w:eastAsia="en-GB"/>
        </w:rPr>
        <w:t>growing</w:t>
      </w:r>
      <w:r w:rsidR="00B008DE" w:rsidRPr="00624B99">
        <w:rPr>
          <w:rFonts w:cs="Times New Roman"/>
          <w:szCs w:val="24"/>
          <w:lang w:eastAsia="en-GB"/>
        </w:rPr>
        <w:t xml:space="preserve"> population of about 15</w:t>
      </w:r>
      <w:r w:rsidR="0098076B" w:rsidRPr="00624B99">
        <w:rPr>
          <w:rFonts w:cs="Times New Roman"/>
          <w:szCs w:val="24"/>
          <w:lang w:eastAsia="en-GB"/>
        </w:rPr>
        <w:t>,000 which peaks</w:t>
      </w:r>
      <w:r w:rsidR="007306DB" w:rsidRPr="00624B99">
        <w:rPr>
          <w:rFonts w:cs="Times New Roman"/>
          <w:szCs w:val="24"/>
          <w:lang w:eastAsia="en-GB"/>
        </w:rPr>
        <w:t xml:space="preserve"> during the holiday periods</w:t>
      </w:r>
      <w:r w:rsidR="0098076B" w:rsidRPr="00624B99">
        <w:rPr>
          <w:rFonts w:cs="Times New Roman"/>
          <w:szCs w:val="24"/>
          <w:lang w:eastAsia="en-GB"/>
        </w:rPr>
        <w:t xml:space="preserve"> and ebbs at other times of the year</w:t>
      </w:r>
      <w:r w:rsidR="0074586B">
        <w:rPr>
          <w:rFonts w:cs="Times New Roman"/>
          <w:szCs w:val="24"/>
          <w:lang w:eastAsia="en-GB"/>
        </w:rPr>
        <w:t xml:space="preserve">, and a significant amount of land which is neither farmed nor </w:t>
      </w:r>
      <w:r w:rsidR="004A32B1">
        <w:rPr>
          <w:rFonts w:cs="Times New Roman"/>
          <w:szCs w:val="24"/>
          <w:lang w:eastAsia="en-GB"/>
        </w:rPr>
        <w:t>built-on</w:t>
      </w:r>
      <w:r w:rsidR="007306DB" w:rsidRPr="00624B99">
        <w:rPr>
          <w:rFonts w:cs="Times New Roman"/>
          <w:szCs w:val="24"/>
          <w:lang w:eastAsia="en-GB"/>
        </w:rPr>
        <w:t>.</w:t>
      </w:r>
      <w:r w:rsidR="0074586B">
        <w:rPr>
          <w:rFonts w:cs="Times New Roman"/>
          <w:szCs w:val="24"/>
          <w:lang w:eastAsia="en-GB"/>
        </w:rPr>
        <w:t xml:space="preserve"> </w:t>
      </w:r>
      <w:r w:rsidR="00D2378C">
        <w:rPr>
          <w:rFonts w:cs="Times New Roman"/>
          <w:szCs w:val="24"/>
          <w:lang w:eastAsia="en-GB"/>
        </w:rPr>
        <w:t>The</w:t>
      </w:r>
      <w:r w:rsidR="0098076B" w:rsidRPr="00624B99">
        <w:rPr>
          <w:rFonts w:cs="Times New Roman"/>
          <w:szCs w:val="24"/>
          <w:lang w:eastAsia="en-GB"/>
        </w:rPr>
        <w:t xml:space="preserve"> activities in the town are majorly agricultural and artisanal</w:t>
      </w:r>
      <w:r w:rsidR="00887AB0">
        <w:rPr>
          <w:rFonts w:cs="Times New Roman"/>
          <w:szCs w:val="24"/>
          <w:lang w:eastAsia="en-GB"/>
        </w:rPr>
        <w:t>, such as metal, wood, and textile works,</w:t>
      </w:r>
      <w:r w:rsidR="0098076B" w:rsidRPr="00624B99">
        <w:rPr>
          <w:rFonts w:cs="Times New Roman"/>
          <w:szCs w:val="24"/>
          <w:lang w:eastAsia="en-GB"/>
        </w:rPr>
        <w:t xml:space="preserve"> (which reflects latent demand for electricity).</w:t>
      </w:r>
      <w:r w:rsidR="007306DB" w:rsidRPr="00624B99">
        <w:rPr>
          <w:rFonts w:cs="Times New Roman"/>
          <w:szCs w:val="24"/>
          <w:lang w:eastAsia="en-GB"/>
        </w:rPr>
        <w:t xml:space="preserve"> </w:t>
      </w:r>
      <w:r w:rsidR="00887AB0">
        <w:rPr>
          <w:rFonts w:cs="Times New Roman"/>
          <w:szCs w:val="24"/>
          <w:lang w:eastAsia="en-GB"/>
        </w:rPr>
        <w:t>Furthermore, while it is a rural community, modern facilities have sprung up in recent years.</w:t>
      </w:r>
      <w:r w:rsidR="002040A7">
        <w:rPr>
          <w:rFonts w:cs="Times New Roman"/>
          <w:szCs w:val="24"/>
          <w:lang w:eastAsia="en-GB"/>
        </w:rPr>
        <w:t xml:space="preserve"> Yet, the electricity supply continues to be a major challenge.</w:t>
      </w:r>
      <w:r w:rsidR="00887AB0">
        <w:rPr>
          <w:rFonts w:cs="Times New Roman"/>
          <w:szCs w:val="24"/>
          <w:lang w:eastAsia="en-GB"/>
        </w:rPr>
        <w:t xml:space="preserve"> </w:t>
      </w:r>
    </w:p>
    <w:p w14:paraId="088D4DAA" w14:textId="512015AB" w:rsidR="00B008DE" w:rsidRDefault="00B008DE" w:rsidP="00F03645">
      <w:pPr>
        <w:spacing w:line="480" w:lineRule="auto"/>
        <w:rPr>
          <w:rFonts w:cs="Times New Roman"/>
          <w:szCs w:val="24"/>
          <w:lang w:eastAsia="en-GB"/>
        </w:rPr>
      </w:pPr>
      <w:r w:rsidRPr="00624B99">
        <w:rPr>
          <w:rFonts w:cs="Times New Roman"/>
          <w:szCs w:val="24"/>
          <w:lang w:eastAsia="en-GB"/>
        </w:rPr>
        <w:t xml:space="preserve">Arandun has a number of rivers flowing through it, as well as other hydrological features, some of which are seasonal and some of which are perennial. It lies in the </w:t>
      </w:r>
      <w:r w:rsidR="0098076B" w:rsidRPr="00624B99">
        <w:rPr>
          <w:rFonts w:cs="Times New Roman"/>
          <w:szCs w:val="24"/>
          <w:lang w:eastAsia="en-GB"/>
        </w:rPr>
        <w:t>tropical savannah of Ni</w:t>
      </w:r>
      <w:r w:rsidR="00610247" w:rsidRPr="00624B99">
        <w:rPr>
          <w:rFonts w:cs="Times New Roman"/>
          <w:szCs w:val="24"/>
          <w:lang w:eastAsia="en-GB"/>
        </w:rPr>
        <w:t xml:space="preserve">geria and is possessed </w:t>
      </w:r>
      <w:r w:rsidR="00F028F1" w:rsidRPr="00624B99">
        <w:rPr>
          <w:rFonts w:cs="Times New Roman"/>
          <w:szCs w:val="24"/>
          <w:lang w:eastAsia="en-GB"/>
        </w:rPr>
        <w:t>mineral resou</w:t>
      </w:r>
      <w:r w:rsidR="00610247" w:rsidRPr="00624B99">
        <w:rPr>
          <w:rFonts w:cs="Times New Roman"/>
          <w:szCs w:val="24"/>
          <w:lang w:eastAsia="en-GB"/>
        </w:rPr>
        <w:t>rces such as tantalite, an ore</w:t>
      </w:r>
      <w:r w:rsidR="00F028F1" w:rsidRPr="00624B99">
        <w:rPr>
          <w:rFonts w:cs="Times New Roman"/>
          <w:szCs w:val="24"/>
          <w:lang w:eastAsia="en-GB"/>
        </w:rPr>
        <w:t xml:space="preserve"> of tantalum which is used in </w:t>
      </w:r>
      <w:r w:rsidR="003553B7" w:rsidRPr="00624B99">
        <w:rPr>
          <w:rFonts w:cs="Times New Roman"/>
          <w:szCs w:val="24"/>
          <w:lang w:eastAsia="en-GB"/>
        </w:rPr>
        <w:t xml:space="preserve">some </w:t>
      </w:r>
      <w:r w:rsidR="00F028F1" w:rsidRPr="00624B99">
        <w:rPr>
          <w:rFonts w:cs="Times New Roman"/>
          <w:szCs w:val="24"/>
          <w:lang w:eastAsia="en-GB"/>
        </w:rPr>
        <w:t>alloys</w:t>
      </w:r>
      <w:r w:rsidR="00AC5C84">
        <w:rPr>
          <w:rFonts w:cs="Times New Roman"/>
          <w:szCs w:val="24"/>
          <w:lang w:eastAsia="en-GB"/>
        </w:rPr>
        <w:t xml:space="preserve"> </w:t>
      </w:r>
      <w:r w:rsidR="00AC5C84">
        <w:rPr>
          <w:rFonts w:cs="Times New Roman"/>
          <w:szCs w:val="24"/>
          <w:lang w:eastAsia="en-GB"/>
        </w:rPr>
        <w:fldChar w:fldCharType="begin" w:fldLock="1"/>
      </w:r>
      <w:r w:rsidR="00AC5C84">
        <w:rPr>
          <w:rFonts w:cs="Times New Roman"/>
          <w:szCs w:val="24"/>
          <w:lang w:eastAsia="en-GB"/>
        </w:rPr>
        <w:instrText>ADDIN CSL_CITATION {"citationItems":[{"id":"ITEM-1","itemData":{"author":[{"dropping-particle":"","family":"Saliu","given":"M A","non-dropping-particle":"","parse-names":false,"suffix":""}],"id":"ITEM-1","issued":{"date-parts":[["2003"]]},"publisher":"FEDERAL UNIVERSITY OF TECHNOLOGY, AKURE","title":"DESIGN OF OPTIMUM MINING METHOD FOR TANTALITE DEPOSIT IN ARANDUN–KWARA STATE, NIGERIA","type":"article"},"uris":["http://www.mendeley.com/documents/?uuid=d867faae-b903-497a-9d39-675f200367b7"]}],"mendeley":{"formattedCitation":"(Saliu, 2003)","plainTextFormattedCitation":"(Saliu, 2003)"},"properties":{"noteIndex":0},"schema":"https://github.com/citation-style-language/schema/raw/master/csl-citation.json"}</w:instrText>
      </w:r>
      <w:r w:rsidR="00AC5C84">
        <w:rPr>
          <w:rFonts w:cs="Times New Roman"/>
          <w:szCs w:val="24"/>
          <w:lang w:eastAsia="en-GB"/>
        </w:rPr>
        <w:fldChar w:fldCharType="separate"/>
      </w:r>
      <w:r w:rsidR="00AC5C84" w:rsidRPr="00AC5C84">
        <w:rPr>
          <w:rFonts w:cs="Times New Roman"/>
          <w:noProof/>
          <w:szCs w:val="24"/>
          <w:lang w:eastAsia="en-GB"/>
        </w:rPr>
        <w:t>(Saliu, 2003)</w:t>
      </w:r>
      <w:r w:rsidR="00AC5C84">
        <w:rPr>
          <w:rFonts w:cs="Times New Roman"/>
          <w:szCs w:val="24"/>
          <w:lang w:eastAsia="en-GB"/>
        </w:rPr>
        <w:fldChar w:fldCharType="end"/>
      </w:r>
      <w:r w:rsidR="00F028F1" w:rsidRPr="00624B99">
        <w:rPr>
          <w:rFonts w:cs="Times New Roman"/>
          <w:szCs w:val="24"/>
          <w:lang w:eastAsia="en-GB"/>
        </w:rPr>
        <w:t>.</w:t>
      </w:r>
      <w:r w:rsidR="00D2378C">
        <w:rPr>
          <w:rFonts w:cs="Times New Roman"/>
          <w:szCs w:val="24"/>
          <w:lang w:eastAsia="en-GB"/>
        </w:rPr>
        <w:t xml:space="preserve"> </w:t>
      </w:r>
      <w:r w:rsidR="00D2378C" w:rsidRPr="008C5CD0">
        <w:rPr>
          <w:rFonts w:cs="Times New Roman"/>
          <w:szCs w:val="24"/>
          <w:lang w:eastAsia="en-GB"/>
        </w:rPr>
        <w:t>Thus, Arandun is a prospective mining community. For these reasons, the Arandun community was chosen for this study.</w:t>
      </w:r>
      <w:r w:rsidR="009E3737" w:rsidRPr="008C5CD0">
        <w:rPr>
          <w:rFonts w:cs="Times New Roman"/>
          <w:szCs w:val="24"/>
          <w:lang w:eastAsia="en-GB"/>
        </w:rPr>
        <w:t xml:space="preserve"> Renewable resources available in Arandun include its solar irradiance, wind resource, vegetation (for biomass), and hy</w:t>
      </w:r>
      <w:r w:rsidR="00AC5C84" w:rsidRPr="008C5CD0">
        <w:rPr>
          <w:rFonts w:cs="Times New Roman"/>
          <w:szCs w:val="24"/>
          <w:lang w:eastAsia="en-GB"/>
        </w:rPr>
        <w:t>dropower from rivers and streams. Of these, biomass, due to its associated environmental impact, is not considered in this study.</w:t>
      </w:r>
      <w:r w:rsidR="005333C7" w:rsidRPr="008C5CD0">
        <w:rPr>
          <w:rFonts w:cs="Times New Roman"/>
          <w:szCs w:val="24"/>
          <w:lang w:eastAsia="en-GB"/>
        </w:rPr>
        <w:t xml:space="preserve"> The loads in Arandun are mostly residential and commercial, with a higher incidence of commercial load</w:t>
      </w:r>
      <w:r w:rsidR="009861F9" w:rsidRPr="008C5CD0">
        <w:rPr>
          <w:rFonts w:cs="Times New Roman"/>
          <w:szCs w:val="24"/>
          <w:lang w:eastAsia="en-GB"/>
        </w:rPr>
        <w:t>s</w:t>
      </w:r>
      <w:r w:rsidR="005333C7" w:rsidRPr="008C5CD0">
        <w:rPr>
          <w:rFonts w:cs="Times New Roman"/>
          <w:szCs w:val="24"/>
          <w:lang w:eastAsia="en-GB"/>
        </w:rPr>
        <w:t xml:space="preserve"> than most rural communities. However, if reliable electricity supply is realised in the community, industrial loads can also be expected</w:t>
      </w:r>
      <w:r w:rsidR="00624E41" w:rsidRPr="008C5CD0">
        <w:rPr>
          <w:rFonts w:cs="Times New Roman"/>
          <w:szCs w:val="24"/>
          <w:lang w:eastAsia="en-GB"/>
        </w:rPr>
        <w:t>, and the expected load growth is also considered in the study</w:t>
      </w:r>
      <w:r w:rsidR="005333C7" w:rsidRPr="008C5CD0">
        <w:rPr>
          <w:rFonts w:cs="Times New Roman"/>
          <w:szCs w:val="24"/>
          <w:lang w:eastAsia="en-GB"/>
        </w:rPr>
        <w:t>.</w:t>
      </w:r>
    </w:p>
    <w:p w14:paraId="72155BE4" w14:textId="46DCD139" w:rsidR="00A734DB" w:rsidRDefault="00A734DB" w:rsidP="00A734DB">
      <w:pPr>
        <w:pStyle w:val="Heading3"/>
        <w:rPr>
          <w:lang w:eastAsia="en-GB"/>
        </w:rPr>
      </w:pPr>
      <w:bookmarkStart w:id="37" w:name="_Toc110502575"/>
      <w:r>
        <w:rPr>
          <w:lang w:eastAsia="en-GB"/>
        </w:rPr>
        <w:t>3.1.2 Research Workstation</w:t>
      </w:r>
      <w:bookmarkEnd w:id="37"/>
    </w:p>
    <w:p w14:paraId="2FE936F2" w14:textId="6A8ACF1F" w:rsidR="00313206" w:rsidRDefault="00313206" w:rsidP="00F03645">
      <w:pPr>
        <w:spacing w:line="480" w:lineRule="auto"/>
        <w:rPr>
          <w:rFonts w:cs="Times New Roman"/>
          <w:szCs w:val="24"/>
          <w:lang w:eastAsia="en-GB"/>
        </w:rPr>
      </w:pPr>
      <w:r>
        <w:rPr>
          <w:rFonts w:cs="Times New Roman"/>
          <w:szCs w:val="24"/>
          <w:lang w:eastAsia="en-GB"/>
        </w:rPr>
        <w:t>The m</w:t>
      </w:r>
      <w:r w:rsidR="004A69AD">
        <w:rPr>
          <w:rFonts w:cs="Times New Roman"/>
          <w:szCs w:val="24"/>
          <w:lang w:eastAsia="en-GB"/>
        </w:rPr>
        <w:t>odelling and simulation w</w:t>
      </w:r>
      <w:r w:rsidR="009861F9">
        <w:rPr>
          <w:rFonts w:cs="Times New Roman"/>
          <w:szCs w:val="24"/>
          <w:lang w:eastAsia="en-GB"/>
        </w:rPr>
        <w:t>ere</w:t>
      </w:r>
      <w:r>
        <w:rPr>
          <w:rFonts w:cs="Times New Roman"/>
          <w:szCs w:val="24"/>
          <w:lang w:eastAsia="en-GB"/>
        </w:rPr>
        <w:t xml:space="preserve"> done on a Windows PC</w:t>
      </w:r>
      <w:r w:rsidR="00DD7CFD">
        <w:rPr>
          <w:rFonts w:cs="Times New Roman"/>
          <w:szCs w:val="24"/>
          <w:lang w:eastAsia="en-GB"/>
        </w:rPr>
        <w:t>.</w:t>
      </w:r>
      <w:r w:rsidR="004A69AD">
        <w:rPr>
          <w:rFonts w:cs="Times New Roman"/>
          <w:szCs w:val="24"/>
          <w:lang w:eastAsia="en-GB"/>
        </w:rPr>
        <w:t xml:space="preserve"> The </w:t>
      </w:r>
      <w:r>
        <w:rPr>
          <w:rFonts w:cs="Times New Roman"/>
          <w:szCs w:val="24"/>
          <w:lang w:eastAsia="en-GB"/>
        </w:rPr>
        <w:t xml:space="preserve">Windows 10 PC with 8GB RAM, and CPU specifications Intel Core i7-9750H </w:t>
      </w:r>
      <w:r w:rsidR="00F46EF3">
        <w:rPr>
          <w:rFonts w:cs="Times New Roman"/>
          <w:szCs w:val="24"/>
          <w:lang w:eastAsia="en-GB"/>
        </w:rPr>
        <w:t xml:space="preserve">(a 64-bit </w:t>
      </w:r>
      <w:r w:rsidR="00B3679D">
        <w:rPr>
          <w:rFonts w:cs="Times New Roman"/>
          <w:szCs w:val="24"/>
          <w:lang w:eastAsia="en-GB"/>
        </w:rPr>
        <w:t>CPU</w:t>
      </w:r>
      <w:r w:rsidR="00F46EF3">
        <w:rPr>
          <w:rFonts w:cs="Times New Roman"/>
          <w:szCs w:val="24"/>
          <w:lang w:eastAsia="en-GB"/>
        </w:rPr>
        <w:t>)</w:t>
      </w:r>
      <w:r w:rsidR="00DD7CFD">
        <w:rPr>
          <w:rFonts w:cs="Times New Roman"/>
          <w:szCs w:val="24"/>
          <w:lang w:eastAsia="en-GB"/>
        </w:rPr>
        <w:t xml:space="preserve"> with 512 GB of secondary </w:t>
      </w:r>
      <w:r w:rsidR="00B3679D">
        <w:rPr>
          <w:rFonts w:cs="Times New Roman"/>
          <w:szCs w:val="24"/>
          <w:lang w:eastAsia="en-GB"/>
        </w:rPr>
        <w:t xml:space="preserve">drive </w:t>
      </w:r>
      <w:r w:rsidR="00DD7CFD">
        <w:rPr>
          <w:rFonts w:cs="Times New Roman"/>
          <w:szCs w:val="24"/>
          <w:lang w:eastAsia="en-GB"/>
        </w:rPr>
        <w:t>memory, existing</w:t>
      </w:r>
      <w:r w:rsidR="00F46EF3">
        <w:rPr>
          <w:rFonts w:cs="Times New Roman"/>
          <w:szCs w:val="24"/>
          <w:lang w:eastAsia="en-GB"/>
        </w:rPr>
        <w:t xml:space="preserve"> </w:t>
      </w:r>
      <w:r>
        <w:rPr>
          <w:rFonts w:cs="Times New Roman"/>
          <w:szCs w:val="24"/>
          <w:lang w:eastAsia="en-GB"/>
        </w:rPr>
        <w:t>in notebook form factor</w:t>
      </w:r>
      <w:r w:rsidR="00B3679D">
        <w:rPr>
          <w:rFonts w:cs="Times New Roman"/>
          <w:szCs w:val="24"/>
          <w:lang w:eastAsia="en-GB"/>
        </w:rPr>
        <w:t>,</w:t>
      </w:r>
      <w:r w:rsidR="004A69AD">
        <w:rPr>
          <w:rFonts w:cs="Times New Roman"/>
          <w:szCs w:val="24"/>
          <w:lang w:eastAsia="en-GB"/>
        </w:rPr>
        <w:t xml:space="preserve"> was</w:t>
      </w:r>
      <w:r>
        <w:rPr>
          <w:rFonts w:cs="Times New Roman"/>
          <w:szCs w:val="24"/>
          <w:lang w:eastAsia="en-GB"/>
        </w:rPr>
        <w:t xml:space="preserve"> earmarked by t</w:t>
      </w:r>
      <w:r w:rsidR="00B3679D">
        <w:rPr>
          <w:rFonts w:cs="Times New Roman"/>
          <w:szCs w:val="24"/>
          <w:lang w:eastAsia="en-GB"/>
        </w:rPr>
        <w:t>he researcher for this purpose.</w:t>
      </w:r>
      <w:r w:rsidR="004A69AD">
        <w:rPr>
          <w:rFonts w:cs="Times New Roman"/>
          <w:szCs w:val="24"/>
          <w:lang w:eastAsia="en-GB"/>
        </w:rPr>
        <w:t xml:space="preserve"> The specified computer system was </w:t>
      </w:r>
      <w:r w:rsidR="00B3679D">
        <w:rPr>
          <w:rFonts w:cs="Times New Roman"/>
          <w:szCs w:val="24"/>
          <w:lang w:eastAsia="en-GB"/>
        </w:rPr>
        <w:t>selected to meet the hardware and operating system requirements of the software application to be used in the study.</w:t>
      </w:r>
      <w:r w:rsidR="00FD2D58">
        <w:rPr>
          <w:rFonts w:cs="Times New Roman"/>
          <w:szCs w:val="24"/>
          <w:lang w:eastAsia="en-GB"/>
        </w:rPr>
        <w:t xml:space="preserve"> This is worth mentioning because this computing power proved barely enough for the study, with the system crashing due to </w:t>
      </w:r>
      <w:r w:rsidR="009861F9">
        <w:rPr>
          <w:rFonts w:cs="Times New Roman"/>
          <w:szCs w:val="24"/>
          <w:lang w:eastAsia="en-GB"/>
        </w:rPr>
        <w:t xml:space="preserve">an </w:t>
      </w:r>
      <w:r w:rsidR="00FD2D58">
        <w:rPr>
          <w:rFonts w:cs="Times New Roman"/>
          <w:szCs w:val="24"/>
          <w:lang w:eastAsia="en-GB"/>
        </w:rPr>
        <w:t xml:space="preserve">overload of system resources (especially memory) </w:t>
      </w:r>
      <w:r w:rsidR="00AC5C84">
        <w:rPr>
          <w:rFonts w:cs="Times New Roman"/>
          <w:szCs w:val="24"/>
          <w:lang w:eastAsia="en-GB"/>
        </w:rPr>
        <w:t>in the early stages of the</w:t>
      </w:r>
      <w:r w:rsidR="00FD2D58">
        <w:rPr>
          <w:rFonts w:cs="Times New Roman"/>
          <w:szCs w:val="24"/>
          <w:lang w:eastAsia="en-GB"/>
        </w:rPr>
        <w:t xml:space="preserve"> simulations</w:t>
      </w:r>
      <w:r w:rsidR="00AC5C84">
        <w:rPr>
          <w:rFonts w:cs="Times New Roman"/>
          <w:szCs w:val="24"/>
          <w:lang w:eastAsia="en-GB"/>
        </w:rPr>
        <w:t xml:space="preserve"> in the HOMER software</w:t>
      </w:r>
      <w:r w:rsidR="00FD2D58">
        <w:rPr>
          <w:rFonts w:cs="Times New Roman"/>
          <w:szCs w:val="24"/>
          <w:lang w:eastAsia="en-GB"/>
        </w:rPr>
        <w:t>, despite the</w:t>
      </w:r>
      <w:r w:rsidR="00AC5C84">
        <w:rPr>
          <w:rFonts w:cs="Times New Roman"/>
          <w:szCs w:val="24"/>
          <w:lang w:eastAsia="en-GB"/>
        </w:rPr>
        <w:t xml:space="preserve"> computer system being of above-</w:t>
      </w:r>
      <w:r w:rsidR="00FD2D58">
        <w:rPr>
          <w:rFonts w:cs="Times New Roman"/>
          <w:szCs w:val="24"/>
          <w:lang w:eastAsia="en-GB"/>
        </w:rPr>
        <w:t>average specifications. However, the models were adjusted</w:t>
      </w:r>
      <w:r w:rsidR="00A734DB">
        <w:rPr>
          <w:rFonts w:cs="Times New Roman"/>
          <w:szCs w:val="24"/>
          <w:lang w:eastAsia="en-GB"/>
        </w:rPr>
        <w:t xml:space="preserve"> and rescaled in complexity</w:t>
      </w:r>
      <w:r w:rsidR="00FD2D58">
        <w:rPr>
          <w:rFonts w:cs="Times New Roman"/>
          <w:szCs w:val="24"/>
          <w:lang w:eastAsia="en-GB"/>
        </w:rPr>
        <w:t xml:space="preserve"> as appropriate and the simulations were successfully completed, although they did take several hours in some cases.</w:t>
      </w:r>
    </w:p>
    <w:p w14:paraId="20EDA0A2" w14:textId="12F05A11" w:rsidR="00F46EF3" w:rsidRDefault="00F46EF3" w:rsidP="00F03645">
      <w:pPr>
        <w:pStyle w:val="Heading3"/>
        <w:spacing w:line="480" w:lineRule="auto"/>
      </w:pPr>
      <w:bookmarkStart w:id="38" w:name="_Toc110502576"/>
      <w:r>
        <w:t xml:space="preserve">3.2 </w:t>
      </w:r>
      <w:r w:rsidR="004B7FDA">
        <w:t>RESEARCH DESIGN LAYOUT</w:t>
      </w:r>
      <w:bookmarkEnd w:id="38"/>
    </w:p>
    <w:p w14:paraId="59C4E971" w14:textId="723000D7" w:rsidR="001B0818" w:rsidRDefault="001B0818" w:rsidP="00F03645">
      <w:pPr>
        <w:spacing w:line="480" w:lineRule="auto"/>
        <w:rPr>
          <w:lang w:val="en-US"/>
        </w:rPr>
      </w:pPr>
      <w:r>
        <w:rPr>
          <w:lang w:val="en-US"/>
        </w:rPr>
        <w:t>Figures 3.1 through 3.4 show the four objectives of the study. The climatic data w</w:t>
      </w:r>
      <w:r w:rsidR="009861F9">
        <w:rPr>
          <w:lang w:val="en-US"/>
        </w:rPr>
        <w:t>ere</w:t>
      </w:r>
      <w:r w:rsidR="00FF1FE5">
        <w:rPr>
          <w:lang w:val="en-US"/>
        </w:rPr>
        <w:t xml:space="preserve"> </w:t>
      </w:r>
      <w:r>
        <w:rPr>
          <w:lang w:val="en-US"/>
        </w:rPr>
        <w:t>used for the feasibility study. The</w:t>
      </w:r>
      <w:r w:rsidR="00226EBF">
        <w:rPr>
          <w:lang w:val="en-US"/>
        </w:rPr>
        <w:t xml:space="preserve"> data on the</w:t>
      </w:r>
      <w:r>
        <w:rPr>
          <w:lang w:val="en-US"/>
        </w:rPr>
        <w:t xml:space="preserve"> location’s </w:t>
      </w:r>
      <w:r w:rsidR="00226EBF">
        <w:rPr>
          <w:lang w:val="en-US"/>
        </w:rPr>
        <w:t xml:space="preserve">wind speeds, temperature, precipitation, and solar irradiance </w:t>
      </w:r>
      <w:r>
        <w:rPr>
          <w:lang w:val="en-US"/>
        </w:rPr>
        <w:t xml:space="preserve">over </w:t>
      </w:r>
      <w:r w:rsidR="00FF1FE5">
        <w:rPr>
          <w:lang w:val="en-US"/>
        </w:rPr>
        <w:t>several years</w:t>
      </w:r>
      <w:r>
        <w:rPr>
          <w:lang w:val="en-US"/>
        </w:rPr>
        <w:t xml:space="preserve"> </w:t>
      </w:r>
      <w:r w:rsidR="00FF1FE5">
        <w:rPr>
          <w:lang w:val="en-US"/>
        </w:rPr>
        <w:t xml:space="preserve">was </w:t>
      </w:r>
      <w:r>
        <w:rPr>
          <w:lang w:val="en-US"/>
        </w:rPr>
        <w:t>used for this purpose</w:t>
      </w:r>
      <w:r w:rsidR="00FF1FE5">
        <w:rPr>
          <w:lang w:val="en-US"/>
        </w:rPr>
        <w:t>, with data samples ranging from 2001 to 2021 for the given location</w:t>
      </w:r>
      <w:r>
        <w:rPr>
          <w:lang w:val="en-US"/>
        </w:rPr>
        <w:t>. The</w:t>
      </w:r>
      <w:r w:rsidR="00FF1FE5">
        <w:rPr>
          <w:lang w:val="en-US"/>
        </w:rPr>
        <w:t xml:space="preserve"> load profile data</w:t>
      </w:r>
      <w:r w:rsidR="00226EBF">
        <w:rPr>
          <w:lang w:val="en-US"/>
        </w:rPr>
        <w:t xml:space="preserve"> (peak load and average load on hourly, daily, and monthly timescales as measured by the electricity company</w:t>
      </w:r>
      <w:r w:rsidR="00567115">
        <w:rPr>
          <w:lang w:val="en-US"/>
        </w:rPr>
        <w:t xml:space="preserve"> in 2020 and 2021</w:t>
      </w:r>
      <w:r w:rsidR="00226EBF">
        <w:rPr>
          <w:lang w:val="en-US"/>
        </w:rPr>
        <w:t>)</w:t>
      </w:r>
      <w:r w:rsidR="00FF1FE5">
        <w:rPr>
          <w:lang w:val="en-US"/>
        </w:rPr>
        <w:t xml:space="preserve"> was also</w:t>
      </w:r>
      <w:r w:rsidR="00EC2B41">
        <w:rPr>
          <w:lang w:val="en-US"/>
        </w:rPr>
        <w:t xml:space="preserve"> used in the research</w:t>
      </w:r>
      <w:r>
        <w:rPr>
          <w:lang w:val="en-US"/>
        </w:rPr>
        <w:t xml:space="preserve">. </w:t>
      </w:r>
      <w:r w:rsidR="00567115">
        <w:rPr>
          <w:lang w:val="en-US"/>
        </w:rPr>
        <w:t xml:space="preserve">Load data predating the Coronavirus pandemic was only selectively available and also found to be unsuitable for this study due to major changes and interruptions in the power system and metering arrangements. </w:t>
      </w:r>
      <w:r>
        <w:rPr>
          <w:lang w:val="en-US"/>
        </w:rPr>
        <w:t xml:space="preserve">Typical costs for </w:t>
      </w:r>
      <w:r w:rsidR="00FF1FE5">
        <w:rPr>
          <w:lang w:val="en-US"/>
        </w:rPr>
        <w:t>both diesel generating sets (gen</w:t>
      </w:r>
      <w:r w:rsidR="008C5CD0">
        <w:rPr>
          <w:lang w:val="en-US"/>
        </w:rPr>
        <w:t>-</w:t>
      </w:r>
      <w:r w:rsidR="00FF1FE5">
        <w:rPr>
          <w:lang w:val="en-US"/>
        </w:rPr>
        <w:t xml:space="preserve">sets) and </w:t>
      </w:r>
      <w:r>
        <w:rPr>
          <w:lang w:val="en-US"/>
        </w:rPr>
        <w:t>renewable generation equipmen</w:t>
      </w:r>
      <w:r w:rsidR="00FF1FE5">
        <w:rPr>
          <w:lang w:val="en-US"/>
        </w:rPr>
        <w:t>t adjusted for capacity were</w:t>
      </w:r>
      <w:r>
        <w:rPr>
          <w:lang w:val="en-US"/>
        </w:rPr>
        <w:t xml:space="preserve"> obtained </w:t>
      </w:r>
      <w:r w:rsidR="00FF1FE5">
        <w:rPr>
          <w:lang w:val="en-US"/>
        </w:rPr>
        <w:t xml:space="preserve">from vendors </w:t>
      </w:r>
      <w:r>
        <w:rPr>
          <w:lang w:val="en-US"/>
        </w:rPr>
        <w:t>and used to perform technical and economic analyses in</w:t>
      </w:r>
      <w:r w:rsidR="00FF1FE5">
        <w:rPr>
          <w:lang w:val="en-US"/>
        </w:rPr>
        <w:t xml:space="preserve"> the HOMER software, which was </w:t>
      </w:r>
      <w:r>
        <w:rPr>
          <w:lang w:val="en-US"/>
        </w:rPr>
        <w:t>also</w:t>
      </w:r>
      <w:r w:rsidR="00FF1FE5">
        <w:rPr>
          <w:lang w:val="en-US"/>
        </w:rPr>
        <w:t xml:space="preserve"> critical for determining </w:t>
      </w:r>
      <w:r>
        <w:rPr>
          <w:lang w:val="en-US"/>
        </w:rPr>
        <w:t>the size of the battery energy storage system to be recommended.</w:t>
      </w:r>
      <w:r w:rsidR="000F7E13">
        <w:rPr>
          <w:lang w:val="en-US"/>
        </w:rPr>
        <w:t xml:space="preserve"> </w:t>
      </w:r>
      <w:r w:rsidR="00FF1FE5">
        <w:rPr>
          <w:lang w:val="en-US"/>
        </w:rPr>
        <w:t xml:space="preserve">Molten-Salt/Hot Water-based </w:t>
      </w:r>
      <w:r w:rsidR="000F7E13">
        <w:rPr>
          <w:lang w:val="en-US"/>
        </w:rPr>
        <w:t xml:space="preserve">Concentrated Solar Power is not available as a built-in </w:t>
      </w:r>
      <w:r w:rsidR="00FF1FE5">
        <w:rPr>
          <w:lang w:val="en-US"/>
        </w:rPr>
        <w:t>option</w:t>
      </w:r>
      <w:r w:rsidR="000F7E13">
        <w:rPr>
          <w:lang w:val="en-US"/>
        </w:rPr>
        <w:t xml:space="preserve"> in HOMER,</w:t>
      </w:r>
      <w:r w:rsidR="00FF1FE5">
        <w:rPr>
          <w:lang w:val="en-US"/>
        </w:rPr>
        <w:t xml:space="preserve"> with Concentrated Photovoltaic (CPV)</w:t>
      </w:r>
      <w:r w:rsidR="000F7E13">
        <w:rPr>
          <w:lang w:val="en-US"/>
        </w:rPr>
        <w:t xml:space="preserve"> </w:t>
      </w:r>
      <w:r w:rsidR="00FF1FE5">
        <w:rPr>
          <w:lang w:val="en-US"/>
        </w:rPr>
        <w:t xml:space="preserve">being the closest alternative, </w:t>
      </w:r>
      <w:r w:rsidR="000F7E13">
        <w:rPr>
          <w:lang w:val="en-US"/>
        </w:rPr>
        <w:t xml:space="preserve">therefore, </w:t>
      </w:r>
      <w:r w:rsidR="00FF1FE5">
        <w:rPr>
          <w:lang w:val="en-US"/>
        </w:rPr>
        <w:t xml:space="preserve">the student had to creatively rescale and readjust the Direct Normal Irradiance as well as </w:t>
      </w:r>
      <w:r w:rsidR="00DE5436">
        <w:rPr>
          <w:lang w:val="en-US"/>
        </w:rPr>
        <w:t>several</w:t>
      </w:r>
      <w:r w:rsidR="00FF1FE5">
        <w:rPr>
          <w:lang w:val="en-US"/>
        </w:rPr>
        <w:t xml:space="preserve"> parameters, to enable the CPV</w:t>
      </w:r>
      <w:r w:rsidR="000F7E13">
        <w:rPr>
          <w:lang w:val="en-US"/>
        </w:rPr>
        <w:t xml:space="preserve"> </w:t>
      </w:r>
      <w:r w:rsidR="00FF1FE5">
        <w:rPr>
          <w:lang w:val="en-US"/>
        </w:rPr>
        <w:t xml:space="preserve">system to be representative of the CSP, </w:t>
      </w:r>
      <w:r w:rsidR="000F7E13">
        <w:rPr>
          <w:lang w:val="en-US"/>
        </w:rPr>
        <w:t>for this purpose to be used in the feasibility analysis in HOMER.</w:t>
      </w:r>
    </w:p>
    <w:p w14:paraId="14BF9DEC" w14:textId="6608235A" w:rsidR="00BD1A03" w:rsidRDefault="00BD1A03" w:rsidP="00F03645">
      <w:pPr>
        <w:spacing w:line="480" w:lineRule="auto"/>
        <w:rPr>
          <w:lang w:val="en-US"/>
        </w:rPr>
      </w:pPr>
      <w:r>
        <w:rPr>
          <w:lang w:val="en-US"/>
        </w:rPr>
        <w:t xml:space="preserve">A five-variable fuzzy-logic inference system was developed based on existing literature as standard practice for quantifying multiple environmental-based variables into a single acceptability index for the microgrid. The variables considered were the project’s impact on land use, impact on water resources, impact on air resources, visual impact, and acoustic impact. A rule base and membership functions were developed using human languages based on environmental considerations investigated by interviewing a selection of educated stakeholders in the Arandun community, </w:t>
      </w:r>
      <w:r w:rsidR="00DE5436">
        <w:rPr>
          <w:lang w:val="en-US"/>
        </w:rPr>
        <w:t>and</w:t>
      </w:r>
      <w:r>
        <w:rPr>
          <w:lang w:val="en-US"/>
        </w:rPr>
        <w:t xml:space="preserve"> their concerns were translated into fuzzy logic. It was found that a mass questionnaire was not suitable for this purpose as it concerns a prospect about which the average member of the community would not be in a position to provide informed opinions. It was found that such situations were not recommended for questionnaire usage in literature, hence the choice of going with the more-rigorous fuzzy-inference approach as detailed in Chapter 4.</w:t>
      </w:r>
    </w:p>
    <w:p w14:paraId="2580B419" w14:textId="1C2CDC99" w:rsidR="005B0F6F" w:rsidRDefault="00FF1FE5" w:rsidP="00F03645">
      <w:pPr>
        <w:spacing w:line="480" w:lineRule="auto"/>
        <w:rPr>
          <w:lang w:val="en-US"/>
        </w:rPr>
      </w:pPr>
      <w:r>
        <w:rPr>
          <w:lang w:val="en-US"/>
        </w:rPr>
        <w:t>The load data was</w:t>
      </w:r>
      <w:r w:rsidR="000F7E13">
        <w:rPr>
          <w:lang w:val="en-US"/>
        </w:rPr>
        <w:t xml:space="preserve"> used to develop a low-voltage model in PowerFactory software to represent the distribution network of </w:t>
      </w:r>
      <w:r w:rsidR="00DE5436">
        <w:rPr>
          <w:lang w:val="en-US"/>
        </w:rPr>
        <w:t xml:space="preserve">the </w:t>
      </w:r>
      <w:r w:rsidR="000F7E13">
        <w:rPr>
          <w:lang w:val="en-US"/>
        </w:rPr>
        <w:t>Arandun community in a standalone mic</w:t>
      </w:r>
      <w:r>
        <w:rPr>
          <w:lang w:val="en-US"/>
        </w:rPr>
        <w:t xml:space="preserve">rogrid scenario. The design was </w:t>
      </w:r>
      <w:r w:rsidR="000F7E13">
        <w:rPr>
          <w:lang w:val="en-US"/>
        </w:rPr>
        <w:t>based on the load data and information gathered on-site about the distribution network. The model design</w:t>
      </w:r>
      <w:r w:rsidR="000818F6">
        <w:rPr>
          <w:lang w:val="en-US"/>
        </w:rPr>
        <w:t xml:space="preserve"> and simulation method</w:t>
      </w:r>
      <w:r>
        <w:rPr>
          <w:lang w:val="en-US"/>
        </w:rPr>
        <w:t xml:space="preserve"> was also</w:t>
      </w:r>
      <w:r w:rsidR="000F7E13">
        <w:rPr>
          <w:lang w:val="en-US"/>
        </w:rPr>
        <w:t xml:space="preserve"> </w:t>
      </w:r>
      <w:r w:rsidR="000818F6">
        <w:rPr>
          <w:lang w:val="en-US"/>
        </w:rPr>
        <w:t>refined to ensure</w:t>
      </w:r>
      <w:r w:rsidR="000F7E13">
        <w:rPr>
          <w:lang w:val="en-US"/>
        </w:rPr>
        <w:t xml:space="preserve"> </w:t>
      </w:r>
      <w:r w:rsidR="000818F6">
        <w:rPr>
          <w:lang w:val="en-US"/>
        </w:rPr>
        <w:t xml:space="preserve">that it is </w:t>
      </w:r>
      <w:r w:rsidR="000F7E13">
        <w:rPr>
          <w:lang w:val="en-US"/>
        </w:rPr>
        <w:t xml:space="preserve">representative of </w:t>
      </w:r>
      <w:r w:rsidR="000818F6">
        <w:rPr>
          <w:lang w:val="en-US"/>
        </w:rPr>
        <w:t xml:space="preserve">low-voltage distributed generation </w:t>
      </w:r>
      <w:r w:rsidR="000F7E13">
        <w:rPr>
          <w:lang w:val="en-US"/>
        </w:rPr>
        <w:t xml:space="preserve">characteristics, </w:t>
      </w:r>
      <w:r w:rsidR="000818F6">
        <w:rPr>
          <w:lang w:val="en-US"/>
        </w:rPr>
        <w:t xml:space="preserve">as compared to traditional grid characteristics which PowerFactory is </w:t>
      </w:r>
      <w:r w:rsidR="003B763F">
        <w:rPr>
          <w:lang w:val="en-US"/>
        </w:rPr>
        <w:t>mostly</w:t>
      </w:r>
      <w:r w:rsidR="00D15BC6">
        <w:rPr>
          <w:lang w:val="en-US"/>
        </w:rPr>
        <w:t xml:space="preserve"> us</w:t>
      </w:r>
      <w:r w:rsidR="005B0F6F">
        <w:rPr>
          <w:lang w:val="en-US"/>
        </w:rPr>
        <w:t>ed for.</w:t>
      </w:r>
    </w:p>
    <w:p w14:paraId="723C6D70" w14:textId="79B1651B" w:rsidR="001B0818" w:rsidRDefault="00D15BC6" w:rsidP="001F729C">
      <w:pPr>
        <w:spacing w:line="240" w:lineRule="auto"/>
        <w:rPr>
          <w:lang w:val="en-US"/>
        </w:rPr>
      </w:pPr>
      <w:r>
        <w:rPr>
          <w:noProof/>
          <w:lang w:val="en-US"/>
        </w:rPr>
        <w:drawing>
          <wp:inline distT="0" distB="0" distL="0" distR="0" wp14:anchorId="7CEA14D3" wp14:editId="7955A3F2">
            <wp:extent cx="5499100" cy="2430780"/>
            <wp:effectExtent l="0" t="0" r="635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2381" b="11667"/>
                    <a:stretch/>
                  </pic:blipFill>
                  <pic:spPr bwMode="auto">
                    <a:xfrm>
                      <a:off x="0" y="0"/>
                      <a:ext cx="5499100" cy="2430780"/>
                    </a:xfrm>
                    <a:prstGeom prst="rect">
                      <a:avLst/>
                    </a:prstGeom>
                    <a:noFill/>
                    <a:ln>
                      <a:noFill/>
                    </a:ln>
                    <a:extLst>
                      <a:ext uri="{53640926-AAD7-44D8-BBD7-CCE9431645EC}">
                        <a14:shadowObscured xmlns:a14="http://schemas.microsoft.com/office/drawing/2010/main"/>
                      </a:ext>
                    </a:extLst>
                  </pic:spPr>
                </pic:pic>
              </a:graphicData>
            </a:graphic>
          </wp:inline>
        </w:drawing>
      </w:r>
    </w:p>
    <w:p w14:paraId="133F5647" w14:textId="77777777" w:rsidR="001B0818" w:rsidRDefault="001B0818" w:rsidP="001F729C">
      <w:pPr>
        <w:spacing w:line="240" w:lineRule="auto"/>
        <w:jc w:val="center"/>
        <w:rPr>
          <w:lang w:val="en-US"/>
        </w:rPr>
      </w:pPr>
      <w:r w:rsidRPr="007A1E2D">
        <w:rPr>
          <w:b/>
          <w:iCs/>
          <w:sz w:val="20"/>
          <w:szCs w:val="20"/>
        </w:rPr>
        <w:t xml:space="preserve">Figure </w:t>
      </w:r>
      <w:r>
        <w:rPr>
          <w:b/>
          <w:iCs/>
          <w:sz w:val="20"/>
          <w:szCs w:val="20"/>
        </w:rPr>
        <w:t>3.1</w:t>
      </w:r>
      <w:r w:rsidRPr="007A1E2D">
        <w:rPr>
          <w:b/>
          <w:iCs/>
          <w:sz w:val="20"/>
          <w:szCs w:val="20"/>
        </w:rPr>
        <w:t xml:space="preserve"> </w:t>
      </w:r>
      <w:r>
        <w:rPr>
          <w:b/>
          <w:iCs/>
          <w:sz w:val="20"/>
          <w:szCs w:val="20"/>
        </w:rPr>
        <w:t>–</w:t>
      </w:r>
      <w:r w:rsidRPr="007A1E2D">
        <w:rPr>
          <w:b/>
          <w:iCs/>
          <w:sz w:val="20"/>
          <w:szCs w:val="20"/>
        </w:rPr>
        <w:t xml:space="preserve"> </w:t>
      </w:r>
      <w:r>
        <w:rPr>
          <w:b/>
          <w:iCs/>
          <w:sz w:val="20"/>
          <w:szCs w:val="20"/>
        </w:rPr>
        <w:t>Breakdown of Objective 1</w:t>
      </w:r>
    </w:p>
    <w:p w14:paraId="7FDDAD8B" w14:textId="531BED58" w:rsidR="001B0818" w:rsidRDefault="00D15BC6" w:rsidP="00F03645">
      <w:pPr>
        <w:spacing w:line="480" w:lineRule="auto"/>
        <w:rPr>
          <w:lang w:val="en-US"/>
        </w:rPr>
      </w:pPr>
      <w:r>
        <w:rPr>
          <w:noProof/>
          <w:lang w:val="en-US"/>
        </w:rPr>
        <w:drawing>
          <wp:inline distT="0" distB="0" distL="0" distR="0" wp14:anchorId="54144201" wp14:editId="542500BF">
            <wp:extent cx="5499100" cy="19431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20000" b="19286"/>
                    <a:stretch/>
                  </pic:blipFill>
                  <pic:spPr bwMode="auto">
                    <a:xfrm>
                      <a:off x="0" y="0"/>
                      <a:ext cx="549910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42D2F097" w14:textId="77777777" w:rsidR="00E739DD" w:rsidRDefault="001B0818" w:rsidP="00F03645">
      <w:pPr>
        <w:spacing w:line="480" w:lineRule="auto"/>
        <w:jc w:val="center"/>
        <w:rPr>
          <w:b/>
          <w:iCs/>
          <w:sz w:val="20"/>
          <w:szCs w:val="20"/>
        </w:rPr>
      </w:pPr>
      <w:r w:rsidRPr="007A1E2D">
        <w:rPr>
          <w:b/>
          <w:iCs/>
          <w:sz w:val="20"/>
          <w:szCs w:val="20"/>
        </w:rPr>
        <w:t xml:space="preserve">Figure </w:t>
      </w:r>
      <w:r>
        <w:rPr>
          <w:b/>
          <w:iCs/>
          <w:sz w:val="20"/>
          <w:szCs w:val="20"/>
        </w:rPr>
        <w:t>3.2</w:t>
      </w:r>
      <w:r w:rsidRPr="007A1E2D">
        <w:rPr>
          <w:b/>
          <w:iCs/>
          <w:sz w:val="20"/>
          <w:szCs w:val="20"/>
        </w:rPr>
        <w:t xml:space="preserve"> </w:t>
      </w:r>
      <w:r>
        <w:rPr>
          <w:b/>
          <w:iCs/>
          <w:sz w:val="20"/>
          <w:szCs w:val="20"/>
        </w:rPr>
        <w:t>–</w:t>
      </w:r>
      <w:r w:rsidRPr="007A1E2D">
        <w:rPr>
          <w:b/>
          <w:iCs/>
          <w:sz w:val="20"/>
          <w:szCs w:val="20"/>
        </w:rPr>
        <w:t xml:space="preserve"> </w:t>
      </w:r>
      <w:r>
        <w:rPr>
          <w:b/>
          <w:iCs/>
          <w:sz w:val="20"/>
          <w:szCs w:val="20"/>
        </w:rPr>
        <w:t>Breakdown of Objective 2</w:t>
      </w:r>
    </w:p>
    <w:p w14:paraId="6615647B" w14:textId="77777777" w:rsidR="00E739DD" w:rsidRDefault="00E739DD" w:rsidP="00F03645">
      <w:pPr>
        <w:spacing w:line="480" w:lineRule="auto"/>
        <w:jc w:val="center"/>
        <w:rPr>
          <w:b/>
          <w:iCs/>
          <w:sz w:val="20"/>
          <w:szCs w:val="20"/>
        </w:rPr>
      </w:pPr>
    </w:p>
    <w:p w14:paraId="1C984442" w14:textId="77777777" w:rsidR="00E739DD" w:rsidRDefault="00E739DD" w:rsidP="00F03645">
      <w:pPr>
        <w:spacing w:line="480" w:lineRule="auto"/>
        <w:jc w:val="center"/>
        <w:rPr>
          <w:b/>
          <w:iCs/>
          <w:sz w:val="20"/>
          <w:szCs w:val="20"/>
        </w:rPr>
      </w:pPr>
    </w:p>
    <w:p w14:paraId="62994F75" w14:textId="5ECA93E3" w:rsidR="001B0818" w:rsidRDefault="00D15BC6" w:rsidP="00F03645">
      <w:pPr>
        <w:spacing w:line="480" w:lineRule="auto"/>
        <w:jc w:val="center"/>
        <w:rPr>
          <w:lang w:val="en-US"/>
        </w:rPr>
      </w:pPr>
      <w:r>
        <w:rPr>
          <w:noProof/>
          <w:lang w:val="en-US"/>
        </w:rPr>
        <w:drawing>
          <wp:inline distT="0" distB="0" distL="0" distR="0" wp14:anchorId="36AA18A5" wp14:editId="23E81E11">
            <wp:extent cx="5499100" cy="178308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25476" b="25000"/>
                    <a:stretch/>
                  </pic:blipFill>
                  <pic:spPr bwMode="auto">
                    <a:xfrm>
                      <a:off x="0" y="0"/>
                      <a:ext cx="5499100" cy="1783080"/>
                    </a:xfrm>
                    <a:prstGeom prst="rect">
                      <a:avLst/>
                    </a:prstGeom>
                    <a:noFill/>
                    <a:ln>
                      <a:noFill/>
                    </a:ln>
                    <a:extLst>
                      <a:ext uri="{53640926-AAD7-44D8-BBD7-CCE9431645EC}">
                        <a14:shadowObscured xmlns:a14="http://schemas.microsoft.com/office/drawing/2010/main"/>
                      </a:ext>
                    </a:extLst>
                  </pic:spPr>
                </pic:pic>
              </a:graphicData>
            </a:graphic>
          </wp:inline>
        </w:drawing>
      </w:r>
    </w:p>
    <w:p w14:paraId="2E8A363D" w14:textId="77777777" w:rsidR="001B0818" w:rsidRDefault="001B0818" w:rsidP="00F03645">
      <w:pPr>
        <w:spacing w:line="480" w:lineRule="auto"/>
        <w:jc w:val="center"/>
        <w:rPr>
          <w:lang w:val="en-US"/>
        </w:rPr>
      </w:pPr>
      <w:r w:rsidRPr="007A1E2D">
        <w:rPr>
          <w:b/>
          <w:iCs/>
          <w:sz w:val="20"/>
          <w:szCs w:val="20"/>
        </w:rPr>
        <w:t xml:space="preserve">Figure </w:t>
      </w:r>
      <w:r>
        <w:rPr>
          <w:b/>
          <w:iCs/>
          <w:sz w:val="20"/>
          <w:szCs w:val="20"/>
        </w:rPr>
        <w:t>3.3</w:t>
      </w:r>
      <w:r w:rsidRPr="007A1E2D">
        <w:rPr>
          <w:b/>
          <w:iCs/>
          <w:sz w:val="20"/>
          <w:szCs w:val="20"/>
        </w:rPr>
        <w:t xml:space="preserve"> </w:t>
      </w:r>
      <w:r>
        <w:rPr>
          <w:b/>
          <w:iCs/>
          <w:sz w:val="20"/>
          <w:szCs w:val="20"/>
        </w:rPr>
        <w:t>–</w:t>
      </w:r>
      <w:r w:rsidRPr="007A1E2D">
        <w:rPr>
          <w:b/>
          <w:iCs/>
          <w:sz w:val="20"/>
          <w:szCs w:val="20"/>
        </w:rPr>
        <w:t xml:space="preserve"> </w:t>
      </w:r>
      <w:r>
        <w:rPr>
          <w:b/>
          <w:iCs/>
          <w:sz w:val="20"/>
          <w:szCs w:val="20"/>
        </w:rPr>
        <w:t>Summary of Objective 3</w:t>
      </w:r>
    </w:p>
    <w:p w14:paraId="074F89DF" w14:textId="77777777" w:rsidR="001B0818" w:rsidRDefault="001B0818" w:rsidP="00F03645">
      <w:pPr>
        <w:spacing w:line="480" w:lineRule="auto"/>
        <w:rPr>
          <w:lang w:val="en-US"/>
        </w:rPr>
      </w:pPr>
    </w:p>
    <w:p w14:paraId="1168DCF9" w14:textId="2AA28741" w:rsidR="001B0818" w:rsidRDefault="005741A6" w:rsidP="00320EBB">
      <w:pPr>
        <w:spacing w:line="480" w:lineRule="auto"/>
        <w:jc w:val="center"/>
        <w:rPr>
          <w:lang w:val="en-US"/>
        </w:rPr>
      </w:pPr>
      <w:r w:rsidRPr="005741A6">
        <w:rPr>
          <w:noProof/>
          <w:lang w:val="en-US"/>
        </w:rPr>
        <w:drawing>
          <wp:inline distT="0" distB="0" distL="0" distR="0" wp14:anchorId="382B9C62" wp14:editId="59EC7683">
            <wp:extent cx="5486400" cy="3871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871595"/>
                    </a:xfrm>
                    <a:prstGeom prst="rect">
                      <a:avLst/>
                    </a:prstGeom>
                  </pic:spPr>
                </pic:pic>
              </a:graphicData>
            </a:graphic>
          </wp:inline>
        </w:drawing>
      </w:r>
    </w:p>
    <w:p w14:paraId="7EF1EF54" w14:textId="6D707AA0" w:rsidR="001B0818" w:rsidRDefault="001B0818" w:rsidP="00F03645">
      <w:pPr>
        <w:spacing w:line="480" w:lineRule="auto"/>
        <w:jc w:val="center"/>
        <w:rPr>
          <w:lang w:val="en-US"/>
        </w:rPr>
      </w:pPr>
      <w:r w:rsidRPr="007A1E2D">
        <w:rPr>
          <w:b/>
          <w:iCs/>
          <w:sz w:val="20"/>
          <w:szCs w:val="20"/>
        </w:rPr>
        <w:t xml:space="preserve">Figure </w:t>
      </w:r>
      <w:r>
        <w:rPr>
          <w:b/>
          <w:iCs/>
          <w:sz w:val="20"/>
          <w:szCs w:val="20"/>
        </w:rPr>
        <w:t>3.4</w:t>
      </w:r>
      <w:r w:rsidRPr="007A1E2D">
        <w:rPr>
          <w:b/>
          <w:iCs/>
          <w:sz w:val="20"/>
          <w:szCs w:val="20"/>
        </w:rPr>
        <w:t xml:space="preserve"> </w:t>
      </w:r>
      <w:r>
        <w:rPr>
          <w:b/>
          <w:iCs/>
          <w:sz w:val="20"/>
          <w:szCs w:val="20"/>
        </w:rPr>
        <w:t>–</w:t>
      </w:r>
      <w:r w:rsidR="00F47F46">
        <w:rPr>
          <w:b/>
          <w:iCs/>
          <w:sz w:val="20"/>
          <w:szCs w:val="20"/>
        </w:rPr>
        <w:t>B</w:t>
      </w:r>
      <w:r>
        <w:rPr>
          <w:b/>
          <w:iCs/>
          <w:sz w:val="20"/>
          <w:szCs w:val="20"/>
        </w:rPr>
        <w:t>reakdown of Objective 4</w:t>
      </w:r>
    </w:p>
    <w:p w14:paraId="5E6E6B56" w14:textId="1687B2A3" w:rsidR="008314A6" w:rsidRDefault="001B0818" w:rsidP="00F03645">
      <w:pPr>
        <w:spacing w:line="480" w:lineRule="auto"/>
        <w:rPr>
          <w:lang w:val="en-US"/>
        </w:rPr>
      </w:pPr>
      <w:r>
        <w:rPr>
          <w:lang w:val="en-US"/>
        </w:rPr>
        <w:t xml:space="preserve">Based on the reviewed literature, </w:t>
      </w:r>
      <w:r w:rsidR="00BD1A03">
        <w:rPr>
          <w:lang w:val="en-US"/>
        </w:rPr>
        <w:t xml:space="preserve">using MATLAB capabilities, </w:t>
      </w:r>
      <w:r>
        <w:rPr>
          <w:lang w:val="en-US"/>
        </w:rPr>
        <w:t>Weibull/Rayl</w:t>
      </w:r>
      <w:r w:rsidR="00FF1FE5">
        <w:rPr>
          <w:lang w:val="en-US"/>
        </w:rPr>
        <w:t>eigh-based distribution was</w:t>
      </w:r>
      <w:r>
        <w:rPr>
          <w:lang w:val="en-US"/>
        </w:rPr>
        <w:t xml:space="preserve"> used for </w:t>
      </w:r>
      <w:r w:rsidR="00FF1FE5">
        <w:rPr>
          <w:lang w:val="en-US"/>
        </w:rPr>
        <w:t xml:space="preserve">fitting the wind data to a probability distribution, </w:t>
      </w:r>
      <w:r w:rsidR="00E318C7">
        <w:rPr>
          <w:lang w:val="en-US"/>
        </w:rPr>
        <w:t xml:space="preserve">the </w:t>
      </w:r>
      <w:r w:rsidR="00FF1FE5">
        <w:rPr>
          <w:lang w:val="en-US"/>
        </w:rPr>
        <w:t>lognormal distribution was</w:t>
      </w:r>
      <w:r>
        <w:rPr>
          <w:lang w:val="en-US"/>
        </w:rPr>
        <w:t xml:space="preserve"> use</w:t>
      </w:r>
      <w:r w:rsidR="00E318C7">
        <w:rPr>
          <w:lang w:val="en-US"/>
        </w:rPr>
        <w:t>d for the solar photovoltaic</w:t>
      </w:r>
      <w:r w:rsidR="00FF1FE5">
        <w:rPr>
          <w:lang w:val="en-US"/>
        </w:rPr>
        <w:t>,</w:t>
      </w:r>
      <w:r w:rsidR="00D15BC6">
        <w:rPr>
          <w:lang w:val="en-US"/>
        </w:rPr>
        <w:t xml:space="preserve"> load uncertainty was fitted with the Gaussian/normal distribution,</w:t>
      </w:r>
      <w:r w:rsidR="00FF1FE5">
        <w:rPr>
          <w:lang w:val="en-US"/>
        </w:rPr>
        <w:t xml:space="preserve"> while the extreme value distribution was</w:t>
      </w:r>
      <w:r>
        <w:rPr>
          <w:lang w:val="en-US"/>
        </w:rPr>
        <w:t xml:space="preserve"> to be used for the hy</w:t>
      </w:r>
      <w:r w:rsidR="009A43CE">
        <w:rPr>
          <w:lang w:val="en-US"/>
        </w:rPr>
        <w:t>dropower aspects of the project</w:t>
      </w:r>
      <w:r w:rsidR="00E318C7">
        <w:rPr>
          <w:lang w:val="en-US"/>
        </w:rPr>
        <w:t xml:space="preserve">. </w:t>
      </w:r>
      <w:r w:rsidR="00FF1FE5">
        <w:rPr>
          <w:lang w:val="en-US"/>
        </w:rPr>
        <w:t>The year was</w:t>
      </w:r>
      <w:r>
        <w:rPr>
          <w:lang w:val="en-US"/>
        </w:rPr>
        <w:t xml:space="preserve"> subdivided into twelve months, with twelve separate </w:t>
      </w:r>
      <w:r w:rsidR="00FF1FE5">
        <w:rPr>
          <w:lang w:val="en-US"/>
        </w:rPr>
        <w:t>probability distributions being</w:t>
      </w:r>
      <w:r>
        <w:rPr>
          <w:lang w:val="en-US"/>
        </w:rPr>
        <w:t xml:space="preserve"> formulated per resource for solar, wind, and hydro, making </w:t>
      </w:r>
      <w:r w:rsidR="009A43CE">
        <w:rPr>
          <w:lang w:val="en-US"/>
        </w:rPr>
        <w:t>48</w:t>
      </w:r>
      <w:r w:rsidR="00D15BC6">
        <w:rPr>
          <w:lang w:val="en-US"/>
        </w:rPr>
        <w:t xml:space="preserve"> different</w:t>
      </w:r>
      <w:r>
        <w:rPr>
          <w:lang w:val="en-US"/>
        </w:rPr>
        <w:t xml:space="preserve"> models to encompass the stochastic generation in the study. This is to make the r</w:t>
      </w:r>
      <w:r w:rsidR="00522135">
        <w:rPr>
          <w:lang w:val="en-US"/>
        </w:rPr>
        <w:t>esults as realistic as possible</w:t>
      </w:r>
      <w:r w:rsidR="00D15BC6">
        <w:rPr>
          <w:lang w:val="en-US"/>
        </w:rPr>
        <w:t>.</w:t>
      </w:r>
    </w:p>
    <w:p w14:paraId="08EF4398" w14:textId="7F4CCAAB" w:rsidR="00FB0888" w:rsidRDefault="00270E58" w:rsidP="00F03645">
      <w:pPr>
        <w:pStyle w:val="Heading3"/>
        <w:spacing w:line="480" w:lineRule="auto"/>
      </w:pPr>
      <w:bookmarkStart w:id="39" w:name="_Toc110502577"/>
      <w:r>
        <w:t>3.2.1</w:t>
      </w:r>
      <w:r w:rsidR="00E318C7">
        <w:tab/>
      </w:r>
      <w:r w:rsidR="004B7FDA">
        <w:t>SOCIAL ACCEPTABILITY ANALYSIS</w:t>
      </w:r>
      <w:bookmarkEnd w:id="39"/>
    </w:p>
    <w:p w14:paraId="21EC6DBE" w14:textId="6A14A736" w:rsidR="00FB0888" w:rsidRDefault="00FB0888" w:rsidP="00F03645">
      <w:pPr>
        <w:spacing w:line="480" w:lineRule="auto"/>
        <w:rPr>
          <w:lang w:val="en-US"/>
        </w:rPr>
      </w:pPr>
      <w:r>
        <w:rPr>
          <w:lang w:val="en-US"/>
        </w:rPr>
        <w:t>The five variables considered in the analysis are:</w:t>
      </w:r>
    </w:p>
    <w:p w14:paraId="063AD95C" w14:textId="77777777" w:rsidR="00FB0888" w:rsidRDefault="00FB0888" w:rsidP="00E85D75">
      <w:pPr>
        <w:pStyle w:val="ListParagraph"/>
        <w:numPr>
          <w:ilvl w:val="0"/>
          <w:numId w:val="2"/>
        </w:numPr>
        <w:spacing w:line="480" w:lineRule="auto"/>
        <w:rPr>
          <w:lang w:val="en-US"/>
        </w:rPr>
      </w:pPr>
      <w:r>
        <w:rPr>
          <w:lang w:val="en-US"/>
        </w:rPr>
        <w:t>Land use.</w:t>
      </w:r>
      <w:r w:rsidRPr="008502D8">
        <w:rPr>
          <w:lang w:val="en-US"/>
        </w:rPr>
        <w:t xml:space="preserve"> </w:t>
      </w:r>
    </w:p>
    <w:p w14:paraId="1AB14EE7" w14:textId="77777777" w:rsidR="00FB0888" w:rsidRDefault="00FB0888" w:rsidP="00E85D75">
      <w:pPr>
        <w:pStyle w:val="ListParagraph"/>
        <w:numPr>
          <w:ilvl w:val="0"/>
          <w:numId w:val="2"/>
        </w:numPr>
        <w:spacing w:line="480" w:lineRule="auto"/>
        <w:rPr>
          <w:lang w:val="en-US"/>
        </w:rPr>
      </w:pPr>
      <w:r>
        <w:rPr>
          <w:lang w:val="en-US"/>
        </w:rPr>
        <w:t>Visual impact.</w:t>
      </w:r>
      <w:r w:rsidRPr="008502D8">
        <w:rPr>
          <w:lang w:val="en-US"/>
        </w:rPr>
        <w:t xml:space="preserve"> </w:t>
      </w:r>
    </w:p>
    <w:p w14:paraId="1F2CBB67" w14:textId="77777777" w:rsidR="00FB0888" w:rsidRDefault="00FB0888" w:rsidP="00E85D75">
      <w:pPr>
        <w:pStyle w:val="ListParagraph"/>
        <w:numPr>
          <w:ilvl w:val="0"/>
          <w:numId w:val="2"/>
        </w:numPr>
        <w:spacing w:line="480" w:lineRule="auto"/>
        <w:rPr>
          <w:lang w:val="en-US"/>
        </w:rPr>
      </w:pPr>
      <w:r>
        <w:rPr>
          <w:lang w:val="en-US"/>
        </w:rPr>
        <w:t xml:space="preserve">Air </w:t>
      </w:r>
      <w:r w:rsidRPr="008502D8">
        <w:rPr>
          <w:lang w:val="en-US"/>
        </w:rPr>
        <w:t>pol</w:t>
      </w:r>
      <w:r>
        <w:rPr>
          <w:lang w:val="en-US"/>
        </w:rPr>
        <w:t>lution/Impact on air resources.</w:t>
      </w:r>
      <w:r w:rsidRPr="008502D8">
        <w:rPr>
          <w:lang w:val="en-US"/>
        </w:rPr>
        <w:t xml:space="preserve"> </w:t>
      </w:r>
    </w:p>
    <w:p w14:paraId="121E1CD6" w14:textId="77777777" w:rsidR="00FB0888" w:rsidRDefault="00FB0888" w:rsidP="00E85D75">
      <w:pPr>
        <w:pStyle w:val="ListParagraph"/>
        <w:numPr>
          <w:ilvl w:val="0"/>
          <w:numId w:val="2"/>
        </w:numPr>
        <w:spacing w:line="480" w:lineRule="auto"/>
        <w:rPr>
          <w:lang w:val="en-US"/>
        </w:rPr>
      </w:pPr>
      <w:r>
        <w:rPr>
          <w:lang w:val="en-US"/>
        </w:rPr>
        <w:t>Acoustic impact.</w:t>
      </w:r>
    </w:p>
    <w:p w14:paraId="2844FCFC" w14:textId="77777777" w:rsidR="00FB0888" w:rsidRPr="008502D8" w:rsidRDefault="00FB0888" w:rsidP="00E85D75">
      <w:pPr>
        <w:pStyle w:val="ListParagraph"/>
        <w:numPr>
          <w:ilvl w:val="0"/>
          <w:numId w:val="2"/>
        </w:numPr>
        <w:spacing w:line="480" w:lineRule="auto"/>
        <w:rPr>
          <w:lang w:val="en-US"/>
        </w:rPr>
      </w:pPr>
      <w:r>
        <w:rPr>
          <w:lang w:val="en-US"/>
        </w:rPr>
        <w:t>I</w:t>
      </w:r>
      <w:r w:rsidRPr="008502D8">
        <w:rPr>
          <w:lang w:val="en-US"/>
        </w:rPr>
        <w:t>mpact on water resources.</w:t>
      </w:r>
    </w:p>
    <w:p w14:paraId="79AA0EB5" w14:textId="7838CD9D" w:rsidR="00FB0888" w:rsidRDefault="00FA0FF4" w:rsidP="00F03645">
      <w:pPr>
        <w:spacing w:line="480" w:lineRule="auto"/>
        <w:rPr>
          <w:lang w:val="en-US"/>
        </w:rPr>
      </w:pPr>
      <w:r>
        <w:rPr>
          <w:lang w:val="en-US"/>
        </w:rPr>
        <w:t>In this study</w:t>
      </w:r>
      <w:r w:rsidR="00FB0888">
        <w:rPr>
          <w:lang w:val="en-US"/>
        </w:rPr>
        <w:t xml:space="preserve">, a fuzzy system established in </w:t>
      </w:r>
      <w:r w:rsidR="00DE5436">
        <w:rPr>
          <w:lang w:val="en-US"/>
        </w:rPr>
        <w:t xml:space="preserve">the </w:t>
      </w:r>
      <w:r w:rsidR="00FB0888">
        <w:rPr>
          <w:lang w:val="en-US"/>
        </w:rPr>
        <w:t>literature for purposes such as the one in this study has been used.</w:t>
      </w:r>
    </w:p>
    <w:p w14:paraId="0C033AAE" w14:textId="14375099" w:rsidR="00FB0888" w:rsidRPr="00047F70" w:rsidRDefault="00270E58" w:rsidP="00F03645">
      <w:pPr>
        <w:pStyle w:val="Heading3"/>
        <w:spacing w:line="480" w:lineRule="auto"/>
      </w:pPr>
      <w:bookmarkStart w:id="40" w:name="_Toc110502578"/>
      <w:r>
        <w:t>3.2</w:t>
      </w:r>
      <w:r w:rsidR="00FB0888">
        <w:t>.1</w:t>
      </w:r>
      <w:r w:rsidR="00D35D78">
        <w:t>.1</w:t>
      </w:r>
      <w:r w:rsidR="00FB0888">
        <w:tab/>
        <w:t>Fuzzy Logic Structure</w:t>
      </w:r>
      <w:bookmarkEnd w:id="40"/>
    </w:p>
    <w:p w14:paraId="0F4D2DA7" w14:textId="708FCBC6" w:rsidR="00BE1EAA" w:rsidRDefault="00D75724" w:rsidP="00F03645">
      <w:pPr>
        <w:spacing w:line="480" w:lineRule="auto"/>
        <w:rPr>
          <w:lang w:val="en-US"/>
        </w:rPr>
      </w:pPr>
      <w:r>
        <w:rPr>
          <w:lang w:val="en-US"/>
        </w:rPr>
        <w:t>Fuzzy</w:t>
      </w:r>
      <w:r w:rsidR="00BE1EAA">
        <w:rPr>
          <w:lang w:val="en-US"/>
        </w:rPr>
        <w:t xml:space="preserve"> logic is a type of logic that is not strictly exclusive, such that there may be multiple levels of truth for the variables in the system. In Boolean logic, variables are either true or false. However, in fuzzy logic, truth or falsehood is expressed as points on a continuum. </w:t>
      </w:r>
      <w:r w:rsidR="00CB56F1">
        <w:rPr>
          <w:lang w:val="en-US"/>
        </w:rPr>
        <w:t>Fuzzy logic is designed to represent or assess systems in which certain parameters or information cannot be crisply defined but are expressed in vague terms. Fuzzy logic is used in control theory and artificial intelligence. There are various types of fuzzy logic paradigms, majorly the Mamdani-type and the Sugeno-type. The Mamdani type is more intuitive for humans to work with, while the Sugeno type is more efficient in computation</w:t>
      </w:r>
      <w:r w:rsidR="00DE5436">
        <w:rPr>
          <w:lang w:val="en-US"/>
        </w:rPr>
        <w:t>,</w:t>
      </w:r>
      <w:r w:rsidR="00CB56F1">
        <w:rPr>
          <w:lang w:val="en-US"/>
        </w:rPr>
        <w:t xml:space="preserve"> especially where the algorithm is to be used continuously such as an embedded system controller. However, it is used once for assessment in this study, and a Mamdani-type fu</w:t>
      </w:r>
      <w:r w:rsidR="00D35D78">
        <w:rPr>
          <w:lang w:val="en-US"/>
        </w:rPr>
        <w:t>zzy system was sufficient for the study</w:t>
      </w:r>
      <w:r w:rsidR="00CB56F1">
        <w:rPr>
          <w:lang w:val="en-US"/>
        </w:rPr>
        <w:t>.</w:t>
      </w:r>
    </w:p>
    <w:p w14:paraId="72EEE1AD" w14:textId="15C6F81D" w:rsidR="00FB0888" w:rsidRDefault="00FB0888" w:rsidP="00F03645">
      <w:pPr>
        <w:spacing w:line="480" w:lineRule="auto"/>
        <w:rPr>
          <w:lang w:val="en-US"/>
        </w:rPr>
      </w:pPr>
      <w:r>
        <w:rPr>
          <w:lang w:val="en-US"/>
        </w:rPr>
        <w:t xml:space="preserve">The crisp inputs were taken from the average of the opinion survey carried out by the researcher on the five acceptability/environmental variables considered. It had five inputs, one output, and three inference rules in its rule base. “Minimum AND”, “Maximum OR”, and “Minimum Implication were used for the system while </w:t>
      </w:r>
      <w:r w:rsidR="00DE5436">
        <w:rPr>
          <w:lang w:val="en-US"/>
        </w:rPr>
        <w:t xml:space="preserve">the </w:t>
      </w:r>
      <w:r>
        <w:rPr>
          <w:lang w:val="en-US"/>
        </w:rPr>
        <w:t xml:space="preserve">aggregation parameter was configured to use the maximum option. The reason for this is </w:t>
      </w:r>
      <w:r w:rsidR="00DE5436">
        <w:rPr>
          <w:lang w:val="en-US"/>
        </w:rPr>
        <w:t>that</w:t>
      </w:r>
      <w:r>
        <w:rPr>
          <w:lang w:val="en-US"/>
        </w:rPr>
        <w:t xml:space="preserve"> a Mamdani</w:t>
      </w:r>
      <w:r w:rsidR="00DE5436">
        <w:rPr>
          <w:lang w:val="en-US"/>
        </w:rPr>
        <w:t>-</w:t>
      </w:r>
      <w:r>
        <w:rPr>
          <w:lang w:val="en-US"/>
        </w:rPr>
        <w:t xml:space="preserve">type system is used. If a Sugeno system had been used, the aggregation would have been based on the sum method. </w:t>
      </w:r>
      <w:r w:rsidRPr="00435ABE">
        <w:rPr>
          <w:lang w:val="en-US"/>
        </w:rPr>
        <w:t>Aggregation is the process by which the fuzzy sets that represent the outputs of each rule are combined into a single fuzzy set</w:t>
      </w:r>
      <w:r>
        <w:rPr>
          <w:lang w:val="en-US"/>
        </w:rPr>
        <w:t>. However, Mamdani systems are easier to interpret and write by humans and are perfectly satisfactory for decision</w:t>
      </w:r>
      <w:r w:rsidR="00DE5436">
        <w:rPr>
          <w:lang w:val="en-US"/>
        </w:rPr>
        <w:t>-</w:t>
      </w:r>
      <w:r>
        <w:rPr>
          <w:lang w:val="en-US"/>
        </w:rPr>
        <w:t>making outside embedded systems ap</w:t>
      </w:r>
      <w:r w:rsidR="00DE5436">
        <w:rPr>
          <w:lang w:val="en-US"/>
        </w:rPr>
        <w:t>p</w:t>
      </w:r>
      <w:r>
        <w:rPr>
          <w:lang w:val="en-US"/>
        </w:rPr>
        <w:t>lications. This is why the Mamdani fuzzy system was used for this study and preferred over the Sugeno type. The structure of the Fuz</w:t>
      </w:r>
      <w:r w:rsidR="00522135">
        <w:rPr>
          <w:lang w:val="en-US"/>
        </w:rPr>
        <w:t>zy system is shown in Figure 3.5</w:t>
      </w:r>
      <w:r>
        <w:rPr>
          <w:lang w:val="en-US"/>
        </w:rPr>
        <w:t>.</w:t>
      </w:r>
    </w:p>
    <w:p w14:paraId="51549A17" w14:textId="77777777" w:rsidR="00FB0888" w:rsidRDefault="00FB0888" w:rsidP="00F03645">
      <w:pPr>
        <w:spacing w:line="480" w:lineRule="auto"/>
        <w:rPr>
          <w:lang w:val="en-US"/>
        </w:rPr>
      </w:pPr>
      <w:r>
        <w:rPr>
          <w:noProof/>
          <w:lang w:val="en-US"/>
        </w:rPr>
        <w:drawing>
          <wp:inline distT="0" distB="0" distL="0" distR="0" wp14:anchorId="73AA8AD2" wp14:editId="709C9206">
            <wp:extent cx="5486400" cy="3413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3285"/>
                    <a:stretch/>
                  </pic:blipFill>
                  <pic:spPr bwMode="auto">
                    <a:xfrm>
                      <a:off x="0" y="0"/>
                      <a:ext cx="5486400" cy="3413760"/>
                    </a:xfrm>
                    <a:prstGeom prst="rect">
                      <a:avLst/>
                    </a:prstGeom>
                    <a:ln>
                      <a:noFill/>
                    </a:ln>
                    <a:extLst>
                      <a:ext uri="{53640926-AAD7-44D8-BBD7-CCE9431645EC}">
                        <a14:shadowObscured xmlns:a14="http://schemas.microsoft.com/office/drawing/2010/main"/>
                      </a:ext>
                    </a:extLst>
                  </pic:spPr>
                </pic:pic>
              </a:graphicData>
            </a:graphic>
          </wp:inline>
        </w:drawing>
      </w:r>
    </w:p>
    <w:p w14:paraId="35A84217" w14:textId="5F3F7464" w:rsidR="00FB0888" w:rsidRDefault="00522135" w:rsidP="00F03645">
      <w:pPr>
        <w:spacing w:line="480" w:lineRule="auto"/>
        <w:jc w:val="center"/>
        <w:rPr>
          <w:lang w:val="en-US"/>
        </w:rPr>
      </w:pPr>
      <w:r>
        <w:rPr>
          <w:b/>
          <w:sz w:val="20"/>
          <w:szCs w:val="20"/>
          <w:lang w:val="en-US"/>
        </w:rPr>
        <w:t>Figure 3.5</w:t>
      </w:r>
      <w:r w:rsidR="00FB0888">
        <w:rPr>
          <w:b/>
          <w:sz w:val="20"/>
          <w:szCs w:val="20"/>
          <w:lang w:val="en-US"/>
        </w:rPr>
        <w:t xml:space="preserve"> – Structure of the Fuzzy Inference System</w:t>
      </w:r>
    </w:p>
    <w:p w14:paraId="12FC4F1D" w14:textId="7DBBD3B7" w:rsidR="00FB0888" w:rsidRDefault="00FB0888" w:rsidP="00F03645">
      <w:pPr>
        <w:spacing w:line="480" w:lineRule="auto"/>
        <w:rPr>
          <w:lang w:val="en-US"/>
        </w:rPr>
      </w:pPr>
      <w:r>
        <w:rPr>
          <w:lang w:val="en-US"/>
        </w:rPr>
        <w:t xml:space="preserve">Land use was characterized using three fuzzy-linguistic variables: ‘limited’, ‘moderate’, and ‘extensive’, with Z-shaped, Gaussian, and a second Z-shaped membership functions respectively. Considering that the size of the land area available to the community is finite, the acceptability of the amount of land to be used by the project was an important question. For fuzzification, the question was expressed in three sub-questions for </w:t>
      </w:r>
      <w:r w:rsidR="00DE5436">
        <w:rPr>
          <w:lang w:val="en-US"/>
        </w:rPr>
        <w:t xml:space="preserve">the </w:t>
      </w:r>
      <w:r>
        <w:rPr>
          <w:lang w:val="en-US"/>
        </w:rPr>
        <w:t xml:space="preserve">knowledgeable stakeholder who had both </w:t>
      </w:r>
      <w:r w:rsidR="005B59B3">
        <w:rPr>
          <w:lang w:val="en-US"/>
        </w:rPr>
        <w:t xml:space="preserve">the </w:t>
      </w:r>
      <w:r>
        <w:rPr>
          <w:lang w:val="en-US"/>
        </w:rPr>
        <w:t>knowledge of the nature of the project and the community (including the researcher). The membership functions were chosen based on previous applications of fuzzy logic in literature:</w:t>
      </w:r>
    </w:p>
    <w:p w14:paraId="7473CE71" w14:textId="77777777" w:rsidR="00FB0888" w:rsidRDefault="00FB0888" w:rsidP="00E85D75">
      <w:pPr>
        <w:pStyle w:val="ListParagraph"/>
        <w:numPr>
          <w:ilvl w:val="0"/>
          <w:numId w:val="3"/>
        </w:numPr>
        <w:spacing w:line="480" w:lineRule="auto"/>
        <w:rPr>
          <w:lang w:val="en-US"/>
        </w:rPr>
      </w:pPr>
      <w:r>
        <w:rPr>
          <w:lang w:val="en-US"/>
        </w:rPr>
        <w:t>On a scale of 1-10, how limited would the land use be considered to be for the microgrid project?</w:t>
      </w:r>
    </w:p>
    <w:p w14:paraId="19C3CD20" w14:textId="77777777" w:rsidR="00FB0888" w:rsidRDefault="00FB0888" w:rsidP="00E85D75">
      <w:pPr>
        <w:pStyle w:val="ListParagraph"/>
        <w:numPr>
          <w:ilvl w:val="0"/>
          <w:numId w:val="3"/>
        </w:numPr>
        <w:spacing w:line="480" w:lineRule="auto"/>
        <w:rPr>
          <w:lang w:val="en-US"/>
        </w:rPr>
      </w:pPr>
      <w:r>
        <w:rPr>
          <w:lang w:val="en-US"/>
        </w:rPr>
        <w:t>On a scale of 1-10, how moderate would the land use be considered to be for the microgrid project?</w:t>
      </w:r>
    </w:p>
    <w:p w14:paraId="07A0F2B6" w14:textId="77777777" w:rsidR="00FB0888" w:rsidRDefault="00FB0888" w:rsidP="00E85D75">
      <w:pPr>
        <w:pStyle w:val="ListParagraph"/>
        <w:numPr>
          <w:ilvl w:val="0"/>
          <w:numId w:val="3"/>
        </w:numPr>
        <w:spacing w:line="480" w:lineRule="auto"/>
        <w:rPr>
          <w:lang w:val="en-US"/>
        </w:rPr>
      </w:pPr>
      <w:r>
        <w:rPr>
          <w:lang w:val="en-US"/>
        </w:rPr>
        <w:t>On a scale of 1-10, how extensive would the land use be considered to be for the microgrid project?</w:t>
      </w:r>
    </w:p>
    <w:p w14:paraId="448BD86E" w14:textId="387E4F4C" w:rsidR="00FB0888" w:rsidRPr="00F067E8" w:rsidRDefault="00FB0888" w:rsidP="00F03645">
      <w:pPr>
        <w:spacing w:line="480" w:lineRule="auto"/>
        <w:rPr>
          <w:lang w:val="en-US"/>
        </w:rPr>
      </w:pPr>
      <w:r>
        <w:rPr>
          <w:lang w:val="en-US"/>
        </w:rPr>
        <w:t>The results were then normalized by dividing by 10 to ex</w:t>
      </w:r>
      <w:r w:rsidR="00790B04">
        <w:rPr>
          <w:lang w:val="en-US"/>
        </w:rPr>
        <w:t xml:space="preserve">press them on a [0 1] interval. </w:t>
      </w:r>
      <w:r>
        <w:rPr>
          <w:lang w:val="en-US"/>
        </w:rPr>
        <w:t xml:space="preserve">The described pattern illustrates how a crisp variable is carefully fuzzified for use in a fuzzy inference system. Figure </w:t>
      </w:r>
      <w:r w:rsidR="00522135">
        <w:rPr>
          <w:lang w:val="en-US"/>
        </w:rPr>
        <w:t>3.6</w:t>
      </w:r>
      <w:r>
        <w:rPr>
          <w:lang w:val="en-US"/>
        </w:rPr>
        <w:t xml:space="preserve"> shows the linguistic variables and membership functions used for analyzing the land use input.</w:t>
      </w:r>
    </w:p>
    <w:p w14:paraId="43FAC329" w14:textId="77777777" w:rsidR="00FB0888" w:rsidRDefault="00FB0888" w:rsidP="00F03645">
      <w:pPr>
        <w:spacing w:line="480" w:lineRule="auto"/>
        <w:jc w:val="center"/>
        <w:rPr>
          <w:lang w:val="en-US"/>
        </w:rPr>
      </w:pPr>
      <w:r>
        <w:rPr>
          <w:noProof/>
          <w:lang w:val="en-US"/>
        </w:rPr>
        <w:drawing>
          <wp:inline distT="0" distB="0" distL="0" distR="0" wp14:anchorId="419AD436" wp14:editId="6BCBE1F9">
            <wp:extent cx="4206240" cy="3197229"/>
            <wp:effectExtent l="0" t="0" r="381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zzy Land Use Membership function.png"/>
                    <pic:cNvPicPr/>
                  </pic:nvPicPr>
                  <pic:blipFill>
                    <a:blip r:embed="rId17">
                      <a:extLst>
                        <a:ext uri="{28A0092B-C50C-407E-A947-70E740481C1C}">
                          <a14:useLocalDpi xmlns:a14="http://schemas.microsoft.com/office/drawing/2010/main" val="0"/>
                        </a:ext>
                      </a:extLst>
                    </a:blip>
                    <a:stretch>
                      <a:fillRect/>
                    </a:stretch>
                  </pic:blipFill>
                  <pic:spPr>
                    <a:xfrm>
                      <a:off x="0" y="0"/>
                      <a:ext cx="4219218" cy="3207094"/>
                    </a:xfrm>
                    <a:prstGeom prst="rect">
                      <a:avLst/>
                    </a:prstGeom>
                  </pic:spPr>
                </pic:pic>
              </a:graphicData>
            </a:graphic>
          </wp:inline>
        </w:drawing>
      </w:r>
    </w:p>
    <w:p w14:paraId="061DD583" w14:textId="0C70D7D6" w:rsidR="00FB0888" w:rsidRDefault="00522135" w:rsidP="00F03645">
      <w:pPr>
        <w:spacing w:line="480" w:lineRule="auto"/>
        <w:jc w:val="center"/>
        <w:rPr>
          <w:lang w:val="en-US"/>
        </w:rPr>
      </w:pPr>
      <w:r>
        <w:rPr>
          <w:b/>
          <w:sz w:val="20"/>
          <w:szCs w:val="20"/>
          <w:lang w:val="en-US"/>
        </w:rPr>
        <w:t>Figure 3.6</w:t>
      </w:r>
      <w:r w:rsidR="00FB0888">
        <w:rPr>
          <w:b/>
          <w:sz w:val="20"/>
          <w:szCs w:val="20"/>
          <w:lang w:val="en-US"/>
        </w:rPr>
        <w:t xml:space="preserve"> – Linguistic Variable and Membership Functions for  Land Use.</w:t>
      </w:r>
    </w:p>
    <w:p w14:paraId="1C68908F" w14:textId="5D1235DC" w:rsidR="00790B04" w:rsidRDefault="00FB0888" w:rsidP="00F03645">
      <w:pPr>
        <w:spacing w:line="480" w:lineRule="auto"/>
        <w:rPr>
          <w:lang w:val="en-US"/>
        </w:rPr>
      </w:pPr>
      <w:r>
        <w:rPr>
          <w:lang w:val="en-US"/>
        </w:rPr>
        <w:t>The same method was repeated for all five input variables using membership f</w:t>
      </w:r>
      <w:r w:rsidR="00522135">
        <w:rPr>
          <w:lang w:val="en-US"/>
        </w:rPr>
        <w:t>unctions as shown in figures 3.7 to 3.10</w:t>
      </w:r>
      <w:r>
        <w:rPr>
          <w:lang w:val="en-US"/>
        </w:rPr>
        <w:t xml:space="preserve"> for acoustic impact, air pollution, visual impact, and water resource impact respectively. In the case of air pollution, the stakeholders had to decide how polluting they considered the microgrid was, which was then used to compute both fuzzy sets for “good” and “bad” membership functions. For acoustic impact, membership functions concerning expected noise levels were for fuzzy sets “good”, “moderate”, and “unbearable”. For air pollution, membership functions were for fuzzy sets “low” for low toxicity and “toxic” to represent how toxic the respondent considered the expected microgrid. Visual impact fuzzy sets were “good”, “moderate”, and “bad” while water impact fuzzy sets were negligible, low, and severe.</w:t>
      </w:r>
    </w:p>
    <w:p w14:paraId="027DEBD1" w14:textId="77777777" w:rsidR="00FB0888" w:rsidRDefault="00FB0888" w:rsidP="00F03645">
      <w:pPr>
        <w:spacing w:line="480" w:lineRule="auto"/>
        <w:jc w:val="center"/>
        <w:rPr>
          <w:lang w:val="en-US"/>
        </w:rPr>
      </w:pPr>
      <w:r>
        <w:rPr>
          <w:noProof/>
          <w:lang w:val="en-US"/>
        </w:rPr>
        <w:drawing>
          <wp:inline distT="0" distB="0" distL="0" distR="0" wp14:anchorId="07A8FCCE" wp14:editId="78F71B50">
            <wp:extent cx="4312920" cy="3194061"/>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zzy Acoustic Noise.png"/>
                    <pic:cNvPicPr/>
                  </pic:nvPicPr>
                  <pic:blipFill>
                    <a:blip r:embed="rId18">
                      <a:extLst>
                        <a:ext uri="{28A0092B-C50C-407E-A947-70E740481C1C}">
                          <a14:useLocalDpi xmlns:a14="http://schemas.microsoft.com/office/drawing/2010/main" val="0"/>
                        </a:ext>
                      </a:extLst>
                    </a:blip>
                    <a:stretch>
                      <a:fillRect/>
                    </a:stretch>
                  </pic:blipFill>
                  <pic:spPr>
                    <a:xfrm>
                      <a:off x="0" y="0"/>
                      <a:ext cx="4338825" cy="3213246"/>
                    </a:xfrm>
                    <a:prstGeom prst="rect">
                      <a:avLst/>
                    </a:prstGeom>
                  </pic:spPr>
                </pic:pic>
              </a:graphicData>
            </a:graphic>
          </wp:inline>
        </w:drawing>
      </w:r>
    </w:p>
    <w:p w14:paraId="33CC57AA" w14:textId="2FFA0B61" w:rsidR="00FB0888" w:rsidRDefault="00FB0888" w:rsidP="00F03645">
      <w:pPr>
        <w:spacing w:line="480" w:lineRule="auto"/>
        <w:jc w:val="center"/>
        <w:rPr>
          <w:lang w:val="en-US"/>
        </w:rPr>
      </w:pPr>
      <w:r>
        <w:rPr>
          <w:b/>
          <w:sz w:val="20"/>
          <w:szCs w:val="20"/>
          <w:lang w:val="en-US"/>
        </w:rPr>
        <w:t xml:space="preserve">Figure </w:t>
      </w:r>
      <w:r w:rsidR="00522135">
        <w:rPr>
          <w:b/>
          <w:sz w:val="20"/>
          <w:szCs w:val="20"/>
          <w:lang w:val="en-US"/>
        </w:rPr>
        <w:t>3.7</w:t>
      </w:r>
      <w:r>
        <w:rPr>
          <w:b/>
          <w:sz w:val="20"/>
          <w:szCs w:val="20"/>
          <w:lang w:val="en-US"/>
        </w:rPr>
        <w:t xml:space="preserve"> – Linguistic Variable and Membership Functions for Acoustic Noise.</w:t>
      </w:r>
    </w:p>
    <w:p w14:paraId="414BEB14" w14:textId="77777777" w:rsidR="00FB0888" w:rsidRDefault="00FB0888" w:rsidP="00F03645">
      <w:pPr>
        <w:spacing w:line="480" w:lineRule="auto"/>
        <w:jc w:val="center"/>
        <w:rPr>
          <w:lang w:val="en-US"/>
        </w:rPr>
      </w:pPr>
      <w:r>
        <w:rPr>
          <w:noProof/>
          <w:lang w:val="en-US"/>
        </w:rPr>
        <w:drawing>
          <wp:inline distT="0" distB="0" distL="0" distR="0" wp14:anchorId="3ADFB9E8" wp14:editId="33EBDE36">
            <wp:extent cx="4282440" cy="3313421"/>
            <wp:effectExtent l="0" t="0" r="381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zzy AirPollution mf.png"/>
                    <pic:cNvPicPr/>
                  </pic:nvPicPr>
                  <pic:blipFill>
                    <a:blip r:embed="rId19">
                      <a:extLst>
                        <a:ext uri="{28A0092B-C50C-407E-A947-70E740481C1C}">
                          <a14:useLocalDpi xmlns:a14="http://schemas.microsoft.com/office/drawing/2010/main" val="0"/>
                        </a:ext>
                      </a:extLst>
                    </a:blip>
                    <a:stretch>
                      <a:fillRect/>
                    </a:stretch>
                  </pic:blipFill>
                  <pic:spPr>
                    <a:xfrm>
                      <a:off x="0" y="0"/>
                      <a:ext cx="4309703" cy="3334515"/>
                    </a:xfrm>
                    <a:prstGeom prst="rect">
                      <a:avLst/>
                    </a:prstGeom>
                  </pic:spPr>
                </pic:pic>
              </a:graphicData>
            </a:graphic>
          </wp:inline>
        </w:drawing>
      </w:r>
    </w:p>
    <w:p w14:paraId="18863257" w14:textId="2EA62601" w:rsidR="00FB0888" w:rsidRDefault="00522135" w:rsidP="00F03645">
      <w:pPr>
        <w:spacing w:line="480" w:lineRule="auto"/>
        <w:jc w:val="center"/>
        <w:rPr>
          <w:lang w:val="en-US"/>
        </w:rPr>
      </w:pPr>
      <w:r>
        <w:rPr>
          <w:b/>
          <w:sz w:val="20"/>
          <w:szCs w:val="20"/>
          <w:lang w:val="en-US"/>
        </w:rPr>
        <w:t>Figure 3.8</w:t>
      </w:r>
      <w:r w:rsidR="00FB0888">
        <w:rPr>
          <w:b/>
          <w:sz w:val="20"/>
          <w:szCs w:val="20"/>
          <w:lang w:val="en-US"/>
        </w:rPr>
        <w:t xml:space="preserve"> – Linguistic Variable and Membership Functions for Impact on Air Quality.</w:t>
      </w:r>
    </w:p>
    <w:p w14:paraId="6F45DF70" w14:textId="77777777" w:rsidR="00FB0888" w:rsidRDefault="00FB0888" w:rsidP="00F03645">
      <w:pPr>
        <w:spacing w:line="480" w:lineRule="auto"/>
        <w:jc w:val="center"/>
        <w:rPr>
          <w:lang w:val="en-US"/>
        </w:rPr>
      </w:pPr>
      <w:r>
        <w:rPr>
          <w:noProof/>
          <w:lang w:val="en-US"/>
        </w:rPr>
        <w:drawing>
          <wp:inline distT="0" distB="0" distL="0" distR="0" wp14:anchorId="7AB88ACA" wp14:editId="14B16B09">
            <wp:extent cx="4505960" cy="3366447"/>
            <wp:effectExtent l="0" t="0" r="889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zzy Visual Impact membership function.png"/>
                    <pic:cNvPicPr/>
                  </pic:nvPicPr>
                  <pic:blipFill>
                    <a:blip r:embed="rId20">
                      <a:extLst>
                        <a:ext uri="{28A0092B-C50C-407E-A947-70E740481C1C}">
                          <a14:useLocalDpi xmlns:a14="http://schemas.microsoft.com/office/drawing/2010/main" val="0"/>
                        </a:ext>
                      </a:extLst>
                    </a:blip>
                    <a:stretch>
                      <a:fillRect/>
                    </a:stretch>
                  </pic:blipFill>
                  <pic:spPr>
                    <a:xfrm>
                      <a:off x="0" y="0"/>
                      <a:ext cx="4532526" cy="3386295"/>
                    </a:xfrm>
                    <a:prstGeom prst="rect">
                      <a:avLst/>
                    </a:prstGeom>
                  </pic:spPr>
                </pic:pic>
              </a:graphicData>
            </a:graphic>
          </wp:inline>
        </w:drawing>
      </w:r>
    </w:p>
    <w:p w14:paraId="6699AF7D" w14:textId="078DA038" w:rsidR="00FB0888" w:rsidRDefault="00522135" w:rsidP="00F03645">
      <w:pPr>
        <w:spacing w:line="480" w:lineRule="auto"/>
        <w:jc w:val="center"/>
        <w:rPr>
          <w:lang w:val="en-US"/>
        </w:rPr>
      </w:pPr>
      <w:r>
        <w:rPr>
          <w:b/>
          <w:sz w:val="20"/>
          <w:szCs w:val="20"/>
          <w:lang w:val="en-US"/>
        </w:rPr>
        <w:t>Figure 3.9</w:t>
      </w:r>
      <w:r w:rsidR="00FB0888">
        <w:rPr>
          <w:b/>
          <w:sz w:val="20"/>
          <w:szCs w:val="20"/>
          <w:lang w:val="en-US"/>
        </w:rPr>
        <w:t xml:space="preserve"> – Linguistic Variable and Membership Functions for Visual Impact.</w:t>
      </w:r>
    </w:p>
    <w:p w14:paraId="30EE4C84" w14:textId="77777777" w:rsidR="00FB0888" w:rsidRDefault="00FB0888" w:rsidP="00F03645">
      <w:pPr>
        <w:spacing w:line="480" w:lineRule="auto"/>
        <w:rPr>
          <w:lang w:val="en-US"/>
        </w:rPr>
      </w:pPr>
    </w:p>
    <w:p w14:paraId="40FA3254" w14:textId="77777777" w:rsidR="00FB0888" w:rsidRDefault="00FB0888" w:rsidP="00F03645">
      <w:pPr>
        <w:spacing w:line="480" w:lineRule="auto"/>
        <w:rPr>
          <w:lang w:val="en-US"/>
        </w:rPr>
      </w:pPr>
    </w:p>
    <w:p w14:paraId="59699A34" w14:textId="77777777" w:rsidR="00FB0888" w:rsidRDefault="00FB0888" w:rsidP="00F03645">
      <w:pPr>
        <w:spacing w:line="480" w:lineRule="auto"/>
        <w:jc w:val="center"/>
        <w:rPr>
          <w:lang w:val="en-US"/>
        </w:rPr>
      </w:pPr>
      <w:r>
        <w:rPr>
          <w:noProof/>
          <w:lang w:val="en-US"/>
        </w:rPr>
        <w:drawing>
          <wp:inline distT="0" distB="0" distL="0" distR="0" wp14:anchorId="7563F149" wp14:editId="162C867E">
            <wp:extent cx="4506072" cy="33909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zzy Water Compromise.png"/>
                    <pic:cNvPicPr/>
                  </pic:nvPicPr>
                  <pic:blipFill>
                    <a:blip r:embed="rId21">
                      <a:extLst>
                        <a:ext uri="{28A0092B-C50C-407E-A947-70E740481C1C}">
                          <a14:useLocalDpi xmlns:a14="http://schemas.microsoft.com/office/drawing/2010/main" val="0"/>
                        </a:ext>
                      </a:extLst>
                    </a:blip>
                    <a:stretch>
                      <a:fillRect/>
                    </a:stretch>
                  </pic:blipFill>
                  <pic:spPr>
                    <a:xfrm>
                      <a:off x="0" y="0"/>
                      <a:ext cx="4533537" cy="3411568"/>
                    </a:xfrm>
                    <a:prstGeom prst="rect">
                      <a:avLst/>
                    </a:prstGeom>
                  </pic:spPr>
                </pic:pic>
              </a:graphicData>
            </a:graphic>
          </wp:inline>
        </w:drawing>
      </w:r>
    </w:p>
    <w:p w14:paraId="434DA6FD" w14:textId="41C1FF14" w:rsidR="00FB0888" w:rsidRDefault="00522135" w:rsidP="00F03645">
      <w:pPr>
        <w:spacing w:line="480" w:lineRule="auto"/>
        <w:jc w:val="center"/>
        <w:rPr>
          <w:lang w:val="en-US"/>
        </w:rPr>
      </w:pPr>
      <w:r>
        <w:rPr>
          <w:b/>
          <w:sz w:val="20"/>
          <w:szCs w:val="20"/>
          <w:lang w:val="en-US"/>
        </w:rPr>
        <w:t>Figure 3.10</w:t>
      </w:r>
      <w:r w:rsidR="00FB0888">
        <w:rPr>
          <w:b/>
          <w:sz w:val="20"/>
          <w:szCs w:val="20"/>
          <w:lang w:val="en-US"/>
        </w:rPr>
        <w:t xml:space="preserve"> – Linguistic Variable and Membership Functions for Impact on Water Resources</w:t>
      </w:r>
    </w:p>
    <w:p w14:paraId="150C198B" w14:textId="77777777" w:rsidR="00FB0888" w:rsidRDefault="00FB0888" w:rsidP="00F03645">
      <w:pPr>
        <w:spacing w:line="480" w:lineRule="auto"/>
        <w:rPr>
          <w:lang w:val="en-US"/>
        </w:rPr>
      </w:pPr>
      <w:r>
        <w:rPr>
          <w:lang w:val="en-US"/>
        </w:rPr>
        <w:t>The rule base for the fuzzy inference system is given as follows:</w:t>
      </w:r>
    </w:p>
    <w:p w14:paraId="0C3CB6FA" w14:textId="77777777" w:rsidR="00FB0888" w:rsidRPr="002732C9" w:rsidRDefault="00FB0888" w:rsidP="00E85D75">
      <w:pPr>
        <w:pStyle w:val="ListParagraph"/>
        <w:numPr>
          <w:ilvl w:val="0"/>
          <w:numId w:val="4"/>
        </w:numPr>
        <w:spacing w:before="100" w:beforeAutospacing="1" w:after="100" w:afterAutospacing="1" w:line="480" w:lineRule="auto"/>
        <w:rPr>
          <w:rFonts w:eastAsia="Times New Roman" w:cs="Times New Roman"/>
          <w:szCs w:val="24"/>
          <w:lang w:val="en-US"/>
        </w:rPr>
      </w:pPr>
      <w:r w:rsidRPr="002732C9">
        <w:rPr>
          <w:rFonts w:eastAsia="Times New Roman" w:cs="Times New Roman"/>
          <w:szCs w:val="24"/>
          <w:lang w:val="en-US"/>
        </w:rPr>
        <w:t xml:space="preserve"> If (LandUse is Limited) or (VisualImpact is good) or (AcousticNoise is good) or (AirPollution is low) or (WaterCompromise is negligible) then (AcceptabilityIndex is high) (1) </w:t>
      </w:r>
    </w:p>
    <w:p w14:paraId="10444142" w14:textId="77777777" w:rsidR="00FB0888" w:rsidRPr="002732C9" w:rsidRDefault="00FB0888" w:rsidP="00E85D75">
      <w:pPr>
        <w:pStyle w:val="ListParagraph"/>
        <w:numPr>
          <w:ilvl w:val="0"/>
          <w:numId w:val="4"/>
        </w:numPr>
        <w:spacing w:before="100" w:beforeAutospacing="1" w:after="100" w:afterAutospacing="1" w:line="480" w:lineRule="auto"/>
        <w:rPr>
          <w:rFonts w:eastAsia="Times New Roman" w:cs="Times New Roman"/>
          <w:szCs w:val="24"/>
          <w:lang w:val="en-US"/>
        </w:rPr>
      </w:pPr>
      <w:r w:rsidRPr="002732C9">
        <w:rPr>
          <w:rFonts w:eastAsia="Times New Roman" w:cs="Times New Roman"/>
          <w:szCs w:val="24"/>
          <w:lang w:val="en-US"/>
        </w:rPr>
        <w:t xml:space="preserve"> If (AirPollution is low) and (WaterCompromise is not severe) then (AcceptabilityIndex is high) (1) </w:t>
      </w:r>
    </w:p>
    <w:p w14:paraId="5B1F4550" w14:textId="3B30DEE7" w:rsidR="00FB0888" w:rsidRDefault="00FB0888" w:rsidP="00F03645">
      <w:pPr>
        <w:spacing w:line="480" w:lineRule="auto"/>
        <w:rPr>
          <w:rFonts w:eastAsia="Times New Roman" w:cs="Times New Roman"/>
          <w:szCs w:val="24"/>
          <w:lang w:val="en-US"/>
        </w:rPr>
      </w:pPr>
      <w:r w:rsidRPr="002732C9">
        <w:rPr>
          <w:rFonts w:eastAsia="Times New Roman" w:cs="Times New Roman"/>
          <w:szCs w:val="24"/>
          <w:lang w:val="en-US"/>
        </w:rPr>
        <w:t xml:space="preserve"> If (AcousticNoise is unbearable) and (AirPollution is low) and (WaterCompromise is not severe) then (AcceptabilityIndex is moderate) (1)</w:t>
      </w:r>
      <w:r w:rsidR="007C5609">
        <w:rPr>
          <w:rFonts w:eastAsia="Times New Roman" w:cs="Times New Roman"/>
          <w:szCs w:val="24"/>
          <w:lang w:val="en-US"/>
        </w:rPr>
        <w:t>.</w:t>
      </w:r>
    </w:p>
    <w:p w14:paraId="5CE40F98" w14:textId="16BB8E6D" w:rsidR="00790B04" w:rsidRDefault="00790B04" w:rsidP="00F03645">
      <w:pPr>
        <w:spacing w:line="480" w:lineRule="auto"/>
        <w:rPr>
          <w:rFonts w:eastAsia="Times New Roman" w:cs="Times New Roman"/>
          <w:szCs w:val="24"/>
          <w:lang w:val="en-US"/>
        </w:rPr>
      </w:pPr>
      <w:r>
        <w:rPr>
          <w:rFonts w:eastAsia="Times New Roman" w:cs="Times New Roman"/>
          <w:szCs w:val="24"/>
          <w:lang w:val="en-US"/>
        </w:rPr>
        <w:t>For interpretation of the Social Acceptability (SA) index</w:t>
      </w:r>
      <w:r w:rsidR="00C37774">
        <w:rPr>
          <w:rFonts w:eastAsia="Times New Roman" w:cs="Times New Roman"/>
          <w:szCs w:val="24"/>
          <w:lang w:val="en-US"/>
        </w:rPr>
        <w:t xml:space="preserve"> on a scale of 0 to 1 (higher is better)</w:t>
      </w:r>
      <w:r>
        <w:rPr>
          <w:rFonts w:eastAsia="Times New Roman" w:cs="Times New Roman"/>
          <w:szCs w:val="24"/>
          <w:lang w:val="en-US"/>
        </w:rPr>
        <w:t>, the following rules are used:</w:t>
      </w:r>
    </w:p>
    <w:p w14:paraId="61ED0017" w14:textId="76FC200B" w:rsidR="00790B04" w:rsidRDefault="00790B04" w:rsidP="00790B04">
      <w:pPr>
        <w:pStyle w:val="ListParagraph"/>
        <w:numPr>
          <w:ilvl w:val="0"/>
          <w:numId w:val="14"/>
        </w:numPr>
        <w:spacing w:line="480" w:lineRule="auto"/>
        <w:rPr>
          <w:rFonts w:eastAsia="Times New Roman" w:cs="Times New Roman"/>
          <w:szCs w:val="24"/>
          <w:lang w:val="en-US"/>
        </w:rPr>
      </w:pPr>
      <w:r>
        <w:rPr>
          <w:rFonts w:eastAsia="Times New Roman" w:cs="Times New Roman"/>
          <w:szCs w:val="24"/>
          <w:lang w:val="en-US"/>
        </w:rPr>
        <w:t>If SA &lt; 0.2, the microgrid is completely unacceptable</w:t>
      </w:r>
    </w:p>
    <w:p w14:paraId="1F2F3DC4" w14:textId="5C078EAF" w:rsidR="00790B04" w:rsidRDefault="00790B04" w:rsidP="00790B04">
      <w:pPr>
        <w:pStyle w:val="ListParagraph"/>
        <w:numPr>
          <w:ilvl w:val="0"/>
          <w:numId w:val="14"/>
        </w:numPr>
        <w:spacing w:line="480" w:lineRule="auto"/>
        <w:rPr>
          <w:rFonts w:eastAsia="Times New Roman" w:cs="Times New Roman"/>
          <w:szCs w:val="24"/>
          <w:lang w:val="en-US"/>
        </w:rPr>
      </w:pPr>
      <w:r>
        <w:rPr>
          <w:rFonts w:eastAsia="Times New Roman" w:cs="Times New Roman"/>
          <w:szCs w:val="24"/>
          <w:lang w:val="en-US"/>
        </w:rPr>
        <w:t>If 0.2</w:t>
      </w:r>
      <w:r w:rsidR="00C8366D">
        <w:rPr>
          <w:rFonts w:eastAsia="Times New Roman" w:cs="Times New Roman"/>
          <w:szCs w:val="24"/>
          <w:lang w:val="en-US"/>
        </w:rPr>
        <w:t xml:space="preserve"> </w:t>
      </w:r>
      <w:r>
        <w:rPr>
          <w:rFonts w:eastAsia="Times New Roman" w:cs="Times New Roman"/>
          <w:szCs w:val="24"/>
          <w:lang w:val="en-US"/>
        </w:rPr>
        <w:t>&lt;</w:t>
      </w:r>
      <w:r w:rsidR="00C8366D">
        <w:rPr>
          <w:rFonts w:eastAsia="Times New Roman" w:cs="Times New Roman"/>
          <w:szCs w:val="24"/>
          <w:lang w:val="en-US"/>
        </w:rPr>
        <w:t xml:space="preserve"> </w:t>
      </w:r>
      <w:r>
        <w:rPr>
          <w:rFonts w:eastAsia="Times New Roman" w:cs="Times New Roman"/>
          <w:szCs w:val="24"/>
          <w:lang w:val="en-US"/>
        </w:rPr>
        <w:t>SA</w:t>
      </w:r>
      <w:r w:rsidR="00C8366D">
        <w:rPr>
          <w:rFonts w:eastAsia="Times New Roman" w:cs="Times New Roman"/>
          <w:szCs w:val="24"/>
          <w:lang w:val="en-US"/>
        </w:rPr>
        <w:t xml:space="preserve"> </w:t>
      </w:r>
      <w:r>
        <w:rPr>
          <w:rFonts w:eastAsia="Times New Roman" w:cs="Times New Roman"/>
          <w:szCs w:val="24"/>
          <w:lang w:val="en-US"/>
        </w:rPr>
        <w:t>&lt;</w:t>
      </w:r>
      <w:r w:rsidR="00C8366D">
        <w:rPr>
          <w:rFonts w:eastAsia="Times New Roman" w:cs="Times New Roman"/>
          <w:szCs w:val="24"/>
          <w:lang w:val="en-US"/>
        </w:rPr>
        <w:t xml:space="preserve"> </w:t>
      </w:r>
      <w:r>
        <w:rPr>
          <w:rFonts w:eastAsia="Times New Roman" w:cs="Times New Roman"/>
          <w:szCs w:val="24"/>
          <w:lang w:val="en-US"/>
        </w:rPr>
        <w:t>0.4, the microgrid is strongly unacceptable</w:t>
      </w:r>
    </w:p>
    <w:p w14:paraId="0C6A1454" w14:textId="4F844CFD" w:rsidR="00790B04" w:rsidRDefault="00790B04" w:rsidP="00790B04">
      <w:pPr>
        <w:pStyle w:val="ListParagraph"/>
        <w:numPr>
          <w:ilvl w:val="0"/>
          <w:numId w:val="14"/>
        </w:numPr>
        <w:spacing w:line="480" w:lineRule="auto"/>
        <w:rPr>
          <w:rFonts w:eastAsia="Times New Roman" w:cs="Times New Roman"/>
          <w:szCs w:val="24"/>
          <w:lang w:val="en-US"/>
        </w:rPr>
      </w:pPr>
      <w:r>
        <w:rPr>
          <w:rFonts w:eastAsia="Times New Roman" w:cs="Times New Roman"/>
          <w:szCs w:val="24"/>
          <w:lang w:val="en-US"/>
        </w:rPr>
        <w:t>If 0.4</w:t>
      </w:r>
      <w:r w:rsidR="00C8366D">
        <w:rPr>
          <w:rFonts w:eastAsia="Times New Roman" w:cs="Times New Roman"/>
          <w:szCs w:val="24"/>
          <w:lang w:val="en-US"/>
        </w:rPr>
        <w:t xml:space="preserve"> </w:t>
      </w:r>
      <w:r>
        <w:rPr>
          <w:rFonts w:eastAsia="Times New Roman" w:cs="Times New Roman"/>
          <w:szCs w:val="24"/>
          <w:lang w:val="en-US"/>
        </w:rPr>
        <w:t>&lt;</w:t>
      </w:r>
      <w:r w:rsidR="00C8366D">
        <w:rPr>
          <w:rFonts w:eastAsia="Times New Roman" w:cs="Times New Roman"/>
          <w:szCs w:val="24"/>
          <w:lang w:val="en-US"/>
        </w:rPr>
        <w:t xml:space="preserve"> </w:t>
      </w:r>
      <w:r>
        <w:rPr>
          <w:rFonts w:eastAsia="Times New Roman" w:cs="Times New Roman"/>
          <w:szCs w:val="24"/>
          <w:lang w:val="en-US"/>
        </w:rPr>
        <w:t>SA</w:t>
      </w:r>
      <w:r w:rsidR="00C8366D">
        <w:rPr>
          <w:rFonts w:eastAsia="Times New Roman" w:cs="Times New Roman"/>
          <w:szCs w:val="24"/>
          <w:lang w:val="en-US"/>
        </w:rPr>
        <w:t xml:space="preserve"> </w:t>
      </w:r>
      <w:r>
        <w:rPr>
          <w:rFonts w:eastAsia="Times New Roman" w:cs="Times New Roman"/>
          <w:szCs w:val="24"/>
          <w:lang w:val="en-US"/>
        </w:rPr>
        <w:t>&lt;</w:t>
      </w:r>
      <w:r w:rsidR="00C8366D">
        <w:rPr>
          <w:rFonts w:eastAsia="Times New Roman" w:cs="Times New Roman"/>
          <w:szCs w:val="24"/>
          <w:lang w:val="en-US"/>
        </w:rPr>
        <w:t xml:space="preserve"> </w:t>
      </w:r>
      <w:r>
        <w:rPr>
          <w:rFonts w:eastAsia="Times New Roman" w:cs="Times New Roman"/>
          <w:szCs w:val="24"/>
          <w:lang w:val="en-US"/>
        </w:rPr>
        <w:t>0.6, the microgrid is marginally acceptable</w:t>
      </w:r>
    </w:p>
    <w:p w14:paraId="68B84B20" w14:textId="604C43B8" w:rsidR="00790B04" w:rsidRDefault="00790B04" w:rsidP="00790B04">
      <w:pPr>
        <w:pStyle w:val="ListParagraph"/>
        <w:numPr>
          <w:ilvl w:val="0"/>
          <w:numId w:val="14"/>
        </w:numPr>
        <w:spacing w:line="480" w:lineRule="auto"/>
        <w:rPr>
          <w:rFonts w:eastAsia="Times New Roman" w:cs="Times New Roman"/>
          <w:szCs w:val="24"/>
          <w:lang w:val="en-US"/>
        </w:rPr>
      </w:pPr>
      <w:r>
        <w:rPr>
          <w:rFonts w:eastAsia="Times New Roman" w:cs="Times New Roman"/>
          <w:szCs w:val="24"/>
          <w:lang w:val="en-US"/>
        </w:rPr>
        <w:t>If 0.6</w:t>
      </w:r>
      <w:r w:rsidR="00C8366D">
        <w:rPr>
          <w:rFonts w:eastAsia="Times New Roman" w:cs="Times New Roman"/>
          <w:szCs w:val="24"/>
          <w:lang w:val="en-US"/>
        </w:rPr>
        <w:t xml:space="preserve"> </w:t>
      </w:r>
      <w:r>
        <w:rPr>
          <w:rFonts w:eastAsia="Times New Roman" w:cs="Times New Roman"/>
          <w:szCs w:val="24"/>
          <w:lang w:val="en-US"/>
        </w:rPr>
        <w:t>&lt;</w:t>
      </w:r>
      <w:r w:rsidR="00C8366D">
        <w:rPr>
          <w:rFonts w:eastAsia="Times New Roman" w:cs="Times New Roman"/>
          <w:szCs w:val="24"/>
          <w:lang w:val="en-US"/>
        </w:rPr>
        <w:t xml:space="preserve"> </w:t>
      </w:r>
      <w:r>
        <w:rPr>
          <w:rFonts w:eastAsia="Times New Roman" w:cs="Times New Roman"/>
          <w:szCs w:val="24"/>
          <w:lang w:val="en-US"/>
        </w:rPr>
        <w:t>SA</w:t>
      </w:r>
      <w:r w:rsidR="00C8366D">
        <w:rPr>
          <w:rFonts w:eastAsia="Times New Roman" w:cs="Times New Roman"/>
          <w:szCs w:val="24"/>
          <w:lang w:val="en-US"/>
        </w:rPr>
        <w:t xml:space="preserve"> </w:t>
      </w:r>
      <w:r>
        <w:rPr>
          <w:rFonts w:eastAsia="Times New Roman" w:cs="Times New Roman"/>
          <w:szCs w:val="24"/>
          <w:lang w:val="en-US"/>
        </w:rPr>
        <w:t>&lt;</w:t>
      </w:r>
      <w:r w:rsidR="00C8366D">
        <w:rPr>
          <w:rFonts w:eastAsia="Times New Roman" w:cs="Times New Roman"/>
          <w:szCs w:val="24"/>
          <w:lang w:val="en-US"/>
        </w:rPr>
        <w:t xml:space="preserve"> </w:t>
      </w:r>
      <w:r>
        <w:rPr>
          <w:rFonts w:eastAsia="Times New Roman" w:cs="Times New Roman"/>
          <w:szCs w:val="24"/>
          <w:lang w:val="en-US"/>
        </w:rPr>
        <w:t>0.8, the microgrid is strongly acceptable</w:t>
      </w:r>
    </w:p>
    <w:p w14:paraId="4447306C" w14:textId="1F7DDB58" w:rsidR="004B7FDA" w:rsidRPr="00790B04" w:rsidRDefault="00790B04" w:rsidP="00F03645">
      <w:pPr>
        <w:pStyle w:val="ListParagraph"/>
        <w:numPr>
          <w:ilvl w:val="0"/>
          <w:numId w:val="14"/>
        </w:numPr>
        <w:spacing w:line="480" w:lineRule="auto"/>
        <w:rPr>
          <w:rFonts w:eastAsia="Times New Roman" w:cs="Times New Roman"/>
          <w:szCs w:val="24"/>
          <w:lang w:val="en-US"/>
        </w:rPr>
      </w:pPr>
      <w:r>
        <w:rPr>
          <w:rFonts w:eastAsia="Times New Roman" w:cs="Times New Roman"/>
          <w:szCs w:val="24"/>
          <w:lang w:val="en-US"/>
        </w:rPr>
        <w:t>If SA</w:t>
      </w:r>
      <w:r w:rsidR="00C8366D">
        <w:rPr>
          <w:rFonts w:eastAsia="Times New Roman" w:cs="Times New Roman"/>
          <w:szCs w:val="24"/>
          <w:lang w:val="en-US"/>
        </w:rPr>
        <w:t xml:space="preserve"> </w:t>
      </w:r>
      <w:r>
        <w:rPr>
          <w:rFonts w:eastAsia="Times New Roman" w:cs="Times New Roman"/>
          <w:szCs w:val="24"/>
          <w:lang w:val="en-US"/>
        </w:rPr>
        <w:t>&gt;</w:t>
      </w:r>
      <w:r w:rsidR="00C8366D">
        <w:rPr>
          <w:rFonts w:eastAsia="Times New Roman" w:cs="Times New Roman"/>
          <w:szCs w:val="24"/>
          <w:lang w:val="en-US"/>
        </w:rPr>
        <w:t xml:space="preserve"> </w:t>
      </w:r>
      <w:r>
        <w:rPr>
          <w:rFonts w:eastAsia="Times New Roman" w:cs="Times New Roman"/>
          <w:szCs w:val="24"/>
          <w:lang w:val="en-US"/>
        </w:rPr>
        <w:t>0.8, the microgrid is completely acceptable</w:t>
      </w:r>
    </w:p>
    <w:p w14:paraId="193AB0CD" w14:textId="37130A89" w:rsidR="0094678E" w:rsidRDefault="0094678E" w:rsidP="00F03645">
      <w:pPr>
        <w:pStyle w:val="Heading3"/>
        <w:spacing w:line="480" w:lineRule="auto"/>
      </w:pPr>
      <w:bookmarkStart w:id="41" w:name="_Toc110502579"/>
      <w:r>
        <w:t>3.2</w:t>
      </w:r>
      <w:r w:rsidR="00270E58">
        <w:t>.2</w:t>
      </w:r>
      <w:r>
        <w:tab/>
        <w:t xml:space="preserve">TECHNO-ECONOMIC </w:t>
      </w:r>
      <w:r w:rsidR="009226E7">
        <w:t>FEASIBILITY</w:t>
      </w:r>
      <w:r w:rsidR="005B59B3">
        <w:t xml:space="preserve"> </w:t>
      </w:r>
      <w:r>
        <w:t>ASSESSMENT</w:t>
      </w:r>
      <w:bookmarkEnd w:id="41"/>
    </w:p>
    <w:p w14:paraId="1C975EED" w14:textId="0AA8399D" w:rsidR="009226E7" w:rsidRDefault="009226E7" w:rsidP="009226E7">
      <w:pPr>
        <w:spacing w:line="480" w:lineRule="auto"/>
        <w:rPr>
          <w:lang w:val="en-US"/>
        </w:rPr>
      </w:pPr>
      <w:r>
        <w:rPr>
          <w:lang w:val="en-US"/>
        </w:rPr>
        <w:t>The technical and economic analysis of a renewable</w:t>
      </w:r>
      <w:r w:rsidR="005B59B3">
        <w:rPr>
          <w:lang w:val="en-US"/>
        </w:rPr>
        <w:t>-</w:t>
      </w:r>
      <w:r>
        <w:rPr>
          <w:lang w:val="en-US"/>
        </w:rPr>
        <w:t>based microgrid system was conducted in the HOMER Pro software on a multi-year basis for 25 years. The renewable microgrid with energy storage is the main system under investigation. However, for validation and comparison purposes, a diesel-only microgrid and a renewable microgrid without energy storage were also modelled and assessed in the same software, as in the standard practice in previous studies using HOMER.</w:t>
      </w:r>
    </w:p>
    <w:p w14:paraId="76216FC7" w14:textId="51978170" w:rsidR="009226E7" w:rsidRDefault="009226E7" w:rsidP="009226E7">
      <w:pPr>
        <w:spacing w:line="480" w:lineRule="auto"/>
        <w:rPr>
          <w:lang w:val="en-US"/>
        </w:rPr>
      </w:pPr>
      <w:r>
        <w:rPr>
          <w:lang w:val="en-US"/>
        </w:rPr>
        <w:t xml:space="preserve">However, unlike most studies, this one </w:t>
      </w:r>
      <w:r w:rsidR="005B59B3">
        <w:rPr>
          <w:lang w:val="en-US"/>
        </w:rPr>
        <w:t xml:space="preserve">is </w:t>
      </w:r>
      <w:r>
        <w:rPr>
          <w:lang w:val="en-US"/>
        </w:rPr>
        <w:t>also considered a purely-renewable system, especially without energy storage. This presented an unconventional level of constraints on the optimisations performed in the software and required several iterations and model customisations over time before feasible solutions could be obtained. Thus, this is the first study, known to the researcher, to successfully present quantitative results for a microgrid with 100% renewable generation without any macrogrid connection. Furthermore, the presentation of results for a 100% renewable microgrid with no energy storage is also a notable aspect of the results.</w:t>
      </w:r>
    </w:p>
    <w:p w14:paraId="7BCA22A5" w14:textId="4AAC4156" w:rsidR="009226E7" w:rsidRDefault="009226E7" w:rsidP="009226E7">
      <w:pPr>
        <w:spacing w:line="480" w:lineRule="auto"/>
        <w:rPr>
          <w:lang w:val="en-US"/>
        </w:rPr>
      </w:pPr>
      <w:r w:rsidRPr="00EA6030">
        <w:rPr>
          <w:lang w:val="en-US"/>
        </w:rPr>
        <w:t xml:space="preserve">HOMER performed simulations on the model, which took multiple hours due to the complexity of the intended system and the number of sensitivity factors considered, as a follow-up to the Hybrid modelling, which used energy components and prices, load demand data, and weather data. HOMER classified each system combination objectively based on net present cost, </w:t>
      </w:r>
      <w:r>
        <w:rPr>
          <w:lang w:val="en-US"/>
        </w:rPr>
        <w:t>annual operating cost</w:t>
      </w:r>
      <w:r w:rsidRPr="00EA6030">
        <w:rPr>
          <w:lang w:val="en-US"/>
        </w:rPr>
        <w:t>, initial capi</w:t>
      </w:r>
      <w:r w:rsidR="004B6804">
        <w:rPr>
          <w:lang w:val="en-US"/>
        </w:rPr>
        <w:t xml:space="preserve">tal, the cost </w:t>
      </w:r>
      <w:r w:rsidRPr="00EA6030">
        <w:rPr>
          <w:lang w:val="en-US"/>
        </w:rPr>
        <w:t>of energy, re</w:t>
      </w:r>
      <w:r>
        <w:rPr>
          <w:lang w:val="en-US"/>
        </w:rPr>
        <w:t>newable proportion, and fuel</w:t>
      </w:r>
      <w:r w:rsidRPr="00EA6030">
        <w:rPr>
          <w:lang w:val="en-US"/>
        </w:rPr>
        <w:t xml:space="preserve"> utilization during these simulations. </w:t>
      </w:r>
      <w:r>
        <w:rPr>
          <w:lang w:val="en-US"/>
        </w:rPr>
        <w:t xml:space="preserve">Carbon </w:t>
      </w:r>
      <w:r w:rsidR="005B59B3">
        <w:rPr>
          <w:lang w:val="en-US"/>
        </w:rPr>
        <w:t>e</w:t>
      </w:r>
      <w:r>
        <w:rPr>
          <w:lang w:val="en-US"/>
        </w:rPr>
        <w:t xml:space="preserve">missions were also taken into consideration in this study and formed part of the factors considered by HOMER in its simulations. </w:t>
      </w:r>
      <w:r w:rsidRPr="00EA6030">
        <w:rPr>
          <w:lang w:val="en-US"/>
        </w:rPr>
        <w:t>It then chose the system combinations with the lowest electricity cost and net present cost as its best solution.</w:t>
      </w:r>
    </w:p>
    <w:p w14:paraId="14A00FCD" w14:textId="3DF75254" w:rsidR="009226E7" w:rsidRDefault="009226E7" w:rsidP="009226E7">
      <w:pPr>
        <w:spacing w:line="480" w:lineRule="auto"/>
        <w:rPr>
          <w:lang w:val="en-US"/>
        </w:rPr>
      </w:pPr>
      <w:r>
        <w:rPr>
          <w:lang w:val="en-US"/>
        </w:rPr>
        <w:t>Upon getting feasible solutions for a single-year scenario, the multiyear analysis considering component degradation over time was also carried out. This added more complexity to the simulations by increasing the computational time by several factors. In addition, it was found that many systems that seemed to be feasible for the first year did not fulfil multi</w:t>
      </w:r>
      <w:r w:rsidR="005B59B3">
        <w:rPr>
          <w:lang w:val="en-US"/>
        </w:rPr>
        <w:t>-</w:t>
      </w:r>
      <w:r>
        <w:rPr>
          <w:lang w:val="en-US"/>
        </w:rPr>
        <w:t>year constraints. A conservative inflation rate based on Nigerian trends was also included in the model to estimate the effects of economic fluctuations for a more realistic cost analysis. The cost analysis was carried out in US Dollars due to its benchmark status as well as its relative stability, as well as the fact that the equipment and system components are imported and prices are mostly marked up in dollars.</w:t>
      </w:r>
    </w:p>
    <w:p w14:paraId="11209554" w14:textId="4704EA62" w:rsidR="00345414" w:rsidRDefault="00345414" w:rsidP="00E85D75">
      <w:pPr>
        <w:pStyle w:val="Heading3"/>
        <w:numPr>
          <w:ilvl w:val="3"/>
          <w:numId w:val="6"/>
        </w:numPr>
        <w:spacing w:line="480" w:lineRule="auto"/>
      </w:pPr>
      <w:bookmarkStart w:id="42" w:name="_Toc110502580"/>
      <w:r>
        <w:t>Renewable Microgrid Scenario with Energy Storage.</w:t>
      </w:r>
      <w:bookmarkEnd w:id="42"/>
    </w:p>
    <w:p w14:paraId="53700205" w14:textId="52A7C323" w:rsidR="007C12CB" w:rsidRDefault="00345414" w:rsidP="00345414">
      <w:pPr>
        <w:spacing w:line="480" w:lineRule="auto"/>
        <w:rPr>
          <w:lang w:val="en-US"/>
        </w:rPr>
      </w:pPr>
      <w:r>
        <w:rPr>
          <w:lang w:val="en-US"/>
        </w:rPr>
        <w:t xml:space="preserve">The combination of renewables in the presence of chemical energy storage was investigated with solar PV, CSP, wind turbines, small hydro, and Lithium battery storage being considered. Due to the number of sensitivity variables originally considered, the system took over 3 hours to simulate after </w:t>
      </w:r>
      <w:r w:rsidR="005B59B3">
        <w:rPr>
          <w:lang w:val="en-US"/>
        </w:rPr>
        <w:t xml:space="preserve">the </w:t>
      </w:r>
      <w:r>
        <w:rPr>
          <w:lang w:val="en-US"/>
        </w:rPr>
        <w:t xml:space="preserve">selective removal of several sensitivity variables. Hydro head based on physical survey and literature survey was estimated at 3m and a case of zero discount and 10% nominal discount rate were also considered. 10kW turbines were used as the base for wind, </w:t>
      </w:r>
      <w:r w:rsidR="005B59B3">
        <w:rPr>
          <w:lang w:val="en-US"/>
        </w:rPr>
        <w:t xml:space="preserve">and </w:t>
      </w:r>
      <w:r>
        <w:rPr>
          <w:lang w:val="en-US"/>
        </w:rPr>
        <w:t>100kW nominal ratings for hydropower w</w:t>
      </w:r>
      <w:r w:rsidR="005B59B3">
        <w:rPr>
          <w:lang w:val="en-US"/>
        </w:rPr>
        <w:t>ere</w:t>
      </w:r>
      <w:r>
        <w:rPr>
          <w:lang w:val="en-US"/>
        </w:rPr>
        <w:t xml:space="preserve"> used as </w:t>
      </w:r>
      <w:r w:rsidR="005B59B3">
        <w:rPr>
          <w:lang w:val="en-US"/>
        </w:rPr>
        <w:t xml:space="preserve">a </w:t>
      </w:r>
      <w:r>
        <w:rPr>
          <w:lang w:val="en-US"/>
        </w:rPr>
        <w:t>base (initial conditions and search space gradation). The PV panel used was generic flat</w:t>
      </w:r>
      <w:r w:rsidR="005B59B3">
        <w:rPr>
          <w:lang w:val="en-US"/>
        </w:rPr>
        <w:t>-</w:t>
      </w:r>
      <w:r>
        <w:rPr>
          <w:lang w:val="en-US"/>
        </w:rPr>
        <w:t>plate PV, with costs for component installation and maintenance being chosen based on surveys of existing projects such as the Gbamugbamu photovoltaic-based microgrid in Ogun state which has a capacity of over 80kW peak. As with the diesel system, inflation of 10% was considered f</w:t>
      </w:r>
      <w:r w:rsidR="00BB2A92">
        <w:rPr>
          <w:lang w:val="en-US"/>
        </w:rPr>
        <w:t>or the economic aspect. Figure 3.11</w:t>
      </w:r>
      <w:r>
        <w:rPr>
          <w:lang w:val="en-US"/>
        </w:rPr>
        <w:t xml:space="preserve"> shows the representative schematic of the multi-energy renewable microgrid with chemical storage in the HOMER software.</w:t>
      </w:r>
      <w:r w:rsidR="00CF66DA">
        <w:rPr>
          <w:lang w:val="en-US"/>
        </w:rPr>
        <w:t xml:space="preserve"> </w:t>
      </w:r>
    </w:p>
    <w:p w14:paraId="60BFD915" w14:textId="77777777" w:rsidR="00345414" w:rsidRDefault="00345414" w:rsidP="00345414">
      <w:pPr>
        <w:spacing w:line="480" w:lineRule="auto"/>
        <w:jc w:val="center"/>
        <w:rPr>
          <w:lang w:val="en-US"/>
        </w:rPr>
      </w:pPr>
      <w:r w:rsidRPr="00B95C69">
        <w:rPr>
          <w:noProof/>
          <w:lang w:val="en-US"/>
        </w:rPr>
        <w:drawing>
          <wp:inline distT="0" distB="0" distL="0" distR="0" wp14:anchorId="506B1398" wp14:editId="36DB8510">
            <wp:extent cx="2886478" cy="2705478"/>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6478" cy="2705478"/>
                    </a:xfrm>
                    <a:prstGeom prst="rect">
                      <a:avLst/>
                    </a:prstGeom>
                  </pic:spPr>
                </pic:pic>
              </a:graphicData>
            </a:graphic>
          </wp:inline>
        </w:drawing>
      </w:r>
    </w:p>
    <w:p w14:paraId="3AF7D31F" w14:textId="4839126F" w:rsidR="00345414" w:rsidRPr="003A124A" w:rsidRDefault="00345414" w:rsidP="00345414">
      <w:pPr>
        <w:spacing w:line="480" w:lineRule="auto"/>
        <w:jc w:val="center"/>
        <w:rPr>
          <w:lang w:val="en-US"/>
        </w:rPr>
      </w:pPr>
      <w:r>
        <w:rPr>
          <w:b/>
          <w:sz w:val="20"/>
          <w:szCs w:val="20"/>
          <w:lang w:val="en-US"/>
        </w:rPr>
        <w:t>Figu</w:t>
      </w:r>
      <w:r w:rsidR="00BB2A92">
        <w:rPr>
          <w:b/>
          <w:sz w:val="20"/>
          <w:szCs w:val="20"/>
          <w:lang w:val="en-US"/>
        </w:rPr>
        <w:t>re 3.11</w:t>
      </w:r>
      <w:r>
        <w:rPr>
          <w:b/>
          <w:sz w:val="20"/>
          <w:szCs w:val="20"/>
          <w:lang w:val="en-US"/>
        </w:rPr>
        <w:t>– Schematic of Multi-Energy Renewable Energy with Chemical Storage in HOMER.</w:t>
      </w:r>
    </w:p>
    <w:p w14:paraId="05896B24" w14:textId="479B912D" w:rsidR="00345414" w:rsidRDefault="00345414" w:rsidP="00E85D75">
      <w:pPr>
        <w:pStyle w:val="Heading3"/>
        <w:numPr>
          <w:ilvl w:val="3"/>
          <w:numId w:val="6"/>
        </w:numPr>
        <w:spacing w:line="480" w:lineRule="auto"/>
      </w:pPr>
      <w:bookmarkStart w:id="43" w:name="_Toc110502581"/>
      <w:r>
        <w:t>Dispatch Strategy for the Renewable Microgrid.</w:t>
      </w:r>
      <w:bookmarkEnd w:id="43"/>
    </w:p>
    <w:p w14:paraId="7631F7CE" w14:textId="56AA52B5" w:rsidR="0094678E" w:rsidRDefault="00345414" w:rsidP="004B6804">
      <w:pPr>
        <w:spacing w:line="480" w:lineRule="auto"/>
        <w:rPr>
          <w:lang w:val="en-US"/>
        </w:rPr>
      </w:pPr>
      <w:r>
        <w:rPr>
          <w:lang w:val="en-US"/>
        </w:rPr>
        <w:t>Dispatch strategies are rules which are used to determine how the generator and storage batteries behave when the renewable energy available is not enough to supply the load. HOMER has three dispatch strategies which are cycle charging, load following, and combined dispatch strategy which implements both depending on instantaneous system conditions and criteria. When the system operates on cycle charging, the generation supplies full power whenever the system is serving the primary load on the microgrid. Excess electrical production in this period is then used to service the lower-priority functions such as serving the deferrable loads, recharging the battery energy storage system, or serving the electrolyzer in a fuel-cell</w:t>
      </w:r>
      <w:r w:rsidR="005B59B3">
        <w:rPr>
          <w:lang w:val="en-US"/>
        </w:rPr>
        <w:t>-</w:t>
      </w:r>
      <w:r>
        <w:rPr>
          <w:lang w:val="en-US"/>
        </w:rPr>
        <w:t xml:space="preserve">based system. When the system operates on the load-following dispatch strategy, it only produces enough power to meet the primary load while leaving the recharging of the batteries to instantaneous renewable generation. The dispatch strategies come into play when there is </w:t>
      </w:r>
      <w:r w:rsidR="005B59B3">
        <w:rPr>
          <w:lang w:val="en-US"/>
        </w:rPr>
        <w:t xml:space="preserve">a </w:t>
      </w:r>
      <w:r>
        <w:rPr>
          <w:lang w:val="en-US"/>
        </w:rPr>
        <w:t>capacity shortage and whe</w:t>
      </w:r>
      <w:r w:rsidR="005B59B3">
        <w:rPr>
          <w:lang w:val="en-US"/>
        </w:rPr>
        <w:t>n</w:t>
      </w:r>
      <w:r>
        <w:rPr>
          <w:lang w:val="en-US"/>
        </w:rPr>
        <w:t xml:space="preserve"> both renewable and non-renewable generation are combined. In this case, however, the microgrid is purely supplied by renewable energy, and correspondingly, the selected dispatch strategies were found to </w:t>
      </w:r>
      <w:r w:rsidR="005B59B3">
        <w:rPr>
          <w:lang w:val="en-US"/>
        </w:rPr>
        <w:t>not affect</w:t>
      </w:r>
      <w:r>
        <w:rPr>
          <w:lang w:val="en-US"/>
        </w:rPr>
        <w:t xml:space="preserve"> the performance of the microgrid.</w:t>
      </w:r>
    </w:p>
    <w:p w14:paraId="43B191E7" w14:textId="640E5C06" w:rsidR="00A02EC0" w:rsidRDefault="00270E58" w:rsidP="00A02EC0">
      <w:pPr>
        <w:pStyle w:val="Heading3"/>
        <w:spacing w:line="480" w:lineRule="auto"/>
      </w:pPr>
      <w:bookmarkStart w:id="44" w:name="_Toc110502582"/>
      <w:r>
        <w:t>3.2.2.3</w:t>
      </w:r>
      <w:r w:rsidR="00A02EC0">
        <w:tab/>
        <w:t>Diesel Microgrid Scenario</w:t>
      </w:r>
      <w:bookmarkEnd w:id="44"/>
    </w:p>
    <w:p w14:paraId="0E372044" w14:textId="568BAFF2" w:rsidR="00A02EC0" w:rsidRDefault="00A02EC0" w:rsidP="00A02EC0">
      <w:pPr>
        <w:spacing w:line="480" w:lineRule="auto"/>
        <w:rPr>
          <w:lang w:val="en-US"/>
        </w:rPr>
      </w:pPr>
      <w:r>
        <w:rPr>
          <w:lang w:val="en-US"/>
        </w:rPr>
        <w:t>The diesel microgrid scenario is used as a basis for comparison and cross-validation with the pure-</w:t>
      </w:r>
      <w:r w:rsidR="006C46AA">
        <w:rPr>
          <w:lang w:val="en-US"/>
        </w:rPr>
        <w:t>renewable microgrid. Figure 3.12</w:t>
      </w:r>
      <w:r>
        <w:rPr>
          <w:lang w:val="en-US"/>
        </w:rPr>
        <w:t xml:space="preserve"> shows the condensed schematic in HOMER for the diesel microgrid scenario. It can be seen from the figure that HOMER recognizes the absence of renewable resources in the considered scenario and advises the designer/researcher to include one in it. To preserve the realistic outlook of the analysis, the flexible sizing option using both diesel and renewable sources (which is </w:t>
      </w:r>
      <w:r w:rsidR="005B59B3">
        <w:rPr>
          <w:lang w:val="en-US"/>
        </w:rPr>
        <w:t>a</w:t>
      </w:r>
      <w:r>
        <w:rPr>
          <w:lang w:val="en-US"/>
        </w:rPr>
        <w:t xml:space="preserve"> common scenario in literature) was not considered. Rather, to improve the quality of this analysis, various discrete sizes of diesel </w:t>
      </w:r>
      <w:r w:rsidR="005B59B3">
        <w:rPr>
          <w:lang w:val="en-US"/>
        </w:rPr>
        <w:t>generators</w:t>
      </w:r>
      <w:r>
        <w:rPr>
          <w:lang w:val="en-US"/>
        </w:rPr>
        <w:t xml:space="preserve"> with known prices either in Naira or Dollars were catalogued. Prices of diesel generating sets were obtained from online marketplaces, and where necessary, by direct correspondence with distributors and manufacturers.</w:t>
      </w:r>
    </w:p>
    <w:p w14:paraId="73DD7FE8" w14:textId="77777777" w:rsidR="00A02EC0" w:rsidRDefault="00A02EC0" w:rsidP="00A02EC0">
      <w:pPr>
        <w:spacing w:line="480" w:lineRule="auto"/>
        <w:jc w:val="center"/>
        <w:rPr>
          <w:lang w:val="en-US"/>
        </w:rPr>
      </w:pPr>
      <w:r>
        <w:rPr>
          <w:noProof/>
          <w:lang w:val="en-US"/>
        </w:rPr>
        <w:drawing>
          <wp:inline distT="0" distB="0" distL="0" distR="0" wp14:anchorId="21D187B9" wp14:editId="7E5088EA">
            <wp:extent cx="3474720" cy="27866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esel MIcrogrid Design.png"/>
                    <pic:cNvPicPr/>
                  </pic:nvPicPr>
                  <pic:blipFill>
                    <a:blip r:embed="rId23">
                      <a:extLst>
                        <a:ext uri="{28A0092B-C50C-407E-A947-70E740481C1C}">
                          <a14:useLocalDpi xmlns:a14="http://schemas.microsoft.com/office/drawing/2010/main" val="0"/>
                        </a:ext>
                      </a:extLst>
                    </a:blip>
                    <a:stretch>
                      <a:fillRect/>
                    </a:stretch>
                  </pic:blipFill>
                  <pic:spPr>
                    <a:xfrm>
                      <a:off x="0" y="0"/>
                      <a:ext cx="3486032" cy="2795729"/>
                    </a:xfrm>
                    <a:prstGeom prst="rect">
                      <a:avLst/>
                    </a:prstGeom>
                  </pic:spPr>
                </pic:pic>
              </a:graphicData>
            </a:graphic>
          </wp:inline>
        </w:drawing>
      </w:r>
    </w:p>
    <w:p w14:paraId="1380D1C2" w14:textId="012563D6" w:rsidR="00A02EC0" w:rsidRDefault="006C46AA" w:rsidP="00A02EC0">
      <w:pPr>
        <w:spacing w:line="480" w:lineRule="auto"/>
        <w:jc w:val="center"/>
        <w:rPr>
          <w:lang w:val="en-US"/>
        </w:rPr>
      </w:pPr>
      <w:r>
        <w:rPr>
          <w:b/>
          <w:sz w:val="20"/>
          <w:szCs w:val="20"/>
          <w:lang w:val="en-US"/>
        </w:rPr>
        <w:t>Figure 3.12</w:t>
      </w:r>
      <w:r w:rsidR="00A02EC0">
        <w:rPr>
          <w:b/>
          <w:sz w:val="20"/>
          <w:szCs w:val="20"/>
          <w:lang w:val="en-US"/>
        </w:rPr>
        <w:t xml:space="preserve"> – Schematic of Diesel Microgrid in HOMER.</w:t>
      </w:r>
    </w:p>
    <w:p w14:paraId="4FFBB74C" w14:textId="19D41883" w:rsidR="00A02EC0" w:rsidRDefault="00355B41" w:rsidP="00A02EC0">
      <w:pPr>
        <w:spacing w:line="480" w:lineRule="auto"/>
        <w:rPr>
          <w:lang w:val="en-US"/>
        </w:rPr>
      </w:pPr>
      <w:r>
        <w:rPr>
          <w:lang w:val="en-US"/>
        </w:rPr>
        <w:t>Table 3.1</w:t>
      </w:r>
      <w:r w:rsidR="00A02EC0">
        <w:rPr>
          <w:lang w:val="en-US"/>
        </w:rPr>
        <w:t xml:space="preserve"> shows a selection of surveyed diesel generating sets and their obtained prices, with </w:t>
      </w:r>
      <w:r w:rsidR="005B59B3">
        <w:rPr>
          <w:lang w:val="en-US"/>
        </w:rPr>
        <w:t xml:space="preserve">the </w:t>
      </w:r>
      <w:r w:rsidR="00A02EC0">
        <w:rPr>
          <w:lang w:val="en-US"/>
        </w:rPr>
        <w:t>calculation of cost prices in dollars per kilowatt. Prices per kilowatt were also obtained for smaller gasoline/diesel generating sets and</w:t>
      </w:r>
      <w:r>
        <w:rPr>
          <w:lang w:val="en-US"/>
        </w:rPr>
        <w:t xml:space="preserve"> used in the analysis. Table 3.2</w:t>
      </w:r>
      <w:r w:rsidR="00A02EC0">
        <w:rPr>
          <w:lang w:val="en-US"/>
        </w:rPr>
        <w:t xml:space="preserve"> shows the exchange rate as obtained in April 2022 and used in the project.</w:t>
      </w:r>
    </w:p>
    <w:p w14:paraId="06B3C4D1" w14:textId="24802A5C" w:rsidR="00A02EC0" w:rsidRDefault="00A02EC0" w:rsidP="00A02EC0">
      <w:pPr>
        <w:spacing w:line="480" w:lineRule="auto"/>
        <w:rPr>
          <w:lang w:val="en-US"/>
        </w:rPr>
      </w:pPr>
      <w:r>
        <w:rPr>
          <w:lang w:val="en-US"/>
        </w:rPr>
        <w:t xml:space="preserve">The cost of diesel as obtained around the same time by </w:t>
      </w:r>
      <w:r w:rsidR="005B59B3">
        <w:rPr>
          <w:lang w:val="en-US"/>
        </w:rPr>
        <w:t xml:space="preserve">the </w:t>
      </w:r>
      <w:r>
        <w:rPr>
          <w:lang w:val="en-US"/>
        </w:rPr>
        <w:t xml:space="preserve">market survey was </w:t>
      </w:r>
      <w:r>
        <w:rPr>
          <w:rFonts w:cs="Times New Roman"/>
          <w:lang w:val="en-US"/>
        </w:rPr>
        <w:t>₦</w:t>
      </w:r>
      <w:r>
        <w:rPr>
          <w:lang w:val="en-US"/>
        </w:rPr>
        <w:t>700, corresponding to about $1.69. Being a general</w:t>
      </w:r>
      <w:r w:rsidR="005B59B3">
        <w:rPr>
          <w:lang w:val="en-US"/>
        </w:rPr>
        <w:t>-</w:t>
      </w:r>
      <w:r>
        <w:rPr>
          <w:lang w:val="en-US"/>
        </w:rPr>
        <w:t xml:space="preserve">purpose microgrid, </w:t>
      </w:r>
      <w:r w:rsidR="005B59B3">
        <w:rPr>
          <w:lang w:val="en-US"/>
        </w:rPr>
        <w:t xml:space="preserve">a </w:t>
      </w:r>
      <w:r>
        <w:rPr>
          <w:lang w:val="en-US"/>
        </w:rPr>
        <w:t>power factor of 0.8 lagging was used for conversion between kVA and kW, as HOMER works only with the latter (HOMER works with energy and its time derivatives such as power). Large diesel gen</w:t>
      </w:r>
      <w:r w:rsidR="005B59B3">
        <w:rPr>
          <w:lang w:val="en-US"/>
        </w:rPr>
        <w:t>-</w:t>
      </w:r>
      <w:r>
        <w:rPr>
          <w:lang w:val="en-US"/>
        </w:rPr>
        <w:t xml:space="preserve">sets are a dispatchable resource, and this was also implemented in HOMER, hence, there was no need to consider energy storage in the diesel microgrid case. </w:t>
      </w:r>
      <w:r w:rsidR="005B59B3">
        <w:rPr>
          <w:lang w:val="en-US"/>
        </w:rPr>
        <w:t>An i</w:t>
      </w:r>
      <w:r>
        <w:rPr>
          <w:lang w:val="en-US"/>
        </w:rPr>
        <w:t xml:space="preserve">nflation rate of 10% annually was used in the study. Prices were used as obtained without </w:t>
      </w:r>
      <w:r w:rsidR="005B59B3">
        <w:rPr>
          <w:lang w:val="en-US"/>
        </w:rPr>
        <w:t xml:space="preserve">the </w:t>
      </w:r>
      <w:r>
        <w:rPr>
          <w:lang w:val="en-US"/>
        </w:rPr>
        <w:t xml:space="preserve">assumption of discount since the generating sets are discrete and there is rarely </w:t>
      </w:r>
      <w:r w:rsidR="005B59B3">
        <w:rPr>
          <w:lang w:val="en-US"/>
        </w:rPr>
        <w:t xml:space="preserve">an </w:t>
      </w:r>
      <w:r>
        <w:rPr>
          <w:lang w:val="en-US"/>
        </w:rPr>
        <w:t xml:space="preserve">obtainable discount rate for fossil fuels in Nigeria apart from the general effects of inflation. </w:t>
      </w:r>
    </w:p>
    <w:p w14:paraId="3992301C" w14:textId="77777777" w:rsidR="00A02EC0" w:rsidRDefault="00A02EC0" w:rsidP="00A02EC0">
      <w:pPr>
        <w:spacing w:line="480" w:lineRule="auto"/>
        <w:rPr>
          <w:lang w:val="en-US"/>
        </w:rPr>
      </w:pPr>
      <w:r>
        <w:rPr>
          <w:lang w:val="en-US"/>
        </w:rPr>
        <w:t xml:space="preserve">Ultimately, after several iterations and exploration of HOMER capabilities and available computing resources, the 80kW and 400kW generating sets (Mikano 100 and 500 kVA) were mainly focused on in the final selected diesel scenario. Considering this, direct quotes from the manufacturers for the prices (and specifications) of these generating sets were obtained in Naira and converted to dollars. </w:t>
      </w:r>
    </w:p>
    <w:p w14:paraId="384C8621" w14:textId="30FE7AEA" w:rsidR="00A02EC0" w:rsidRPr="00F513C6" w:rsidRDefault="00355B41" w:rsidP="00A02EC0">
      <w:pPr>
        <w:spacing w:line="480" w:lineRule="auto"/>
        <w:jc w:val="center"/>
        <w:rPr>
          <w:b/>
          <w:lang w:val="en-US"/>
        </w:rPr>
      </w:pPr>
      <w:r>
        <w:rPr>
          <w:b/>
          <w:lang w:val="en-US"/>
        </w:rPr>
        <w:t>Table 3.1</w:t>
      </w:r>
      <w:r w:rsidR="00A02EC0" w:rsidRPr="00F513C6">
        <w:rPr>
          <w:b/>
          <w:lang w:val="en-US"/>
        </w:rPr>
        <w:t xml:space="preserve"> -  Cost Information of Generating sets with final selections in bold.</w:t>
      </w:r>
    </w:p>
    <w:tbl>
      <w:tblPr>
        <w:tblW w:w="0" w:type="auto"/>
        <w:tblBorders>
          <w:top w:val="single" w:sz="4" w:space="0" w:color="auto"/>
          <w:bottom w:val="single" w:sz="4" w:space="0" w:color="auto"/>
        </w:tblBorders>
        <w:tblLook w:val="04A0" w:firstRow="1" w:lastRow="0" w:firstColumn="1" w:lastColumn="0" w:noHBand="0" w:noVBand="1"/>
      </w:tblPr>
      <w:tblGrid>
        <w:gridCol w:w="1411"/>
        <w:gridCol w:w="1401"/>
        <w:gridCol w:w="1424"/>
        <w:gridCol w:w="1596"/>
        <w:gridCol w:w="1425"/>
        <w:gridCol w:w="1383"/>
      </w:tblGrid>
      <w:tr w:rsidR="00A02EC0" w14:paraId="243F7746" w14:textId="77777777" w:rsidTr="00356713">
        <w:tc>
          <w:tcPr>
            <w:tcW w:w="1438" w:type="dxa"/>
            <w:tcBorders>
              <w:top w:val="single" w:sz="4" w:space="0" w:color="auto"/>
              <w:bottom w:val="single" w:sz="4" w:space="0" w:color="auto"/>
            </w:tcBorders>
            <w:vAlign w:val="bottom"/>
          </w:tcPr>
          <w:p w14:paraId="6AC25F4D" w14:textId="77777777" w:rsidR="00A02EC0" w:rsidRPr="00127633" w:rsidRDefault="00A02EC0" w:rsidP="00356713">
            <w:pPr>
              <w:spacing w:line="240" w:lineRule="auto"/>
              <w:jc w:val="left"/>
              <w:rPr>
                <w:rFonts w:cs="Times New Roman"/>
                <w:color w:val="000000"/>
                <w:szCs w:val="24"/>
                <w:lang w:val="en-US"/>
              </w:rPr>
            </w:pPr>
            <w:r w:rsidRPr="00127633">
              <w:rPr>
                <w:rFonts w:cs="Times New Roman"/>
                <w:color w:val="000000"/>
                <w:szCs w:val="24"/>
              </w:rPr>
              <w:t>Name</w:t>
            </w:r>
          </w:p>
        </w:tc>
        <w:tc>
          <w:tcPr>
            <w:tcW w:w="1438" w:type="dxa"/>
            <w:tcBorders>
              <w:top w:val="single" w:sz="4" w:space="0" w:color="auto"/>
              <w:bottom w:val="single" w:sz="4" w:space="0" w:color="auto"/>
            </w:tcBorders>
            <w:vAlign w:val="bottom"/>
          </w:tcPr>
          <w:p w14:paraId="3DCEF978" w14:textId="77777777" w:rsidR="00A02EC0" w:rsidRPr="00127633" w:rsidRDefault="00A02EC0" w:rsidP="00356713">
            <w:pPr>
              <w:spacing w:line="240" w:lineRule="auto"/>
              <w:rPr>
                <w:rFonts w:cs="Times New Roman"/>
                <w:color w:val="000000"/>
                <w:szCs w:val="24"/>
              </w:rPr>
            </w:pPr>
            <w:r>
              <w:rPr>
                <w:rFonts w:cs="Times New Roman"/>
                <w:color w:val="000000"/>
                <w:szCs w:val="24"/>
              </w:rPr>
              <w:t xml:space="preserve">Capacity (kW) for </w:t>
            </w:r>
            <w:r w:rsidRPr="00127633">
              <w:rPr>
                <w:rFonts w:cs="Times New Roman"/>
                <w:color w:val="000000"/>
                <w:szCs w:val="24"/>
              </w:rPr>
              <w:t xml:space="preserve"> 0.8pf</w:t>
            </w:r>
          </w:p>
        </w:tc>
        <w:tc>
          <w:tcPr>
            <w:tcW w:w="1438" w:type="dxa"/>
            <w:tcBorders>
              <w:top w:val="single" w:sz="4" w:space="0" w:color="auto"/>
              <w:bottom w:val="single" w:sz="4" w:space="0" w:color="auto"/>
            </w:tcBorders>
            <w:vAlign w:val="bottom"/>
          </w:tcPr>
          <w:p w14:paraId="48454B08"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Cost in Dollars</w:t>
            </w:r>
          </w:p>
        </w:tc>
        <w:tc>
          <w:tcPr>
            <w:tcW w:w="1438" w:type="dxa"/>
            <w:tcBorders>
              <w:top w:val="single" w:sz="4" w:space="0" w:color="auto"/>
              <w:bottom w:val="single" w:sz="4" w:space="0" w:color="auto"/>
            </w:tcBorders>
            <w:vAlign w:val="bottom"/>
          </w:tcPr>
          <w:p w14:paraId="255C54F7"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Cost in Naira</w:t>
            </w:r>
          </w:p>
        </w:tc>
        <w:tc>
          <w:tcPr>
            <w:tcW w:w="1439" w:type="dxa"/>
            <w:tcBorders>
              <w:top w:val="single" w:sz="4" w:space="0" w:color="auto"/>
              <w:bottom w:val="single" w:sz="4" w:space="0" w:color="auto"/>
            </w:tcBorders>
            <w:vAlign w:val="bottom"/>
          </w:tcPr>
          <w:p w14:paraId="62344026"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Cost per k</w:t>
            </w:r>
            <w:r>
              <w:rPr>
                <w:rFonts w:cs="Times New Roman"/>
                <w:color w:val="000000"/>
                <w:szCs w:val="24"/>
              </w:rPr>
              <w:t>W</w:t>
            </w:r>
            <w:r w:rsidRPr="00127633">
              <w:rPr>
                <w:rFonts w:cs="Times New Roman"/>
                <w:color w:val="000000"/>
                <w:szCs w:val="24"/>
              </w:rPr>
              <w:t xml:space="preserve"> (Naira)</w:t>
            </w:r>
          </w:p>
        </w:tc>
        <w:tc>
          <w:tcPr>
            <w:tcW w:w="1439" w:type="dxa"/>
            <w:tcBorders>
              <w:top w:val="single" w:sz="4" w:space="0" w:color="auto"/>
              <w:bottom w:val="single" w:sz="4" w:space="0" w:color="auto"/>
            </w:tcBorders>
            <w:vAlign w:val="bottom"/>
          </w:tcPr>
          <w:p w14:paraId="098DE965"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Cost per kW (</w:t>
            </w:r>
            <w:r>
              <w:rPr>
                <w:rFonts w:cs="Times New Roman"/>
                <w:color w:val="000000"/>
                <w:szCs w:val="24"/>
              </w:rPr>
              <w:t>US$</w:t>
            </w:r>
            <w:r w:rsidRPr="00127633">
              <w:rPr>
                <w:rFonts w:cs="Times New Roman"/>
                <w:color w:val="000000"/>
                <w:szCs w:val="24"/>
              </w:rPr>
              <w:t>)</w:t>
            </w:r>
          </w:p>
        </w:tc>
      </w:tr>
      <w:tr w:rsidR="00A02EC0" w14:paraId="25331918" w14:textId="77777777" w:rsidTr="00356713">
        <w:tc>
          <w:tcPr>
            <w:tcW w:w="1438" w:type="dxa"/>
            <w:tcBorders>
              <w:top w:val="single" w:sz="4" w:space="0" w:color="auto"/>
            </w:tcBorders>
            <w:vAlign w:val="bottom"/>
          </w:tcPr>
          <w:p w14:paraId="31CF7905"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Perkins Generator (Yaoota)</w:t>
            </w:r>
          </w:p>
        </w:tc>
        <w:tc>
          <w:tcPr>
            <w:tcW w:w="1438" w:type="dxa"/>
            <w:tcBorders>
              <w:top w:val="single" w:sz="4" w:space="0" w:color="auto"/>
            </w:tcBorders>
            <w:vAlign w:val="bottom"/>
          </w:tcPr>
          <w:p w14:paraId="7F627E51"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40</w:t>
            </w:r>
          </w:p>
        </w:tc>
        <w:tc>
          <w:tcPr>
            <w:tcW w:w="1438" w:type="dxa"/>
            <w:tcBorders>
              <w:top w:val="single" w:sz="4" w:space="0" w:color="auto"/>
            </w:tcBorders>
            <w:vAlign w:val="bottom"/>
          </w:tcPr>
          <w:p w14:paraId="0094F0E6"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12,480.00 </w:t>
            </w:r>
          </w:p>
        </w:tc>
        <w:tc>
          <w:tcPr>
            <w:tcW w:w="1438" w:type="dxa"/>
            <w:tcBorders>
              <w:top w:val="single" w:sz="4" w:space="0" w:color="auto"/>
            </w:tcBorders>
            <w:vAlign w:val="bottom"/>
          </w:tcPr>
          <w:p w14:paraId="6CEA6A9D"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5,200,000.00 </w:t>
            </w:r>
          </w:p>
        </w:tc>
        <w:tc>
          <w:tcPr>
            <w:tcW w:w="1439" w:type="dxa"/>
            <w:tcBorders>
              <w:top w:val="single" w:sz="4" w:space="0" w:color="auto"/>
            </w:tcBorders>
            <w:vAlign w:val="bottom"/>
          </w:tcPr>
          <w:p w14:paraId="7808F8AD"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130,000.00 </w:t>
            </w:r>
          </w:p>
        </w:tc>
        <w:tc>
          <w:tcPr>
            <w:tcW w:w="1439" w:type="dxa"/>
            <w:tcBorders>
              <w:top w:val="single" w:sz="4" w:space="0" w:color="auto"/>
            </w:tcBorders>
            <w:vAlign w:val="bottom"/>
          </w:tcPr>
          <w:p w14:paraId="0B3902F5"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312.00 </w:t>
            </w:r>
          </w:p>
        </w:tc>
      </w:tr>
      <w:tr w:rsidR="00A02EC0" w14:paraId="0E9B33EE" w14:textId="77777777" w:rsidTr="00356713">
        <w:tc>
          <w:tcPr>
            <w:tcW w:w="1438" w:type="dxa"/>
            <w:vAlign w:val="bottom"/>
          </w:tcPr>
          <w:p w14:paraId="34566804" w14:textId="26AD61A4" w:rsidR="00A02EC0" w:rsidRPr="00127633" w:rsidRDefault="00A02EC0" w:rsidP="005B59B3">
            <w:pPr>
              <w:spacing w:line="240" w:lineRule="auto"/>
              <w:rPr>
                <w:rFonts w:cs="Times New Roman"/>
                <w:color w:val="000000"/>
                <w:szCs w:val="24"/>
              </w:rPr>
            </w:pPr>
            <w:r w:rsidRPr="00127633">
              <w:rPr>
                <w:rFonts w:cs="Times New Roman"/>
                <w:color w:val="000000"/>
                <w:szCs w:val="24"/>
              </w:rPr>
              <w:t>Cummins (</w:t>
            </w:r>
            <w:r w:rsidR="005B59B3">
              <w:rPr>
                <w:rFonts w:cs="Times New Roman"/>
                <w:color w:val="000000"/>
                <w:szCs w:val="24"/>
              </w:rPr>
              <w:t>A</w:t>
            </w:r>
            <w:r w:rsidRPr="00127633">
              <w:rPr>
                <w:rFonts w:cs="Times New Roman"/>
                <w:color w:val="000000"/>
                <w:szCs w:val="24"/>
              </w:rPr>
              <w:t>libaba)</w:t>
            </w:r>
          </w:p>
        </w:tc>
        <w:tc>
          <w:tcPr>
            <w:tcW w:w="1438" w:type="dxa"/>
            <w:vAlign w:val="bottom"/>
          </w:tcPr>
          <w:p w14:paraId="71E12111"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40</w:t>
            </w:r>
          </w:p>
        </w:tc>
        <w:tc>
          <w:tcPr>
            <w:tcW w:w="1438" w:type="dxa"/>
            <w:vAlign w:val="bottom"/>
          </w:tcPr>
          <w:p w14:paraId="64BE6B2E"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4,500.00 </w:t>
            </w:r>
          </w:p>
        </w:tc>
        <w:tc>
          <w:tcPr>
            <w:tcW w:w="1438" w:type="dxa"/>
            <w:vAlign w:val="bottom"/>
          </w:tcPr>
          <w:p w14:paraId="7822B406"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1,870,740.00 </w:t>
            </w:r>
          </w:p>
        </w:tc>
        <w:tc>
          <w:tcPr>
            <w:tcW w:w="1439" w:type="dxa"/>
            <w:vAlign w:val="bottom"/>
          </w:tcPr>
          <w:p w14:paraId="66615518"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46,768.50 </w:t>
            </w:r>
          </w:p>
        </w:tc>
        <w:tc>
          <w:tcPr>
            <w:tcW w:w="1439" w:type="dxa"/>
            <w:vAlign w:val="bottom"/>
          </w:tcPr>
          <w:p w14:paraId="3F0A70EE"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112.24 </w:t>
            </w:r>
          </w:p>
        </w:tc>
      </w:tr>
      <w:tr w:rsidR="00A02EC0" w14:paraId="7600DA1B" w14:textId="77777777" w:rsidTr="00356713">
        <w:tc>
          <w:tcPr>
            <w:tcW w:w="1438" w:type="dxa"/>
            <w:vAlign w:val="bottom"/>
          </w:tcPr>
          <w:p w14:paraId="7323E04A"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Sumec Firman (Zit)</w:t>
            </w:r>
          </w:p>
        </w:tc>
        <w:tc>
          <w:tcPr>
            <w:tcW w:w="1438" w:type="dxa"/>
            <w:vAlign w:val="bottom"/>
          </w:tcPr>
          <w:p w14:paraId="426064E1"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4</w:t>
            </w:r>
          </w:p>
        </w:tc>
        <w:tc>
          <w:tcPr>
            <w:tcW w:w="1438" w:type="dxa"/>
            <w:vAlign w:val="bottom"/>
          </w:tcPr>
          <w:p w14:paraId="070AD818"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1,608.00 </w:t>
            </w:r>
          </w:p>
        </w:tc>
        <w:tc>
          <w:tcPr>
            <w:tcW w:w="1438" w:type="dxa"/>
            <w:vAlign w:val="bottom"/>
          </w:tcPr>
          <w:p w14:paraId="4610C7B7"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670,000.00 </w:t>
            </w:r>
          </w:p>
        </w:tc>
        <w:tc>
          <w:tcPr>
            <w:tcW w:w="1439" w:type="dxa"/>
            <w:vAlign w:val="bottom"/>
          </w:tcPr>
          <w:p w14:paraId="0CCA9DC3"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167,500.00 </w:t>
            </w:r>
          </w:p>
        </w:tc>
        <w:tc>
          <w:tcPr>
            <w:tcW w:w="1439" w:type="dxa"/>
            <w:vAlign w:val="bottom"/>
          </w:tcPr>
          <w:p w14:paraId="5412F2FE"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402.00 </w:t>
            </w:r>
          </w:p>
        </w:tc>
      </w:tr>
      <w:tr w:rsidR="00A02EC0" w14:paraId="061B32BC" w14:textId="77777777" w:rsidTr="00356713">
        <w:tc>
          <w:tcPr>
            <w:tcW w:w="1438" w:type="dxa"/>
            <w:vAlign w:val="bottom"/>
          </w:tcPr>
          <w:p w14:paraId="19BC23DD"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Lutian (zit)</w:t>
            </w:r>
          </w:p>
        </w:tc>
        <w:tc>
          <w:tcPr>
            <w:tcW w:w="1438" w:type="dxa"/>
            <w:vAlign w:val="bottom"/>
          </w:tcPr>
          <w:p w14:paraId="61B8980B"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4.8</w:t>
            </w:r>
          </w:p>
        </w:tc>
        <w:tc>
          <w:tcPr>
            <w:tcW w:w="1438" w:type="dxa"/>
            <w:vAlign w:val="bottom"/>
          </w:tcPr>
          <w:p w14:paraId="01ADD822"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1,728.00 </w:t>
            </w:r>
          </w:p>
        </w:tc>
        <w:tc>
          <w:tcPr>
            <w:tcW w:w="1438" w:type="dxa"/>
            <w:vAlign w:val="bottom"/>
          </w:tcPr>
          <w:p w14:paraId="054946AE"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720,000.00 </w:t>
            </w:r>
          </w:p>
        </w:tc>
        <w:tc>
          <w:tcPr>
            <w:tcW w:w="1439" w:type="dxa"/>
            <w:vAlign w:val="bottom"/>
          </w:tcPr>
          <w:p w14:paraId="672928C6"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150,000.00 </w:t>
            </w:r>
          </w:p>
        </w:tc>
        <w:tc>
          <w:tcPr>
            <w:tcW w:w="1439" w:type="dxa"/>
            <w:vAlign w:val="bottom"/>
          </w:tcPr>
          <w:p w14:paraId="310E212B"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360.00 </w:t>
            </w:r>
          </w:p>
        </w:tc>
      </w:tr>
      <w:tr w:rsidR="00A02EC0" w14:paraId="5EC7A562" w14:textId="77777777" w:rsidTr="00356713">
        <w:tc>
          <w:tcPr>
            <w:tcW w:w="1438" w:type="dxa"/>
            <w:vAlign w:val="bottom"/>
          </w:tcPr>
          <w:p w14:paraId="5C760E0B" w14:textId="18850D1C" w:rsidR="00A02EC0" w:rsidRPr="00127633" w:rsidRDefault="005B59B3" w:rsidP="00356713">
            <w:pPr>
              <w:spacing w:line="240" w:lineRule="auto"/>
              <w:rPr>
                <w:rFonts w:cs="Times New Roman"/>
                <w:color w:val="000000"/>
                <w:szCs w:val="24"/>
              </w:rPr>
            </w:pPr>
            <w:r>
              <w:rPr>
                <w:rFonts w:cs="Times New Roman"/>
                <w:color w:val="000000"/>
                <w:szCs w:val="24"/>
              </w:rPr>
              <w:t>Perkins (J</w:t>
            </w:r>
            <w:r w:rsidR="00A02EC0" w:rsidRPr="00127633">
              <w:rPr>
                <w:rFonts w:cs="Times New Roman"/>
                <w:color w:val="000000"/>
                <w:szCs w:val="24"/>
              </w:rPr>
              <w:t>umia)</w:t>
            </w:r>
          </w:p>
        </w:tc>
        <w:tc>
          <w:tcPr>
            <w:tcW w:w="1438" w:type="dxa"/>
            <w:vAlign w:val="bottom"/>
          </w:tcPr>
          <w:p w14:paraId="38059B3B"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40</w:t>
            </w:r>
          </w:p>
        </w:tc>
        <w:tc>
          <w:tcPr>
            <w:tcW w:w="1438" w:type="dxa"/>
            <w:vAlign w:val="bottom"/>
          </w:tcPr>
          <w:p w14:paraId="4A20FB1A"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10,932.00 </w:t>
            </w:r>
          </w:p>
        </w:tc>
        <w:tc>
          <w:tcPr>
            <w:tcW w:w="1438" w:type="dxa"/>
            <w:vAlign w:val="bottom"/>
          </w:tcPr>
          <w:p w14:paraId="6E4DF806"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4,555,000</w:t>
            </w:r>
          </w:p>
        </w:tc>
        <w:tc>
          <w:tcPr>
            <w:tcW w:w="1439" w:type="dxa"/>
            <w:vAlign w:val="bottom"/>
          </w:tcPr>
          <w:p w14:paraId="4030E761"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113,875.00 </w:t>
            </w:r>
          </w:p>
        </w:tc>
        <w:tc>
          <w:tcPr>
            <w:tcW w:w="1439" w:type="dxa"/>
            <w:vAlign w:val="bottom"/>
          </w:tcPr>
          <w:p w14:paraId="2F294EFA"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273.30 </w:t>
            </w:r>
          </w:p>
        </w:tc>
      </w:tr>
      <w:tr w:rsidR="00A02EC0" w14:paraId="2980D4C8" w14:textId="77777777" w:rsidTr="00356713">
        <w:tc>
          <w:tcPr>
            <w:tcW w:w="1438" w:type="dxa"/>
            <w:vAlign w:val="bottom"/>
          </w:tcPr>
          <w:p w14:paraId="2C209544" w14:textId="701EF3CC" w:rsidR="00A02EC0" w:rsidRPr="00127633" w:rsidRDefault="005B59B3" w:rsidP="00356713">
            <w:pPr>
              <w:spacing w:line="240" w:lineRule="auto"/>
              <w:rPr>
                <w:rFonts w:cs="Times New Roman"/>
                <w:color w:val="000000"/>
                <w:szCs w:val="24"/>
              </w:rPr>
            </w:pPr>
            <w:r>
              <w:rPr>
                <w:rFonts w:cs="Times New Roman"/>
                <w:color w:val="000000"/>
                <w:szCs w:val="24"/>
              </w:rPr>
              <w:t>Perkins (J</w:t>
            </w:r>
            <w:r w:rsidR="00A02EC0" w:rsidRPr="00127633">
              <w:rPr>
                <w:rFonts w:cs="Times New Roman"/>
                <w:color w:val="000000"/>
                <w:szCs w:val="24"/>
              </w:rPr>
              <w:t>ii)</w:t>
            </w:r>
          </w:p>
        </w:tc>
        <w:tc>
          <w:tcPr>
            <w:tcW w:w="1438" w:type="dxa"/>
            <w:vAlign w:val="bottom"/>
          </w:tcPr>
          <w:p w14:paraId="790B246C"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32</w:t>
            </w:r>
          </w:p>
        </w:tc>
        <w:tc>
          <w:tcPr>
            <w:tcW w:w="1438" w:type="dxa"/>
            <w:vAlign w:val="bottom"/>
          </w:tcPr>
          <w:p w14:paraId="3B813174"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8,880.00 </w:t>
            </w:r>
          </w:p>
        </w:tc>
        <w:tc>
          <w:tcPr>
            <w:tcW w:w="1438" w:type="dxa"/>
            <w:vAlign w:val="bottom"/>
          </w:tcPr>
          <w:p w14:paraId="66531078"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3,700,000</w:t>
            </w:r>
          </w:p>
        </w:tc>
        <w:tc>
          <w:tcPr>
            <w:tcW w:w="1439" w:type="dxa"/>
            <w:vAlign w:val="bottom"/>
          </w:tcPr>
          <w:p w14:paraId="1BABC9ED"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115,625.00 </w:t>
            </w:r>
          </w:p>
        </w:tc>
        <w:tc>
          <w:tcPr>
            <w:tcW w:w="1439" w:type="dxa"/>
            <w:vAlign w:val="bottom"/>
          </w:tcPr>
          <w:p w14:paraId="286E4604"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277.50 </w:t>
            </w:r>
          </w:p>
        </w:tc>
      </w:tr>
      <w:tr w:rsidR="00A02EC0" w14:paraId="384EFF67" w14:textId="77777777" w:rsidTr="00356713">
        <w:tc>
          <w:tcPr>
            <w:tcW w:w="1438" w:type="dxa"/>
            <w:vAlign w:val="bottom"/>
          </w:tcPr>
          <w:p w14:paraId="4E6FC184" w14:textId="47595C00" w:rsidR="00A02EC0" w:rsidRPr="00127633" w:rsidRDefault="00A02EC0" w:rsidP="005B59B3">
            <w:pPr>
              <w:spacing w:line="240" w:lineRule="auto"/>
              <w:rPr>
                <w:rFonts w:cs="Times New Roman"/>
                <w:color w:val="000000"/>
                <w:szCs w:val="24"/>
              </w:rPr>
            </w:pPr>
            <w:r w:rsidRPr="00127633">
              <w:rPr>
                <w:rFonts w:cs="Times New Roman"/>
                <w:color w:val="000000"/>
                <w:szCs w:val="24"/>
              </w:rPr>
              <w:t>Perkins (</w:t>
            </w:r>
            <w:r w:rsidR="005B59B3">
              <w:rPr>
                <w:rFonts w:cs="Times New Roman"/>
                <w:color w:val="000000"/>
                <w:szCs w:val="24"/>
              </w:rPr>
              <w:t>J</w:t>
            </w:r>
            <w:r w:rsidRPr="00127633">
              <w:rPr>
                <w:rFonts w:cs="Times New Roman"/>
                <w:color w:val="000000"/>
                <w:szCs w:val="24"/>
              </w:rPr>
              <w:t>iji)</w:t>
            </w:r>
          </w:p>
        </w:tc>
        <w:tc>
          <w:tcPr>
            <w:tcW w:w="1438" w:type="dxa"/>
            <w:vAlign w:val="bottom"/>
          </w:tcPr>
          <w:p w14:paraId="305FBC05"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12</w:t>
            </w:r>
          </w:p>
        </w:tc>
        <w:tc>
          <w:tcPr>
            <w:tcW w:w="1438" w:type="dxa"/>
            <w:vAlign w:val="bottom"/>
          </w:tcPr>
          <w:p w14:paraId="63BCE833"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6,480.00 </w:t>
            </w:r>
          </w:p>
        </w:tc>
        <w:tc>
          <w:tcPr>
            <w:tcW w:w="1438" w:type="dxa"/>
            <w:vAlign w:val="bottom"/>
          </w:tcPr>
          <w:p w14:paraId="6124EB4E"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2,700,000</w:t>
            </w:r>
          </w:p>
        </w:tc>
        <w:tc>
          <w:tcPr>
            <w:tcW w:w="1439" w:type="dxa"/>
            <w:vAlign w:val="bottom"/>
          </w:tcPr>
          <w:p w14:paraId="6063F610"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225,000.00 </w:t>
            </w:r>
          </w:p>
        </w:tc>
        <w:tc>
          <w:tcPr>
            <w:tcW w:w="1439" w:type="dxa"/>
            <w:vAlign w:val="bottom"/>
          </w:tcPr>
          <w:p w14:paraId="75E39EC6"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540.00 </w:t>
            </w:r>
          </w:p>
        </w:tc>
      </w:tr>
      <w:tr w:rsidR="00A02EC0" w14:paraId="0160A38B" w14:textId="77777777" w:rsidTr="00356713">
        <w:tc>
          <w:tcPr>
            <w:tcW w:w="1438" w:type="dxa"/>
            <w:vAlign w:val="bottom"/>
          </w:tcPr>
          <w:p w14:paraId="49A8D46E" w14:textId="3C8C3B32" w:rsidR="00A02EC0" w:rsidRPr="00127633" w:rsidRDefault="00A02EC0" w:rsidP="005B59B3">
            <w:pPr>
              <w:spacing w:line="240" w:lineRule="auto"/>
              <w:rPr>
                <w:rFonts w:cs="Times New Roman"/>
                <w:color w:val="000000"/>
                <w:szCs w:val="24"/>
              </w:rPr>
            </w:pPr>
            <w:r w:rsidRPr="00127633">
              <w:rPr>
                <w:rFonts w:cs="Times New Roman"/>
                <w:color w:val="000000"/>
                <w:szCs w:val="24"/>
              </w:rPr>
              <w:t>Perkins (</w:t>
            </w:r>
            <w:r w:rsidR="005B59B3">
              <w:rPr>
                <w:rFonts w:cs="Times New Roman"/>
                <w:color w:val="000000"/>
                <w:szCs w:val="24"/>
              </w:rPr>
              <w:t>J</w:t>
            </w:r>
            <w:r w:rsidRPr="00127633">
              <w:rPr>
                <w:rFonts w:cs="Times New Roman"/>
                <w:color w:val="000000"/>
                <w:szCs w:val="24"/>
              </w:rPr>
              <w:t>iji)</w:t>
            </w:r>
          </w:p>
        </w:tc>
        <w:tc>
          <w:tcPr>
            <w:tcW w:w="1438" w:type="dxa"/>
            <w:vAlign w:val="bottom"/>
          </w:tcPr>
          <w:p w14:paraId="6CEA5AC6"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24</w:t>
            </w:r>
          </w:p>
        </w:tc>
        <w:tc>
          <w:tcPr>
            <w:tcW w:w="1438" w:type="dxa"/>
            <w:vAlign w:val="bottom"/>
          </w:tcPr>
          <w:p w14:paraId="75A93D76"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7,440.00 </w:t>
            </w:r>
          </w:p>
        </w:tc>
        <w:tc>
          <w:tcPr>
            <w:tcW w:w="1438" w:type="dxa"/>
            <w:vAlign w:val="bottom"/>
          </w:tcPr>
          <w:p w14:paraId="78A7C87B"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3,100,000</w:t>
            </w:r>
          </w:p>
        </w:tc>
        <w:tc>
          <w:tcPr>
            <w:tcW w:w="1439" w:type="dxa"/>
            <w:vAlign w:val="bottom"/>
          </w:tcPr>
          <w:p w14:paraId="57C3172F"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129,166.67 </w:t>
            </w:r>
          </w:p>
        </w:tc>
        <w:tc>
          <w:tcPr>
            <w:tcW w:w="1439" w:type="dxa"/>
            <w:vAlign w:val="bottom"/>
          </w:tcPr>
          <w:p w14:paraId="725D53B1"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310.00 </w:t>
            </w:r>
          </w:p>
        </w:tc>
      </w:tr>
      <w:tr w:rsidR="00A02EC0" w14:paraId="2CFBC08E" w14:textId="77777777" w:rsidTr="00356713">
        <w:tc>
          <w:tcPr>
            <w:tcW w:w="1438" w:type="dxa"/>
            <w:vAlign w:val="bottom"/>
          </w:tcPr>
          <w:p w14:paraId="736EB0E2" w14:textId="1D11586D" w:rsidR="00A02EC0" w:rsidRPr="00127633" w:rsidRDefault="00A02EC0" w:rsidP="005B59B3">
            <w:pPr>
              <w:spacing w:line="240" w:lineRule="auto"/>
              <w:rPr>
                <w:rFonts w:cs="Times New Roman"/>
                <w:color w:val="000000"/>
                <w:szCs w:val="24"/>
              </w:rPr>
            </w:pPr>
            <w:r w:rsidRPr="00127633">
              <w:rPr>
                <w:rFonts w:cs="Times New Roman"/>
                <w:color w:val="000000"/>
                <w:szCs w:val="24"/>
              </w:rPr>
              <w:t>Perkins (</w:t>
            </w:r>
            <w:r w:rsidR="005B59B3">
              <w:rPr>
                <w:rFonts w:cs="Times New Roman"/>
                <w:color w:val="000000"/>
                <w:szCs w:val="24"/>
              </w:rPr>
              <w:t>J</w:t>
            </w:r>
            <w:r w:rsidRPr="00127633">
              <w:rPr>
                <w:rFonts w:cs="Times New Roman"/>
                <w:color w:val="000000"/>
                <w:szCs w:val="24"/>
              </w:rPr>
              <w:t>iji)</w:t>
            </w:r>
          </w:p>
        </w:tc>
        <w:tc>
          <w:tcPr>
            <w:tcW w:w="1438" w:type="dxa"/>
            <w:vAlign w:val="bottom"/>
          </w:tcPr>
          <w:p w14:paraId="7884C071"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280</w:t>
            </w:r>
          </w:p>
        </w:tc>
        <w:tc>
          <w:tcPr>
            <w:tcW w:w="1438" w:type="dxa"/>
            <w:vAlign w:val="bottom"/>
          </w:tcPr>
          <w:p w14:paraId="17D79B7A"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34,800.00 </w:t>
            </w:r>
          </w:p>
        </w:tc>
        <w:tc>
          <w:tcPr>
            <w:tcW w:w="1438" w:type="dxa"/>
            <w:vAlign w:val="bottom"/>
          </w:tcPr>
          <w:p w14:paraId="45744481"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14,500,000</w:t>
            </w:r>
          </w:p>
        </w:tc>
        <w:tc>
          <w:tcPr>
            <w:tcW w:w="1439" w:type="dxa"/>
            <w:vAlign w:val="bottom"/>
          </w:tcPr>
          <w:p w14:paraId="1874D0A6"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51,785.71 </w:t>
            </w:r>
          </w:p>
        </w:tc>
        <w:tc>
          <w:tcPr>
            <w:tcW w:w="1439" w:type="dxa"/>
            <w:vAlign w:val="bottom"/>
          </w:tcPr>
          <w:p w14:paraId="5475243B"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124.29 </w:t>
            </w:r>
          </w:p>
        </w:tc>
      </w:tr>
      <w:tr w:rsidR="00A02EC0" w14:paraId="0E2F2217" w14:textId="77777777" w:rsidTr="00356713">
        <w:tc>
          <w:tcPr>
            <w:tcW w:w="1438" w:type="dxa"/>
            <w:vAlign w:val="bottom"/>
          </w:tcPr>
          <w:p w14:paraId="5116C840" w14:textId="016A8253" w:rsidR="00A02EC0" w:rsidRPr="00127633" w:rsidRDefault="00A02EC0" w:rsidP="005B59B3">
            <w:pPr>
              <w:spacing w:line="240" w:lineRule="auto"/>
              <w:rPr>
                <w:rFonts w:cs="Times New Roman"/>
                <w:color w:val="000000"/>
                <w:szCs w:val="24"/>
              </w:rPr>
            </w:pPr>
            <w:r w:rsidRPr="00127633">
              <w:rPr>
                <w:rFonts w:cs="Times New Roman"/>
                <w:color w:val="000000"/>
                <w:szCs w:val="24"/>
              </w:rPr>
              <w:t>Perkins (</w:t>
            </w:r>
            <w:r w:rsidR="005B59B3">
              <w:rPr>
                <w:rFonts w:cs="Times New Roman"/>
                <w:color w:val="000000"/>
                <w:szCs w:val="24"/>
              </w:rPr>
              <w:t>J</w:t>
            </w:r>
            <w:r w:rsidRPr="00127633">
              <w:rPr>
                <w:rFonts w:cs="Times New Roman"/>
                <w:color w:val="000000"/>
                <w:szCs w:val="24"/>
              </w:rPr>
              <w:t>iji)</w:t>
            </w:r>
          </w:p>
        </w:tc>
        <w:tc>
          <w:tcPr>
            <w:tcW w:w="1438" w:type="dxa"/>
            <w:vAlign w:val="bottom"/>
          </w:tcPr>
          <w:p w14:paraId="720D0FB8"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8</w:t>
            </w:r>
          </w:p>
        </w:tc>
        <w:tc>
          <w:tcPr>
            <w:tcW w:w="1438" w:type="dxa"/>
            <w:vAlign w:val="bottom"/>
          </w:tcPr>
          <w:p w14:paraId="7A210931"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5,760.00 </w:t>
            </w:r>
          </w:p>
        </w:tc>
        <w:tc>
          <w:tcPr>
            <w:tcW w:w="1438" w:type="dxa"/>
            <w:vAlign w:val="bottom"/>
          </w:tcPr>
          <w:p w14:paraId="606A86AC"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2,400,000</w:t>
            </w:r>
          </w:p>
        </w:tc>
        <w:tc>
          <w:tcPr>
            <w:tcW w:w="1439" w:type="dxa"/>
            <w:vAlign w:val="bottom"/>
          </w:tcPr>
          <w:p w14:paraId="71BD67A5"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300,000.00 </w:t>
            </w:r>
          </w:p>
        </w:tc>
        <w:tc>
          <w:tcPr>
            <w:tcW w:w="1439" w:type="dxa"/>
            <w:vAlign w:val="bottom"/>
          </w:tcPr>
          <w:p w14:paraId="0A3E2C1E"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720.00 </w:t>
            </w:r>
          </w:p>
        </w:tc>
      </w:tr>
      <w:tr w:rsidR="00A02EC0" w14:paraId="0D1993A3" w14:textId="77777777" w:rsidTr="00356713">
        <w:tc>
          <w:tcPr>
            <w:tcW w:w="1438" w:type="dxa"/>
            <w:vAlign w:val="bottom"/>
          </w:tcPr>
          <w:p w14:paraId="413B7FC2" w14:textId="3FAF2DD5" w:rsidR="00A02EC0" w:rsidRPr="00127633" w:rsidRDefault="00A02EC0" w:rsidP="005B59B3">
            <w:pPr>
              <w:spacing w:line="240" w:lineRule="auto"/>
              <w:rPr>
                <w:rFonts w:cs="Times New Roman"/>
                <w:color w:val="000000"/>
                <w:szCs w:val="24"/>
              </w:rPr>
            </w:pPr>
            <w:r w:rsidRPr="00127633">
              <w:rPr>
                <w:rFonts w:cs="Times New Roman"/>
                <w:color w:val="000000"/>
                <w:szCs w:val="24"/>
              </w:rPr>
              <w:t>Kemage (</w:t>
            </w:r>
            <w:r w:rsidR="005B59B3">
              <w:rPr>
                <w:rFonts w:cs="Times New Roman"/>
                <w:color w:val="000000"/>
                <w:szCs w:val="24"/>
              </w:rPr>
              <w:t>J</w:t>
            </w:r>
            <w:r w:rsidRPr="00127633">
              <w:rPr>
                <w:rFonts w:cs="Times New Roman"/>
                <w:color w:val="000000"/>
                <w:szCs w:val="24"/>
              </w:rPr>
              <w:t>iji)</w:t>
            </w:r>
          </w:p>
        </w:tc>
        <w:tc>
          <w:tcPr>
            <w:tcW w:w="1438" w:type="dxa"/>
            <w:vAlign w:val="bottom"/>
          </w:tcPr>
          <w:p w14:paraId="22A1002F"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8</w:t>
            </w:r>
          </w:p>
        </w:tc>
        <w:tc>
          <w:tcPr>
            <w:tcW w:w="1438" w:type="dxa"/>
            <w:vAlign w:val="bottom"/>
          </w:tcPr>
          <w:p w14:paraId="1590C239"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2,016.00 </w:t>
            </w:r>
          </w:p>
        </w:tc>
        <w:tc>
          <w:tcPr>
            <w:tcW w:w="1438" w:type="dxa"/>
            <w:vAlign w:val="bottom"/>
          </w:tcPr>
          <w:p w14:paraId="6D77D28E"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840,000</w:t>
            </w:r>
          </w:p>
        </w:tc>
        <w:tc>
          <w:tcPr>
            <w:tcW w:w="1439" w:type="dxa"/>
            <w:vAlign w:val="bottom"/>
          </w:tcPr>
          <w:p w14:paraId="28D5873A"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105,000.00 </w:t>
            </w:r>
          </w:p>
        </w:tc>
        <w:tc>
          <w:tcPr>
            <w:tcW w:w="1439" w:type="dxa"/>
            <w:vAlign w:val="bottom"/>
          </w:tcPr>
          <w:p w14:paraId="22B17671"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252.00 </w:t>
            </w:r>
          </w:p>
        </w:tc>
      </w:tr>
      <w:tr w:rsidR="00A02EC0" w14:paraId="72CEA0DE" w14:textId="77777777" w:rsidTr="00356713">
        <w:tc>
          <w:tcPr>
            <w:tcW w:w="1438" w:type="dxa"/>
            <w:vAlign w:val="bottom"/>
          </w:tcPr>
          <w:p w14:paraId="29418BBD" w14:textId="19EA7B68" w:rsidR="00A02EC0" w:rsidRPr="00127633" w:rsidRDefault="00A02EC0" w:rsidP="005B59B3">
            <w:pPr>
              <w:spacing w:line="240" w:lineRule="auto"/>
              <w:rPr>
                <w:rFonts w:cs="Times New Roman"/>
                <w:color w:val="000000"/>
                <w:szCs w:val="24"/>
              </w:rPr>
            </w:pPr>
            <w:r w:rsidRPr="00127633">
              <w:rPr>
                <w:rFonts w:cs="Times New Roman"/>
                <w:color w:val="000000"/>
                <w:szCs w:val="24"/>
              </w:rPr>
              <w:t>Sumec Firman (</w:t>
            </w:r>
            <w:r w:rsidR="005B59B3">
              <w:rPr>
                <w:rFonts w:cs="Times New Roman"/>
                <w:color w:val="000000"/>
                <w:szCs w:val="24"/>
              </w:rPr>
              <w:t>J</w:t>
            </w:r>
            <w:r w:rsidRPr="00127633">
              <w:rPr>
                <w:rFonts w:cs="Times New Roman"/>
                <w:color w:val="000000"/>
                <w:szCs w:val="24"/>
              </w:rPr>
              <w:t>iji)</w:t>
            </w:r>
          </w:p>
        </w:tc>
        <w:tc>
          <w:tcPr>
            <w:tcW w:w="1438" w:type="dxa"/>
            <w:vAlign w:val="bottom"/>
          </w:tcPr>
          <w:p w14:paraId="529A9BFD"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8</w:t>
            </w:r>
          </w:p>
        </w:tc>
        <w:tc>
          <w:tcPr>
            <w:tcW w:w="1438" w:type="dxa"/>
            <w:vAlign w:val="bottom"/>
          </w:tcPr>
          <w:p w14:paraId="105F19F2"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750,000.00 </w:t>
            </w:r>
          </w:p>
        </w:tc>
        <w:tc>
          <w:tcPr>
            <w:tcW w:w="1438" w:type="dxa"/>
            <w:vAlign w:val="bottom"/>
          </w:tcPr>
          <w:p w14:paraId="2B731502"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750,000</w:t>
            </w:r>
          </w:p>
        </w:tc>
        <w:tc>
          <w:tcPr>
            <w:tcW w:w="1439" w:type="dxa"/>
            <w:vAlign w:val="bottom"/>
          </w:tcPr>
          <w:p w14:paraId="78F9BB20"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93,750.00 </w:t>
            </w:r>
          </w:p>
        </w:tc>
        <w:tc>
          <w:tcPr>
            <w:tcW w:w="1439" w:type="dxa"/>
            <w:vAlign w:val="bottom"/>
          </w:tcPr>
          <w:p w14:paraId="1F8CACD1"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225.00 </w:t>
            </w:r>
          </w:p>
        </w:tc>
      </w:tr>
      <w:tr w:rsidR="00A02EC0" w14:paraId="6E74A4BD" w14:textId="77777777" w:rsidTr="00356713">
        <w:tc>
          <w:tcPr>
            <w:tcW w:w="1438" w:type="dxa"/>
            <w:vAlign w:val="bottom"/>
          </w:tcPr>
          <w:p w14:paraId="7BFE67C5" w14:textId="77777777" w:rsidR="00A02EC0" w:rsidRPr="008B2D88" w:rsidRDefault="00A02EC0" w:rsidP="00356713">
            <w:pPr>
              <w:spacing w:line="240" w:lineRule="auto"/>
              <w:rPr>
                <w:rFonts w:cs="Times New Roman"/>
                <w:b/>
                <w:color w:val="000000"/>
                <w:szCs w:val="24"/>
              </w:rPr>
            </w:pPr>
            <w:r w:rsidRPr="008B2D88">
              <w:rPr>
                <w:rFonts w:cs="Times New Roman"/>
                <w:b/>
                <w:color w:val="000000"/>
                <w:szCs w:val="24"/>
              </w:rPr>
              <w:t>Mikano (direct quote)</w:t>
            </w:r>
          </w:p>
        </w:tc>
        <w:tc>
          <w:tcPr>
            <w:tcW w:w="1438" w:type="dxa"/>
            <w:vAlign w:val="bottom"/>
          </w:tcPr>
          <w:p w14:paraId="69DFEBF9"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80</w:t>
            </w:r>
          </w:p>
        </w:tc>
        <w:tc>
          <w:tcPr>
            <w:tcW w:w="1438" w:type="dxa"/>
            <w:vAlign w:val="bottom"/>
          </w:tcPr>
          <w:p w14:paraId="4E6C8F97"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25,973.68 </w:t>
            </w:r>
          </w:p>
        </w:tc>
        <w:tc>
          <w:tcPr>
            <w:tcW w:w="1438" w:type="dxa"/>
            <w:vAlign w:val="bottom"/>
          </w:tcPr>
          <w:p w14:paraId="35CD6F6B"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10,822,366.00 </w:t>
            </w:r>
          </w:p>
        </w:tc>
        <w:tc>
          <w:tcPr>
            <w:tcW w:w="1439" w:type="dxa"/>
            <w:vAlign w:val="bottom"/>
          </w:tcPr>
          <w:p w14:paraId="2538345D"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135,279.58 </w:t>
            </w:r>
          </w:p>
        </w:tc>
        <w:tc>
          <w:tcPr>
            <w:tcW w:w="1439" w:type="dxa"/>
            <w:vAlign w:val="bottom"/>
          </w:tcPr>
          <w:p w14:paraId="783D9B1D"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324.67 </w:t>
            </w:r>
          </w:p>
        </w:tc>
      </w:tr>
      <w:tr w:rsidR="00A02EC0" w14:paraId="15CD410D" w14:textId="77777777" w:rsidTr="00356713">
        <w:tc>
          <w:tcPr>
            <w:tcW w:w="1438" w:type="dxa"/>
            <w:vAlign w:val="bottom"/>
          </w:tcPr>
          <w:p w14:paraId="0BE0D495" w14:textId="77777777" w:rsidR="00A02EC0" w:rsidRPr="008B2D88" w:rsidRDefault="00A02EC0" w:rsidP="00356713">
            <w:pPr>
              <w:spacing w:line="240" w:lineRule="auto"/>
              <w:rPr>
                <w:rFonts w:cs="Times New Roman"/>
                <w:b/>
                <w:color w:val="000000"/>
                <w:szCs w:val="24"/>
              </w:rPr>
            </w:pPr>
            <w:r w:rsidRPr="008B2D88">
              <w:rPr>
                <w:rFonts w:cs="Times New Roman"/>
                <w:b/>
                <w:color w:val="000000"/>
                <w:szCs w:val="24"/>
              </w:rPr>
              <w:t>Mikano (direct quote)</w:t>
            </w:r>
          </w:p>
        </w:tc>
        <w:tc>
          <w:tcPr>
            <w:tcW w:w="1438" w:type="dxa"/>
            <w:vAlign w:val="bottom"/>
          </w:tcPr>
          <w:p w14:paraId="4B481D96"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400</w:t>
            </w:r>
          </w:p>
        </w:tc>
        <w:tc>
          <w:tcPr>
            <w:tcW w:w="1438" w:type="dxa"/>
            <w:vAlign w:val="bottom"/>
          </w:tcPr>
          <w:p w14:paraId="28A3EBF2"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81238.224</w:t>
            </w:r>
          </w:p>
        </w:tc>
        <w:tc>
          <w:tcPr>
            <w:tcW w:w="1438" w:type="dxa"/>
            <w:vAlign w:val="bottom"/>
          </w:tcPr>
          <w:p w14:paraId="339F5E55" w14:textId="77777777" w:rsidR="00A02EC0" w:rsidRPr="00127633" w:rsidRDefault="00A02EC0" w:rsidP="00356713">
            <w:pPr>
              <w:spacing w:line="240" w:lineRule="auto"/>
              <w:jc w:val="right"/>
              <w:rPr>
                <w:rFonts w:cs="Times New Roman"/>
                <w:color w:val="000000"/>
                <w:szCs w:val="24"/>
              </w:rPr>
            </w:pPr>
            <w:r w:rsidRPr="00127633">
              <w:rPr>
                <w:rFonts w:cs="Times New Roman"/>
                <w:color w:val="000000"/>
                <w:szCs w:val="24"/>
              </w:rPr>
              <w:t>33,849,260</w:t>
            </w:r>
          </w:p>
        </w:tc>
        <w:tc>
          <w:tcPr>
            <w:tcW w:w="1439" w:type="dxa"/>
            <w:vAlign w:val="bottom"/>
          </w:tcPr>
          <w:p w14:paraId="03F2BE4C" w14:textId="77777777" w:rsidR="00A02EC0" w:rsidRPr="00127633" w:rsidRDefault="00A02EC0" w:rsidP="00356713">
            <w:pPr>
              <w:spacing w:line="240" w:lineRule="auto"/>
              <w:jc w:val="left"/>
              <w:rPr>
                <w:rFonts w:cs="Times New Roman"/>
                <w:color w:val="000000"/>
                <w:szCs w:val="24"/>
              </w:rPr>
            </w:pPr>
            <w:r w:rsidRPr="00127633">
              <w:rPr>
                <w:rFonts w:cs="Times New Roman"/>
                <w:color w:val="000000"/>
                <w:szCs w:val="24"/>
              </w:rPr>
              <w:t xml:space="preserve">                         84,623.15 </w:t>
            </w:r>
          </w:p>
        </w:tc>
        <w:tc>
          <w:tcPr>
            <w:tcW w:w="1439" w:type="dxa"/>
            <w:vAlign w:val="bottom"/>
          </w:tcPr>
          <w:p w14:paraId="127B0DCE" w14:textId="77777777" w:rsidR="00A02EC0" w:rsidRPr="00127633" w:rsidRDefault="00A02EC0" w:rsidP="00356713">
            <w:pPr>
              <w:spacing w:line="240" w:lineRule="auto"/>
              <w:rPr>
                <w:rFonts w:cs="Times New Roman"/>
                <w:color w:val="000000"/>
                <w:szCs w:val="24"/>
              </w:rPr>
            </w:pPr>
            <w:r w:rsidRPr="00127633">
              <w:rPr>
                <w:rFonts w:cs="Times New Roman"/>
                <w:color w:val="000000"/>
                <w:szCs w:val="24"/>
              </w:rPr>
              <w:t xml:space="preserve">                                 203.10 </w:t>
            </w:r>
          </w:p>
        </w:tc>
      </w:tr>
    </w:tbl>
    <w:p w14:paraId="7E453F73" w14:textId="77777777" w:rsidR="00A02EC0" w:rsidRDefault="00A02EC0" w:rsidP="00A02EC0">
      <w:pPr>
        <w:spacing w:line="480" w:lineRule="auto"/>
        <w:rPr>
          <w:lang w:val="en-US"/>
        </w:rPr>
      </w:pPr>
    </w:p>
    <w:p w14:paraId="41A013AA" w14:textId="5EBC0938" w:rsidR="00A02EC0" w:rsidRPr="00F513C6" w:rsidRDefault="00355B41" w:rsidP="00A02EC0">
      <w:pPr>
        <w:spacing w:line="480" w:lineRule="auto"/>
        <w:jc w:val="center"/>
        <w:rPr>
          <w:rFonts w:asciiTheme="minorHAnsi" w:hAnsiTheme="minorHAnsi"/>
          <w:b/>
          <w:sz w:val="22"/>
          <w:lang w:val="en-US"/>
        </w:rPr>
      </w:pPr>
      <w:r>
        <w:rPr>
          <w:b/>
          <w:lang w:val="en-US"/>
        </w:rPr>
        <w:t>Table 3.2</w:t>
      </w:r>
      <w:r w:rsidR="00A02EC0" w:rsidRPr="00F513C6">
        <w:rPr>
          <w:b/>
          <w:lang w:val="en-US"/>
        </w:rPr>
        <w:t xml:space="preserve"> – Official Exchange rate at research time in April 2022</w:t>
      </w:r>
      <w:r w:rsidR="00A02EC0">
        <w:rPr>
          <w:b/>
          <w:lang w:val="en-US"/>
        </w:rPr>
        <w:fldChar w:fldCharType="begin"/>
      </w:r>
      <w:r w:rsidR="00A02EC0" w:rsidRPr="00F513C6">
        <w:rPr>
          <w:b/>
          <w:lang w:val="en-US"/>
        </w:rPr>
        <w:instrText xml:space="preserve"> LINK </w:instrText>
      </w:r>
      <w:r w:rsidR="00D77E3F">
        <w:rPr>
          <w:b/>
          <w:lang w:val="en-US"/>
        </w:rPr>
        <w:instrText xml:space="preserve">Excel.Sheet.12 "C:\\Users\\oyinl\\Desktop\\EIE\\Power System Stability\\Proposal Elements\\Load Data\\Equipment Costs.xlsx" Generators!R8C10:R10C11 </w:instrText>
      </w:r>
      <w:r w:rsidR="00A02EC0" w:rsidRPr="00F513C6">
        <w:rPr>
          <w:b/>
          <w:lang w:val="en-US"/>
        </w:rPr>
        <w:instrText xml:space="preserve">\a \f 5 \h  \* MERGEFORMAT </w:instrText>
      </w:r>
      <w:r w:rsidR="00A02EC0">
        <w:rPr>
          <w:b/>
          <w:lang w:val="en-US"/>
        </w:rPr>
        <w:fldChar w:fldCharType="separate"/>
      </w:r>
    </w:p>
    <w:tbl>
      <w:tblPr>
        <w:tblW w:w="5088" w:type="dxa"/>
        <w:jc w:val="center"/>
        <w:tblLook w:val="04A0" w:firstRow="1" w:lastRow="0" w:firstColumn="1" w:lastColumn="0" w:noHBand="0" w:noVBand="1"/>
      </w:tblPr>
      <w:tblGrid>
        <w:gridCol w:w="2641"/>
        <w:gridCol w:w="2447"/>
      </w:tblGrid>
      <w:tr w:rsidR="00A02EC0" w:rsidRPr="008B2D88" w14:paraId="115F9FE3" w14:textId="77777777" w:rsidTr="00356713">
        <w:trPr>
          <w:trHeight w:val="261"/>
          <w:jc w:val="center"/>
        </w:trPr>
        <w:tc>
          <w:tcPr>
            <w:tcW w:w="2641" w:type="dxa"/>
            <w:tcBorders>
              <w:top w:val="single" w:sz="4" w:space="0" w:color="auto"/>
              <w:bottom w:val="single" w:sz="4" w:space="0" w:color="auto"/>
            </w:tcBorders>
            <w:noWrap/>
            <w:hideMark/>
          </w:tcPr>
          <w:p w14:paraId="351F4862" w14:textId="77777777" w:rsidR="00A02EC0" w:rsidRPr="008B2D88" w:rsidRDefault="00A02EC0" w:rsidP="00356713">
            <w:pPr>
              <w:spacing w:line="240" w:lineRule="auto"/>
              <w:jc w:val="center"/>
            </w:pPr>
            <w:r w:rsidRPr="008B2D88">
              <w:t>Dollar to Naira</w:t>
            </w:r>
          </w:p>
        </w:tc>
        <w:tc>
          <w:tcPr>
            <w:tcW w:w="2447" w:type="dxa"/>
            <w:tcBorders>
              <w:top w:val="single" w:sz="4" w:space="0" w:color="auto"/>
              <w:bottom w:val="single" w:sz="4" w:space="0" w:color="auto"/>
            </w:tcBorders>
            <w:noWrap/>
            <w:hideMark/>
          </w:tcPr>
          <w:p w14:paraId="0C28B976" w14:textId="77777777" w:rsidR="00A02EC0" w:rsidRPr="008B2D88" w:rsidRDefault="00A02EC0" w:rsidP="00356713">
            <w:pPr>
              <w:spacing w:line="240" w:lineRule="auto"/>
              <w:jc w:val="center"/>
            </w:pPr>
            <w:r w:rsidRPr="008B2D88">
              <w:t>Naira to Dollar</w:t>
            </w:r>
          </w:p>
        </w:tc>
      </w:tr>
      <w:tr w:rsidR="00A02EC0" w:rsidRPr="008B2D88" w14:paraId="30CBA76F" w14:textId="77777777" w:rsidTr="00356713">
        <w:trPr>
          <w:trHeight w:val="261"/>
          <w:jc w:val="center"/>
        </w:trPr>
        <w:tc>
          <w:tcPr>
            <w:tcW w:w="2641" w:type="dxa"/>
            <w:tcBorders>
              <w:top w:val="single" w:sz="4" w:space="0" w:color="auto"/>
            </w:tcBorders>
            <w:noWrap/>
            <w:hideMark/>
          </w:tcPr>
          <w:p w14:paraId="1C858DE6" w14:textId="77777777" w:rsidR="00A02EC0" w:rsidRPr="008B2D88" w:rsidRDefault="00A02EC0" w:rsidP="00356713">
            <w:pPr>
              <w:spacing w:line="240" w:lineRule="auto"/>
              <w:jc w:val="center"/>
            </w:pPr>
            <w:r w:rsidRPr="008B2D88">
              <w:t>1</w:t>
            </w:r>
          </w:p>
        </w:tc>
        <w:tc>
          <w:tcPr>
            <w:tcW w:w="2447" w:type="dxa"/>
            <w:tcBorders>
              <w:top w:val="single" w:sz="4" w:space="0" w:color="auto"/>
            </w:tcBorders>
            <w:noWrap/>
            <w:hideMark/>
          </w:tcPr>
          <w:p w14:paraId="4AA18081" w14:textId="77777777" w:rsidR="00A02EC0" w:rsidRPr="008B2D88" w:rsidRDefault="00A02EC0" w:rsidP="00356713">
            <w:pPr>
              <w:spacing w:line="240" w:lineRule="auto"/>
              <w:jc w:val="center"/>
            </w:pPr>
            <w:r w:rsidRPr="008B2D88">
              <w:t>1</w:t>
            </w:r>
          </w:p>
        </w:tc>
      </w:tr>
      <w:tr w:rsidR="00A02EC0" w:rsidRPr="008B2D88" w14:paraId="1915E173" w14:textId="77777777" w:rsidTr="00356713">
        <w:trPr>
          <w:trHeight w:val="261"/>
          <w:jc w:val="center"/>
        </w:trPr>
        <w:tc>
          <w:tcPr>
            <w:tcW w:w="2641" w:type="dxa"/>
            <w:noWrap/>
            <w:hideMark/>
          </w:tcPr>
          <w:p w14:paraId="0FE32D9C" w14:textId="77777777" w:rsidR="00A02EC0" w:rsidRPr="008B2D88" w:rsidRDefault="00A02EC0" w:rsidP="00356713">
            <w:pPr>
              <w:spacing w:line="240" w:lineRule="auto"/>
              <w:jc w:val="center"/>
            </w:pPr>
            <w:r w:rsidRPr="008B2D88">
              <w:t>415.72</w:t>
            </w:r>
          </w:p>
        </w:tc>
        <w:tc>
          <w:tcPr>
            <w:tcW w:w="2447" w:type="dxa"/>
            <w:noWrap/>
            <w:hideMark/>
          </w:tcPr>
          <w:p w14:paraId="19597CCF" w14:textId="77777777" w:rsidR="00A02EC0" w:rsidRPr="008B2D88" w:rsidRDefault="00A02EC0" w:rsidP="00356713">
            <w:pPr>
              <w:spacing w:line="240" w:lineRule="auto"/>
              <w:jc w:val="center"/>
            </w:pPr>
            <w:r w:rsidRPr="008B2D88">
              <w:t>0.0024</w:t>
            </w:r>
          </w:p>
        </w:tc>
      </w:tr>
    </w:tbl>
    <w:p w14:paraId="44ADC291" w14:textId="7776C0DB" w:rsidR="00A02EC0" w:rsidRPr="0094678E" w:rsidRDefault="00A02EC0" w:rsidP="00345414">
      <w:pPr>
        <w:rPr>
          <w:lang w:val="en-US"/>
        </w:rPr>
      </w:pPr>
      <w:r>
        <w:rPr>
          <w:lang w:val="en-US"/>
        </w:rPr>
        <w:fldChar w:fldCharType="end"/>
      </w:r>
    </w:p>
    <w:p w14:paraId="4165799D" w14:textId="6C6E826D" w:rsidR="007C5609" w:rsidRDefault="0094678E" w:rsidP="00F03645">
      <w:pPr>
        <w:pStyle w:val="Heading3"/>
        <w:spacing w:line="480" w:lineRule="auto"/>
      </w:pPr>
      <w:bookmarkStart w:id="45" w:name="_Toc110502583"/>
      <w:r>
        <w:t>3.3</w:t>
      </w:r>
      <w:r w:rsidR="004B7FDA">
        <w:tab/>
      </w:r>
      <w:r w:rsidR="007C5609">
        <w:t>DYNAMIC MODELLING OF SYSTEM COMPONENTS</w:t>
      </w:r>
      <w:bookmarkEnd w:id="45"/>
    </w:p>
    <w:p w14:paraId="4A0ABBC6" w14:textId="5882F12F" w:rsidR="007C5609" w:rsidRDefault="00270E58" w:rsidP="00F03645">
      <w:pPr>
        <w:pStyle w:val="Heading3"/>
        <w:spacing w:line="480" w:lineRule="auto"/>
      </w:pPr>
      <w:bookmarkStart w:id="46" w:name="_Toc110502584"/>
      <w:r>
        <w:t>3.3</w:t>
      </w:r>
      <w:r w:rsidR="004B7FDA">
        <w:t>.1</w:t>
      </w:r>
      <w:r w:rsidR="004B7FDA">
        <w:tab/>
      </w:r>
      <w:r w:rsidR="007C5609">
        <w:t>Wind Generator (Doubly-Fed Induction Generator)</w:t>
      </w:r>
      <w:bookmarkEnd w:id="46"/>
    </w:p>
    <w:p w14:paraId="7C1EA807" w14:textId="422866A4" w:rsidR="00980263" w:rsidRDefault="005357FC" w:rsidP="00F03645">
      <w:pPr>
        <w:spacing w:line="480" w:lineRule="auto"/>
        <w:rPr>
          <w:lang w:val="en-US"/>
        </w:rPr>
      </w:pPr>
      <w:r>
        <w:rPr>
          <w:lang w:val="en-US"/>
        </w:rPr>
        <w:t xml:space="preserve">The Doubly-Fed Inductor Generator (DFIG) is a common choice for use in wind turbines due to its robust construction and the ease with which its operation can be controlled </w:t>
      </w:r>
      <w:r>
        <w:rPr>
          <w:lang w:val="en-US"/>
        </w:rPr>
        <w:fldChar w:fldCharType="begin" w:fldLock="1"/>
      </w:r>
      <w:r w:rsidR="00183F06">
        <w:rPr>
          <w:lang w:val="en-US"/>
        </w:rPr>
        <w:instrText>ADDIN CSL_CITATION {"citationItems":[{"id":"ITEM-1","itemData":{"DOI":"10.1016/j.egyr.2021.01.025","ISSN":"23524847","abstract":"This paper investigates the impact of integrating large-scale Doubly-Fed Induction Generator (DFIG)-based wind energy conversion system (WECS) on the voltage stability of the 52-bus, 330 kV Nigerian power grid. Indices derived from Active Power–Voltage (PV) and Reactive Power–Voltage (QV) analyses have been utilized to determine the voltage stability limits in terms of the maximum active power margin (APM) and minimum reactive power margin (RPM) of the system with the associated critical voltage-reactive power ratio (CVQR) of the system buses. Simulations have been done in DIgSILENT PowerFactory and the results analysed using MATLAB. This work also demonstrates the effectiveness of DFIG-based WECS in mitigating the overvoltage issues in the Northern region by ensuring that all bus voltages are within the acceptable limits of 1.0 ± 0.05 p.u. The results show that the optimal DFIG-based WECS penetration level (PL) that satisfies a bus voltage criterion of 1.0 ± 0.05p.u with the APM and CVQR not falling below their respective base case values and the loading of all critical power system equipment not exceeding 80% is 35%. Therefore, this work has demonstrated the possibilities of large-scale DFIG-based WECS as a viable solution for voltage stability improvement of a weak National grid while meeting the increasing energy demand.","author":[{"dropping-particle":"","family":"Adetokun","given":"Bukola Babatunde","non-dropping-particle":"","parse-names":false,"suffix":""},{"dropping-particle":"","family":"Muriithi","given":"Christopher Maina","non-dropping-particle":"","parse-names":false,"suffix":""}],"container-title":"Energy Reports","id":"ITEM-1","issue":"January","issued":{"date-parts":[["2021"]]},"page":"654-666","publisher":"Elsevier Ltd","title":"Impact of integrating large-scale DFIG-based wind energy conversion system on the voltage stability of weak national grids: A case study of the Nigerian power grid","type":"article-journal","volume":"7"},"uris":["http://www.mendeley.com/documents/?uuid=15988c47-25e8-4f7a-b673-64dda14cf225"]}],"mendeley":{"formattedCitation":"(Adetokun &amp; Muriithi, 2021)","plainTextFormattedCitation":"(Adetokun &amp; Muriithi, 2021)","previouslyFormattedCitation":"(Adetokun &amp; Muriithi, 2021)"},"properties":{"noteIndex":0},"schema":"https://github.com/citation-style-language/schema/raw/master/csl-citation.json"}</w:instrText>
      </w:r>
      <w:r>
        <w:rPr>
          <w:lang w:val="en-US"/>
        </w:rPr>
        <w:fldChar w:fldCharType="separate"/>
      </w:r>
      <w:r w:rsidRPr="005357FC">
        <w:rPr>
          <w:noProof/>
          <w:lang w:val="en-US"/>
        </w:rPr>
        <w:t>(Adetokun &amp; Muriithi, 2021)</w:t>
      </w:r>
      <w:r>
        <w:rPr>
          <w:lang w:val="en-US"/>
        </w:rPr>
        <w:fldChar w:fldCharType="end"/>
      </w:r>
      <w:r>
        <w:rPr>
          <w:lang w:val="en-US"/>
        </w:rPr>
        <w:t>. The DFIG is a type of wound-rotor induction generator in which a voltage source converter is connected to the rotor’s slip rings. The interaction of the DFIG with the power system happens through the rotor and stator terminals. The induction generator’s stator terminals are directly grid-connected while the rotor terminals are connected to an AC-DC-AC converter (which is a variable frequency converter)</w:t>
      </w:r>
      <w:r w:rsidR="00355B41">
        <w:rPr>
          <w:lang w:val="en-US"/>
        </w:rPr>
        <w:t xml:space="preserve"> as shown in Figure 3.13</w:t>
      </w:r>
      <w:r w:rsidR="00980263">
        <w:rPr>
          <w:lang w:val="en-US"/>
        </w:rPr>
        <w:t>.</w:t>
      </w:r>
    </w:p>
    <w:p w14:paraId="31B5FAF1" w14:textId="458BCBF8" w:rsidR="00980263" w:rsidRDefault="00980263" w:rsidP="00F03645">
      <w:pPr>
        <w:spacing w:line="480" w:lineRule="auto"/>
        <w:jc w:val="center"/>
        <w:rPr>
          <w:lang w:val="en-US"/>
        </w:rPr>
      </w:pPr>
      <w:r w:rsidRPr="00980263">
        <w:rPr>
          <w:noProof/>
          <w:lang w:val="en-US"/>
        </w:rPr>
        <w:drawing>
          <wp:inline distT="0" distB="0" distL="0" distR="0" wp14:anchorId="65B30C6C" wp14:editId="7A7B84AB">
            <wp:extent cx="4137660" cy="1897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7660" cy="1897380"/>
                    </a:xfrm>
                    <a:prstGeom prst="rect">
                      <a:avLst/>
                    </a:prstGeom>
                    <a:noFill/>
                    <a:ln>
                      <a:noFill/>
                    </a:ln>
                  </pic:spPr>
                </pic:pic>
              </a:graphicData>
            </a:graphic>
          </wp:inline>
        </w:drawing>
      </w:r>
    </w:p>
    <w:p w14:paraId="1F1CB633" w14:textId="103F6D5F" w:rsidR="00980263" w:rsidRDefault="00980263" w:rsidP="00F03645">
      <w:pPr>
        <w:spacing w:line="480" w:lineRule="auto"/>
        <w:jc w:val="center"/>
        <w:rPr>
          <w:b/>
          <w:sz w:val="20"/>
          <w:szCs w:val="20"/>
          <w:lang w:val="en-US"/>
        </w:rPr>
      </w:pPr>
      <w:r>
        <w:rPr>
          <w:b/>
          <w:sz w:val="20"/>
          <w:szCs w:val="20"/>
          <w:lang w:val="en-US"/>
        </w:rPr>
        <w:t xml:space="preserve">Figure </w:t>
      </w:r>
      <w:r w:rsidR="00355B41">
        <w:rPr>
          <w:b/>
          <w:sz w:val="20"/>
          <w:szCs w:val="20"/>
          <w:lang w:val="en-US"/>
        </w:rPr>
        <w:t>3.13</w:t>
      </w:r>
      <w:r>
        <w:rPr>
          <w:b/>
          <w:sz w:val="20"/>
          <w:szCs w:val="20"/>
          <w:lang w:val="en-US"/>
        </w:rPr>
        <w:t xml:space="preserve"> – DFIG and its connections</w:t>
      </w:r>
      <w:r w:rsidR="00183F06">
        <w:rPr>
          <w:b/>
          <w:sz w:val="20"/>
          <w:szCs w:val="20"/>
          <w:lang w:val="en-US"/>
        </w:rPr>
        <w:t xml:space="preserve"> </w:t>
      </w:r>
      <w:r w:rsidR="00183F06" w:rsidRPr="00183F06">
        <w:rPr>
          <w:b/>
          <w:sz w:val="20"/>
          <w:szCs w:val="20"/>
          <w:lang w:val="en-US"/>
        </w:rPr>
        <w:fldChar w:fldCharType="begin" w:fldLock="1"/>
      </w:r>
      <w:r w:rsidR="00BE0741">
        <w:rPr>
          <w:b/>
          <w:sz w:val="20"/>
          <w:szCs w:val="20"/>
          <w:lang w:val="en-US"/>
        </w:rPr>
        <w:instrText>ADDIN CSL_CITATION {"citationItems":[{"id":"ITEM-1","itemData":{"author":[{"dropping-particle":"","family":"Olulope","given":"Paul","non-dropping-particle":"","parse-names":false,"suffix":""}],"id":"ITEM-1","issued":{"date-parts":[["2014"]]},"number-of-pages":"322","publisher":"University of Cape Town","title":"Transient Stability Assessment of Hybrid Distributed Generation Using Computational Intelligence Approaches","type":"thesis"},"uris":["http://www.mendeley.com/documents/?uuid=8c684d6b-cc1f-41e6-9559-53f8cdf84ffa"]}],"mendeley":{"formattedCitation":"(P. Olulope, 2014)","manualFormatting":"(Olulope, 2014)","plainTextFormattedCitation":"(P. Olulope, 2014)","previouslyFormattedCitation":"(P. Olulope, 2014)"},"properties":{"noteIndex":0},"schema":"https://github.com/citation-style-language/schema/raw/master/csl-citation.json"}</w:instrText>
      </w:r>
      <w:r w:rsidR="00183F06" w:rsidRPr="00183F06">
        <w:rPr>
          <w:b/>
          <w:sz w:val="20"/>
          <w:szCs w:val="20"/>
          <w:lang w:val="en-US"/>
        </w:rPr>
        <w:fldChar w:fldCharType="separate"/>
      </w:r>
      <w:r w:rsidR="00183F06" w:rsidRPr="00183F06">
        <w:rPr>
          <w:b/>
          <w:noProof/>
          <w:sz w:val="20"/>
          <w:szCs w:val="20"/>
          <w:lang w:val="en-US"/>
        </w:rPr>
        <w:t>(Olulope, 2014)</w:t>
      </w:r>
      <w:r w:rsidR="00183F06" w:rsidRPr="00183F06">
        <w:rPr>
          <w:b/>
          <w:sz w:val="20"/>
          <w:szCs w:val="20"/>
          <w:lang w:val="en-US"/>
        </w:rPr>
        <w:fldChar w:fldCharType="end"/>
      </w:r>
      <w:r>
        <w:rPr>
          <w:b/>
          <w:sz w:val="20"/>
          <w:szCs w:val="20"/>
          <w:lang w:val="en-US"/>
        </w:rPr>
        <w:t>.</w:t>
      </w:r>
    </w:p>
    <w:p w14:paraId="6E38CC68" w14:textId="11277B83" w:rsidR="00183F06" w:rsidRDefault="00183F06" w:rsidP="00F03645">
      <w:pPr>
        <w:spacing w:line="480" w:lineRule="auto"/>
        <w:rPr>
          <w:lang w:val="en-US"/>
        </w:rPr>
      </w:pPr>
      <w:r>
        <w:rPr>
          <w:lang w:val="en-US"/>
        </w:rPr>
        <w:t xml:space="preserve">In modelling the DFIG, the rotor speed is controlled by the quadrature (q) component of the injected voltage. The direct-axis (d) component of the rotor-side voltage converter voltage is used to compensate </w:t>
      </w:r>
      <w:r w:rsidR="00133549">
        <w:rPr>
          <w:lang w:val="en-US"/>
        </w:rPr>
        <w:t xml:space="preserve">for </w:t>
      </w:r>
      <w:r>
        <w:rPr>
          <w:lang w:val="en-US"/>
        </w:rPr>
        <w:t xml:space="preserve">the generator’s magnetizing reactive power. A DFIG equipped with four-quadrant AC-to-AC converters tends to be more stable on the grid than Squirrel Cage Induction Generators (SCIG). The modelling of </w:t>
      </w:r>
      <w:r w:rsidR="00FA7204">
        <w:rPr>
          <w:lang w:val="en-US"/>
        </w:rPr>
        <w:t xml:space="preserve">voltage in the </w:t>
      </w:r>
      <w:r>
        <w:rPr>
          <w:lang w:val="en-US"/>
        </w:rPr>
        <w:t>DFIG is given:</w:t>
      </w:r>
    </w:p>
    <w:p w14:paraId="2DAE491A" w14:textId="46FA593D" w:rsidR="00FA7204" w:rsidRPr="00FA7204" w:rsidRDefault="00783427" w:rsidP="00F03645">
      <w:pPr>
        <w:spacing w:line="480" w:lineRule="auto"/>
        <w:jc w:val="left"/>
        <w:rPr>
          <w:rFonts w:eastAsiaTheme="minorEastAsia"/>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ds</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qs</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ds</m:t>
                </m:r>
              </m:sub>
            </m:sSub>
          </m:num>
          <m:den>
            <m:r>
              <w:rPr>
                <w:rFonts w:ascii="Cambria Math" w:hAnsi="Cambria Math"/>
                <w:lang w:val="en-US"/>
              </w:rPr>
              <m:t>dt</m:t>
            </m:r>
          </m:den>
        </m:f>
      </m:oMath>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t>(3.1)</w:t>
      </w:r>
    </w:p>
    <w:p w14:paraId="4D6221B8" w14:textId="1DFECCEA" w:rsidR="000B62CB" w:rsidRPr="000B62CB" w:rsidRDefault="00783427" w:rsidP="00F03645">
      <w:pPr>
        <w:spacing w:line="480" w:lineRule="auto"/>
        <w:rPr>
          <w:rFonts w:eastAsiaTheme="minorEastAsia"/>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qs</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qs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ds</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qs</m:t>
                </m:r>
              </m:sub>
            </m:sSub>
          </m:num>
          <m:den>
            <m:r>
              <w:rPr>
                <w:rFonts w:ascii="Cambria Math" w:hAnsi="Cambria Math"/>
                <w:lang w:val="en-US"/>
              </w:rPr>
              <m:t>dt</m:t>
            </m:r>
          </m:den>
        </m:f>
      </m:oMath>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t>(3.2)</w:t>
      </w:r>
    </w:p>
    <w:p w14:paraId="2632CC7D" w14:textId="7481CDAF" w:rsidR="00FA7204" w:rsidRPr="00FA7204" w:rsidRDefault="00783427" w:rsidP="00F03645">
      <w:pPr>
        <w:spacing w:line="480"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dr</m:t>
            </m:r>
          </m:sub>
        </m:sSub>
        <m:r>
          <w:rPr>
            <w:rFonts w:ascii="Cambria Math" w:eastAsiaTheme="minorEastAsia" w:hAnsi="Cambria Math"/>
            <w:lang w:val="en-US"/>
          </w:rPr>
          <m:t>= -</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r</m:t>
            </m:r>
          </m:sub>
        </m:sSub>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dr</m:t>
            </m:r>
          </m:sub>
        </m:sSub>
        <m:r>
          <w:rPr>
            <w:rFonts w:ascii="Cambria Math" w:eastAsiaTheme="minorEastAsia" w:hAnsi="Cambria Math"/>
            <w:lang w:val="en-US"/>
          </w:rPr>
          <m:t>-s</m:t>
        </m:r>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s</m:t>
            </m:r>
          </m:sub>
        </m:sSub>
        <m:sSub>
          <m:sSubPr>
            <m:ctrlPr>
              <w:rPr>
                <w:rFonts w:ascii="Cambria Math" w:eastAsiaTheme="minorEastAsia" w:hAnsi="Cambria Math"/>
                <w:i/>
                <w:lang w:val="en-US"/>
              </w:rPr>
            </m:ctrlPr>
          </m:sSubPr>
          <m:e>
            <m:r>
              <w:rPr>
                <w:rFonts w:ascii="Cambria Math" w:eastAsiaTheme="minorEastAsia" w:hAnsi="Cambria Math"/>
                <w:lang w:val="en-US"/>
              </w:rPr>
              <m:t>ψ</m:t>
            </m:r>
          </m:e>
          <m:sub>
            <m:r>
              <w:rPr>
                <w:rFonts w:ascii="Cambria Math" w:eastAsiaTheme="minorEastAsia" w:hAnsi="Cambria Math"/>
                <w:lang w:val="en-US"/>
              </w:rPr>
              <m:t>qr</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ψ</m:t>
                </m:r>
              </m:e>
              <m:sub>
                <m:r>
                  <w:rPr>
                    <w:rFonts w:ascii="Cambria Math" w:eastAsiaTheme="minorEastAsia" w:hAnsi="Cambria Math"/>
                    <w:lang w:val="en-US"/>
                  </w:rPr>
                  <m:t>dr</m:t>
                </m:r>
              </m:sub>
            </m:sSub>
          </m:num>
          <m:den>
            <m:r>
              <w:rPr>
                <w:rFonts w:ascii="Cambria Math" w:eastAsiaTheme="minorEastAsia" w:hAnsi="Cambria Math"/>
                <w:lang w:val="en-US"/>
              </w:rPr>
              <m:t>dt</m:t>
            </m:r>
          </m:den>
        </m:f>
      </m:oMath>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t>(3.3)</w:t>
      </w:r>
    </w:p>
    <w:p w14:paraId="4799822B" w14:textId="31FE193A" w:rsidR="00FA7204" w:rsidRPr="00BE0741" w:rsidRDefault="00783427" w:rsidP="00F03645">
      <w:pPr>
        <w:spacing w:line="480"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qr</m:t>
            </m:r>
          </m:sub>
        </m:sSub>
        <m:r>
          <w:rPr>
            <w:rFonts w:ascii="Cambria Math" w:eastAsiaTheme="minorEastAsia" w:hAnsi="Cambria Math"/>
            <w:lang w:val="en-US"/>
          </w:rPr>
          <m:t>= -</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r</m:t>
            </m:r>
          </m:sub>
        </m:sSub>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qr</m:t>
            </m:r>
          </m:sub>
        </m:sSub>
        <m:r>
          <w:rPr>
            <w:rFonts w:ascii="Cambria Math" w:eastAsiaTheme="minorEastAsia" w:hAnsi="Cambria Math"/>
            <w:lang w:val="en-US"/>
          </w:rPr>
          <m:t>+s</m:t>
        </m:r>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s</m:t>
            </m:r>
          </m:sub>
        </m:sSub>
        <m:sSub>
          <m:sSubPr>
            <m:ctrlPr>
              <w:rPr>
                <w:rFonts w:ascii="Cambria Math" w:eastAsiaTheme="minorEastAsia" w:hAnsi="Cambria Math"/>
                <w:i/>
                <w:lang w:val="en-US"/>
              </w:rPr>
            </m:ctrlPr>
          </m:sSubPr>
          <m:e>
            <m:r>
              <w:rPr>
                <w:rFonts w:ascii="Cambria Math" w:eastAsiaTheme="minorEastAsia" w:hAnsi="Cambria Math"/>
                <w:lang w:val="en-US"/>
              </w:rPr>
              <m:t>ψ</m:t>
            </m:r>
          </m:e>
          <m:sub>
            <m:r>
              <w:rPr>
                <w:rFonts w:ascii="Cambria Math" w:eastAsiaTheme="minorEastAsia" w:hAnsi="Cambria Math"/>
                <w:lang w:val="en-US"/>
              </w:rPr>
              <m:t>dr</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ψ</m:t>
                </m:r>
              </m:e>
              <m:sub>
                <m:r>
                  <w:rPr>
                    <w:rFonts w:ascii="Cambria Math" w:eastAsiaTheme="minorEastAsia" w:hAnsi="Cambria Math"/>
                    <w:lang w:val="en-US"/>
                  </w:rPr>
                  <m:t>qr</m:t>
                </m:r>
              </m:sub>
            </m:sSub>
          </m:num>
          <m:den>
            <m:r>
              <w:rPr>
                <w:rFonts w:ascii="Cambria Math" w:eastAsiaTheme="minorEastAsia" w:hAnsi="Cambria Math"/>
                <w:lang w:val="en-US"/>
              </w:rPr>
              <m:t>dt</m:t>
            </m:r>
          </m:den>
        </m:f>
      </m:oMath>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r>
      <w:r w:rsidR="000B62CB">
        <w:rPr>
          <w:rFonts w:eastAsiaTheme="minorEastAsia"/>
          <w:lang w:val="en-US"/>
        </w:rPr>
        <w:tab/>
        <w:t>(3.4)</w:t>
      </w:r>
    </w:p>
    <w:p w14:paraId="505FE71C" w14:textId="6EE4B4D6" w:rsidR="00BE0741" w:rsidRDefault="00BE0741" w:rsidP="00F03645">
      <w:pPr>
        <w:spacing w:line="480" w:lineRule="auto"/>
        <w:rPr>
          <w:rFonts w:eastAsiaTheme="minorEastAsia" w:cs="Times New Roman"/>
          <w:lang w:val="en-US"/>
        </w:rPr>
      </w:pPr>
      <w:r>
        <w:rPr>
          <w:rFonts w:eastAsiaTheme="minorEastAsia"/>
          <w:lang w:val="en-US"/>
        </w:rPr>
        <w:t xml:space="preserve">Where s is the slip of the induction machine, v is the voltage, i is the current, R is resistance, </w:t>
      </w:r>
      <w:r>
        <w:rPr>
          <w:rFonts w:eastAsiaTheme="minorEastAsia" w:cs="Times New Roman"/>
          <w:lang w:val="en-US"/>
        </w:rPr>
        <w:t xml:space="preserve">ψ is the flux, </w:t>
      </w:r>
      <w:r w:rsidR="00133549">
        <w:rPr>
          <w:rFonts w:eastAsiaTheme="minorEastAsia" w:cs="Times New Roman"/>
          <w:lang w:val="en-US"/>
        </w:rPr>
        <w:t xml:space="preserve">and </w:t>
      </w:r>
      <w:r>
        <w:rPr>
          <w:rFonts w:eastAsiaTheme="minorEastAsia" w:cs="Times New Roman"/>
          <w:lang w:val="en-US"/>
        </w:rPr>
        <w:t>ω</w:t>
      </w:r>
      <w:r>
        <w:rPr>
          <w:rFonts w:eastAsiaTheme="minorEastAsia" w:cs="Times New Roman"/>
          <w:vertAlign w:val="subscript"/>
          <w:lang w:val="en-US"/>
        </w:rPr>
        <w:t>s</w:t>
      </w:r>
      <w:r>
        <w:rPr>
          <w:rFonts w:eastAsiaTheme="minorEastAsia" w:cs="Times New Roman"/>
          <w:lang w:val="en-US"/>
        </w:rPr>
        <w:t xml:space="preserve"> is the stator field synchronous speed. Subscripts d and q</w:t>
      </w:r>
      <w:r w:rsidR="00133549">
        <w:rPr>
          <w:rFonts w:eastAsiaTheme="minorEastAsia" w:cs="Times New Roman"/>
          <w:lang w:val="en-US"/>
        </w:rPr>
        <w:t>,</w:t>
      </w:r>
      <w:r>
        <w:rPr>
          <w:rFonts w:eastAsiaTheme="minorEastAsia" w:cs="Times New Roman"/>
          <w:lang w:val="en-US"/>
        </w:rPr>
        <w:t xml:space="preserve"> where they appear</w:t>
      </w:r>
      <w:r w:rsidR="00133549">
        <w:rPr>
          <w:rFonts w:eastAsiaTheme="minorEastAsia" w:cs="Times New Roman"/>
          <w:lang w:val="en-US"/>
        </w:rPr>
        <w:t>,</w:t>
      </w:r>
      <w:r>
        <w:rPr>
          <w:rFonts w:eastAsiaTheme="minorEastAsia" w:cs="Times New Roman"/>
          <w:lang w:val="en-US"/>
        </w:rPr>
        <w:t xml:space="preserve"> represent the direct and quadrature components of the quantities. Subscripts r and s where they appear represent the rotor and stator quantities.</w:t>
      </w:r>
    </w:p>
    <w:p w14:paraId="7250A469" w14:textId="1D098B1B" w:rsidR="00BE0741" w:rsidRDefault="00BE0741" w:rsidP="00F03645">
      <w:pPr>
        <w:spacing w:line="480" w:lineRule="auto"/>
        <w:rPr>
          <w:rFonts w:eastAsiaTheme="minorEastAsia" w:cs="Times New Roman"/>
          <w:lang w:val="en-US"/>
        </w:rPr>
      </w:pPr>
      <w:r>
        <w:rPr>
          <w:rFonts w:eastAsiaTheme="minorEastAsia" w:cs="Times New Roman"/>
          <w:lang w:val="en-US"/>
        </w:rPr>
        <w:t>From the above voltage equations for the DFIG, the real and reactive power which are of direct importance to the microgrid are modelled as follows:</w:t>
      </w:r>
    </w:p>
    <w:p w14:paraId="122A3DD6" w14:textId="3DC519EA" w:rsidR="00BE0741" w:rsidRPr="00BE0741" w:rsidRDefault="00783427" w:rsidP="00F03645">
      <w:pPr>
        <w:spacing w:line="480" w:lineRule="auto"/>
        <w:rPr>
          <w:rFonts w:eastAsiaTheme="minorEastAsia" w:cs="Times New Roman"/>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ds</m:t>
            </m:r>
          </m:sub>
        </m:sSub>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ds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qs</m:t>
            </m:r>
          </m:sub>
        </m:sSub>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qs</m:t>
            </m:r>
          </m:sub>
        </m:sSub>
      </m:oMath>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t>(3.5)</w:t>
      </w:r>
    </w:p>
    <w:p w14:paraId="51687197" w14:textId="26C4A6BB" w:rsidR="00BE0741" w:rsidRPr="00BE0741" w:rsidRDefault="00783427" w:rsidP="00F03645">
      <w:pPr>
        <w:spacing w:line="480" w:lineRule="auto"/>
        <w:rPr>
          <w:rFonts w:eastAsiaTheme="minorEastAsia"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s</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qs</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ds</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ds</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qs</m:t>
            </m:r>
          </m:sub>
        </m:sSub>
      </m:oMath>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t>(3.6)</w:t>
      </w:r>
    </w:p>
    <w:p w14:paraId="348DEE00" w14:textId="1F02633C" w:rsidR="00BE0741" w:rsidRPr="00BE0741" w:rsidRDefault="00783427" w:rsidP="00F03645">
      <w:pPr>
        <w:spacing w:line="480" w:lineRule="auto"/>
        <w:rPr>
          <w:rFonts w:eastAsiaTheme="minorEastAsia"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r</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dr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dr</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qr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qr</m:t>
            </m:r>
          </m:sub>
        </m:sSub>
      </m:oMath>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t>(3.7)</w:t>
      </w:r>
    </w:p>
    <w:p w14:paraId="429E7AEB" w14:textId="17739DB6" w:rsidR="00BE0741" w:rsidRPr="00BE0741" w:rsidRDefault="00783427" w:rsidP="00F03645">
      <w:pPr>
        <w:spacing w:line="480" w:lineRule="auto"/>
        <w:rPr>
          <w:rFonts w:eastAsiaTheme="minorEastAsia"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r</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qr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dr</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dr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qr</m:t>
            </m:r>
          </m:sub>
        </m:sSub>
      </m:oMath>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r>
      <w:r w:rsidR="000B62CB">
        <w:rPr>
          <w:rFonts w:eastAsiaTheme="minorEastAsia" w:cs="Times New Roman"/>
          <w:lang w:val="en-US"/>
        </w:rPr>
        <w:tab/>
        <w:t>(3.8)</w:t>
      </w:r>
    </w:p>
    <w:p w14:paraId="2A1E0B74" w14:textId="6DF36F20" w:rsidR="00BE0741" w:rsidRDefault="00BE0741" w:rsidP="00F03645">
      <w:pPr>
        <w:spacing w:line="480" w:lineRule="auto"/>
        <w:rPr>
          <w:rFonts w:eastAsiaTheme="minorEastAsia" w:cs="Times New Roman"/>
          <w:lang w:val="en-US"/>
        </w:rPr>
      </w:pPr>
      <w:r>
        <w:rPr>
          <w:rFonts w:eastAsiaTheme="minorEastAsia" w:cs="Times New Roman"/>
          <w:lang w:val="en-US"/>
        </w:rPr>
        <w:t>The total DFIG power is given as follows:</w:t>
      </w:r>
    </w:p>
    <w:p w14:paraId="2EFB085A" w14:textId="54A76C2F" w:rsidR="00BE0741" w:rsidRPr="000B62CB" w:rsidRDefault="000B62CB" w:rsidP="00F03645">
      <w:pPr>
        <w:spacing w:line="480" w:lineRule="auto"/>
        <w:rPr>
          <w:rFonts w:eastAsiaTheme="minorEastAsia" w:cs="Times New Roman"/>
          <w:lang w:val="en-US"/>
        </w:rPr>
      </w:pPr>
      <m:oMath>
        <m:r>
          <w:rPr>
            <w:rFonts w:ascii="Cambria Math" w:eastAsiaTheme="minorEastAsia" w:hAnsi="Cambria Math" w:cs="Times New Roman"/>
            <w:lang w:val="en-US"/>
          </w:rPr>
          <m:t>P=</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s</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r</m:t>
            </m:r>
          </m:sub>
        </m:sSub>
      </m:oMath>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t>(3.9)</w:t>
      </w:r>
    </w:p>
    <w:p w14:paraId="20F95463" w14:textId="532869CA" w:rsidR="000B62CB" w:rsidRPr="000B62CB" w:rsidRDefault="000B62CB" w:rsidP="00F03645">
      <w:pPr>
        <w:spacing w:line="480" w:lineRule="auto"/>
        <w:rPr>
          <w:rFonts w:eastAsiaTheme="minorEastAsia" w:cs="Times New Roman"/>
          <w:lang w:val="en-US"/>
        </w:rPr>
      </w:pPr>
      <m:oMath>
        <m:r>
          <w:rPr>
            <w:rFonts w:ascii="Cambria Math" w:eastAsiaTheme="minorEastAsia" w:hAnsi="Cambria Math" w:cs="Times New Roman"/>
            <w:lang w:val="en-US"/>
          </w:rPr>
          <m:t>Q=</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s</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r</m:t>
            </m:r>
          </m:sub>
        </m:sSub>
      </m:oMath>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t>(3.10)</w:t>
      </w:r>
    </w:p>
    <w:p w14:paraId="15DCE9F7" w14:textId="6E3C23A9" w:rsidR="000B62CB" w:rsidRPr="000B62CB" w:rsidRDefault="000B62CB" w:rsidP="00F03645">
      <w:pPr>
        <w:spacing w:line="480" w:lineRule="auto"/>
        <w:rPr>
          <w:rFonts w:eastAsiaTheme="minorEastAsia" w:cs="Times New Roman"/>
          <w:lang w:val="en-US"/>
        </w:rPr>
      </w:pPr>
      <m:oMath>
        <m:r>
          <w:rPr>
            <w:rFonts w:ascii="Cambria Math" w:eastAsiaTheme="minorEastAsia" w:hAnsi="Cambria Math" w:cs="Times New Roman"/>
            <w:lang w:val="en-US"/>
          </w:rPr>
          <m:t>P=</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ds</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ds</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qs</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qs</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dr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dr</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qr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qr</m:t>
            </m:r>
          </m:sub>
        </m:sSub>
      </m:oMath>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r>
      <w:r>
        <w:rPr>
          <w:rFonts w:eastAsiaTheme="minorEastAsia" w:cs="Times New Roman"/>
          <w:lang w:val="en-US"/>
        </w:rPr>
        <w:tab/>
        <w:t>(3.11)</w:t>
      </w:r>
    </w:p>
    <w:p w14:paraId="2E672175" w14:textId="525DCA6C" w:rsidR="000B62CB" w:rsidRDefault="000B62CB" w:rsidP="00F03645">
      <w:pPr>
        <w:spacing w:line="480" w:lineRule="auto"/>
        <w:rPr>
          <w:rFonts w:eastAsiaTheme="minorEastAsia" w:cs="Times New Roman"/>
          <w:lang w:val="en-US"/>
        </w:rPr>
      </w:pPr>
      <m:oMath>
        <m:r>
          <w:rPr>
            <w:rFonts w:ascii="Cambria Math" w:eastAsiaTheme="minorEastAsia" w:hAnsi="Cambria Math" w:cs="Times New Roman"/>
            <w:lang w:val="en-US"/>
          </w:rPr>
          <m:t>Q=</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qs</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ds</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ds</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qs</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qr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dr</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dr</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qr</m:t>
            </m:r>
          </m:sub>
        </m:sSub>
      </m:oMath>
      <w:r w:rsidR="00B01B35">
        <w:rPr>
          <w:rFonts w:eastAsiaTheme="minorEastAsia" w:cs="Times New Roman"/>
          <w:lang w:val="en-US"/>
        </w:rPr>
        <w:tab/>
      </w:r>
      <w:r w:rsidR="00B01B35">
        <w:rPr>
          <w:rFonts w:eastAsiaTheme="minorEastAsia" w:cs="Times New Roman"/>
          <w:lang w:val="en-US"/>
        </w:rPr>
        <w:tab/>
      </w:r>
      <w:r w:rsidR="00B01B35">
        <w:rPr>
          <w:rFonts w:eastAsiaTheme="minorEastAsia" w:cs="Times New Roman"/>
          <w:lang w:val="en-US"/>
        </w:rPr>
        <w:tab/>
      </w:r>
      <w:r w:rsidR="00B01B35">
        <w:rPr>
          <w:rFonts w:eastAsiaTheme="minorEastAsia" w:cs="Times New Roman"/>
          <w:lang w:val="en-US"/>
        </w:rPr>
        <w:tab/>
      </w:r>
      <w:r w:rsidR="00B01B35">
        <w:rPr>
          <w:rFonts w:eastAsiaTheme="minorEastAsia" w:cs="Times New Roman"/>
          <w:lang w:val="en-US"/>
        </w:rPr>
        <w:tab/>
      </w:r>
      <w:r w:rsidR="00B01B35">
        <w:rPr>
          <w:rFonts w:eastAsiaTheme="minorEastAsia" w:cs="Times New Roman"/>
          <w:lang w:val="en-US"/>
        </w:rPr>
        <w:tab/>
        <w:t>(3.12)</w:t>
      </w:r>
    </w:p>
    <w:p w14:paraId="732B68F9" w14:textId="5E00A9DE" w:rsidR="00464A8F" w:rsidRDefault="00270E58" w:rsidP="00464A8F">
      <w:pPr>
        <w:pStyle w:val="Heading3"/>
        <w:rPr>
          <w:rFonts w:eastAsiaTheme="minorEastAsia"/>
        </w:rPr>
      </w:pPr>
      <w:bookmarkStart w:id="47" w:name="_Toc110502585"/>
      <w:r>
        <w:rPr>
          <w:rFonts w:eastAsiaTheme="minorEastAsia"/>
        </w:rPr>
        <w:t>3.3</w:t>
      </w:r>
      <w:r w:rsidR="00464A8F">
        <w:rPr>
          <w:rFonts w:eastAsiaTheme="minorEastAsia"/>
        </w:rPr>
        <w:t>.2</w:t>
      </w:r>
      <w:r w:rsidR="00464A8F">
        <w:rPr>
          <w:rFonts w:eastAsiaTheme="minorEastAsia"/>
        </w:rPr>
        <w:tab/>
        <w:t>Quasi-Dynamic Mathematical Formulations</w:t>
      </w:r>
      <w:r w:rsidR="00420540">
        <w:rPr>
          <w:rFonts w:eastAsiaTheme="minorEastAsia"/>
        </w:rPr>
        <w:t xml:space="preserve"> for Synchronous Generators</w:t>
      </w:r>
      <w:bookmarkEnd w:id="47"/>
    </w:p>
    <w:p w14:paraId="069A36B1" w14:textId="5EA15732" w:rsidR="00420540" w:rsidRDefault="00133549" w:rsidP="00420540">
      <w:pPr>
        <w:spacing w:line="480" w:lineRule="auto"/>
        <w:rPr>
          <w:lang w:val="en-US"/>
        </w:rPr>
      </w:pPr>
      <w:r>
        <w:rPr>
          <w:lang w:val="en-US"/>
        </w:rPr>
        <w:t>For the purpose</w:t>
      </w:r>
      <w:r w:rsidR="00420540">
        <w:rPr>
          <w:lang w:val="en-US"/>
        </w:rPr>
        <w:t xml:space="preserve"> of providing the mathematical background to quasi-dynamic modelling, the differential and algebraic equations </w:t>
      </w:r>
      <w:r w:rsidR="00031C9B">
        <w:rPr>
          <w:lang w:val="en-US"/>
        </w:rPr>
        <w:t xml:space="preserve">customarily used </w:t>
      </w:r>
      <w:r w:rsidR="00420540">
        <w:rPr>
          <w:lang w:val="en-US"/>
        </w:rPr>
        <w:t xml:space="preserve">for representing the power systems </w:t>
      </w:r>
      <w:r w:rsidR="008C1FFC">
        <w:rPr>
          <w:lang w:val="en-US"/>
        </w:rPr>
        <w:t xml:space="preserve">in </w:t>
      </w:r>
      <w:r>
        <w:rPr>
          <w:lang w:val="en-US"/>
        </w:rPr>
        <w:t xml:space="preserve">the </w:t>
      </w:r>
      <w:r w:rsidR="008C1FFC">
        <w:rPr>
          <w:lang w:val="en-US"/>
        </w:rPr>
        <w:t xml:space="preserve">mathematical form </w:t>
      </w:r>
      <w:r w:rsidR="00420540">
        <w:rPr>
          <w:lang w:val="en-US"/>
        </w:rPr>
        <w:t>are presented, followed by the synchronous generator model</w:t>
      </w:r>
      <w:r w:rsidR="00D6076A">
        <w:rPr>
          <w:lang w:val="en-US"/>
        </w:rPr>
        <w:t xml:space="preserve"> (i.e for hydro)</w:t>
      </w:r>
      <w:r w:rsidR="00420540">
        <w:rPr>
          <w:lang w:val="en-US"/>
        </w:rPr>
        <w:t xml:space="preserve"> in quasi-dynamic form </w:t>
      </w:r>
      <w:r w:rsidR="00420540">
        <w:rPr>
          <w:lang w:val="en-US"/>
        </w:rPr>
        <w:fldChar w:fldCharType="begin" w:fldLock="1"/>
      </w:r>
      <w:r w:rsidR="00E053C1">
        <w:rPr>
          <w:lang w:val="en-US"/>
        </w:rPr>
        <w:instrText>ADDIN CSL_CITATION {"citationItems":[{"id":"ITEM-1","itemData":{"author":[{"dropping-particle":"","family":"Wang","given":"Qin","non-dropping-particle":"","parse-names":false,"suffix":""}],"id":"ITEM-1","issued":{"date-parts":[["2001"]]},"publisher":"Iowa State University","title":"A novel continuation-based quasi-steady-state analysis approach to mitigate long-term voltage instability","type":"thesis"},"uris":["http://www.mendeley.com/documents/?uuid=1a8396de-b51a-4a87-9b4c-c2160899bbd0"]}],"mendeley":{"formattedCitation":"(Q. Wang, 2001)","plainTextFormattedCitation":"(Q. Wang, 2001)","previouslyFormattedCitation":"(Q. Wang, 2001)"},"properties":{"noteIndex":0},"schema":"https://github.com/citation-style-language/schema/raw/master/csl-citation.json"}</w:instrText>
      </w:r>
      <w:r w:rsidR="00420540">
        <w:rPr>
          <w:lang w:val="en-US"/>
        </w:rPr>
        <w:fldChar w:fldCharType="separate"/>
      </w:r>
      <w:r w:rsidR="00420540" w:rsidRPr="00420540">
        <w:rPr>
          <w:noProof/>
          <w:lang w:val="en-US"/>
        </w:rPr>
        <w:t>(Q. Wang, 2001)</w:t>
      </w:r>
      <w:r w:rsidR="00420540">
        <w:rPr>
          <w:lang w:val="en-US"/>
        </w:rPr>
        <w:fldChar w:fldCharType="end"/>
      </w:r>
      <w:r w:rsidR="00420540">
        <w:rPr>
          <w:lang w:val="en-US"/>
        </w:rPr>
        <w:t>.</w:t>
      </w:r>
    </w:p>
    <w:p w14:paraId="7634C961" w14:textId="3B938C2F" w:rsidR="00420540" w:rsidRPr="00031C9B" w:rsidRDefault="00783427" w:rsidP="00420540">
      <w:pPr>
        <w:spacing w:line="480" w:lineRule="auto"/>
        <w:rPr>
          <w:rFonts w:eastAsiaTheme="minorEastAsia"/>
          <w:lang w:val="en-US"/>
        </w:rPr>
      </w:pPr>
      <m:oMath>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 xml:space="preserve">= </m:t>
        </m:r>
        <m:r>
          <w:rPr>
            <w:rFonts w:ascii="Cambria Math" w:eastAsiaTheme="minorEastAsia" w:hAnsi="Cambria Math"/>
            <w:lang w:val="en-US"/>
          </w:rPr>
          <m:t>f(x,y,</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c</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d</m:t>
            </m:r>
          </m:sub>
        </m:sSub>
        <m:r>
          <w:rPr>
            <w:rFonts w:ascii="Cambria Math" w:eastAsiaTheme="minorEastAsia" w:hAnsi="Cambria Math"/>
            <w:lang w:val="en-US"/>
          </w:rPr>
          <m:t>,λ)</m:t>
        </m:r>
      </m:oMath>
      <w:r w:rsidR="00CB0351">
        <w:rPr>
          <w:rFonts w:eastAsiaTheme="minorEastAsia"/>
          <w:lang w:val="en-US"/>
        </w:rPr>
        <w:tab/>
      </w:r>
      <w:r w:rsidR="00CB0351">
        <w:rPr>
          <w:rFonts w:eastAsiaTheme="minorEastAsia"/>
          <w:lang w:val="en-US"/>
        </w:rPr>
        <w:tab/>
      </w:r>
      <w:r w:rsidR="00CB0351">
        <w:rPr>
          <w:rFonts w:eastAsiaTheme="minorEastAsia"/>
          <w:lang w:val="en-US"/>
        </w:rPr>
        <w:tab/>
      </w:r>
      <w:r w:rsidR="00CB0351">
        <w:rPr>
          <w:rFonts w:eastAsiaTheme="minorEastAsia"/>
          <w:lang w:val="en-US"/>
        </w:rPr>
        <w:tab/>
      </w:r>
      <w:r w:rsidR="00CB0351">
        <w:rPr>
          <w:rFonts w:eastAsiaTheme="minorEastAsia"/>
          <w:lang w:val="en-US"/>
        </w:rPr>
        <w:tab/>
      </w:r>
      <w:r w:rsidR="00CB0351">
        <w:rPr>
          <w:rFonts w:eastAsiaTheme="minorEastAsia"/>
          <w:lang w:val="en-US"/>
        </w:rPr>
        <w:tab/>
      </w:r>
      <w:r w:rsidR="00CB0351">
        <w:rPr>
          <w:rFonts w:eastAsiaTheme="minorEastAsia"/>
          <w:lang w:val="en-US"/>
        </w:rPr>
        <w:tab/>
      </w:r>
      <w:r w:rsidR="00CB0351">
        <w:rPr>
          <w:rFonts w:eastAsiaTheme="minorEastAsia"/>
          <w:lang w:val="en-US"/>
        </w:rPr>
        <w:tab/>
      </w:r>
      <w:r w:rsidR="00CB0351">
        <w:rPr>
          <w:rFonts w:eastAsiaTheme="minorEastAsia"/>
          <w:lang w:val="en-US"/>
        </w:rPr>
        <w:tab/>
        <w:t>(3.13)</w:t>
      </w:r>
    </w:p>
    <w:p w14:paraId="1BE8158F" w14:textId="4C25F2D4" w:rsidR="00031C9B" w:rsidRPr="00031C9B" w:rsidRDefault="00031C9B" w:rsidP="00031C9B">
      <w:pPr>
        <w:spacing w:line="480" w:lineRule="auto"/>
        <w:rPr>
          <w:rFonts w:eastAsiaTheme="minorEastAsia"/>
          <w:lang w:val="en-US"/>
        </w:rPr>
      </w:pPr>
      <m:oMath>
        <m:r>
          <w:rPr>
            <w:rFonts w:ascii="Cambria Math" w:hAnsi="Cambria Math"/>
            <w:lang w:val="en-US"/>
          </w:rPr>
          <m:t xml:space="preserve">0= </m:t>
        </m:r>
        <m:r>
          <w:rPr>
            <w:rFonts w:ascii="Cambria Math" w:eastAsiaTheme="minorEastAsia" w:hAnsi="Cambria Math"/>
            <w:lang w:val="en-US"/>
          </w:rPr>
          <m:t>g(x,y,</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c</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d</m:t>
            </m:r>
          </m:sub>
        </m:sSub>
        <m:r>
          <w:rPr>
            <w:rFonts w:ascii="Cambria Math" w:eastAsiaTheme="minorEastAsia" w:hAnsi="Cambria Math"/>
            <w:lang w:val="en-US"/>
          </w:rPr>
          <m:t>,λ)</m:t>
        </m:r>
      </m:oMath>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t>(3.14)</w:t>
      </w:r>
    </w:p>
    <w:p w14:paraId="71220864" w14:textId="4454A1CB" w:rsidR="00031C9B" w:rsidRPr="00CB0351" w:rsidRDefault="00783427" w:rsidP="00031C9B">
      <w:pPr>
        <w:spacing w:line="480" w:lineRule="auto"/>
        <w:rPr>
          <w:rFonts w:eastAsiaTheme="minorEastAsia"/>
          <w:lang w:val="en-US"/>
        </w:rPr>
      </w:pP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D</m:t>
            </m:r>
          </m:sub>
        </m:sSub>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m:t>
                </m:r>
              </m:sup>
            </m:sSup>
          </m:e>
        </m:d>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D</m:t>
            </m:r>
          </m:sub>
        </m:sSub>
        <m:r>
          <w:rPr>
            <w:rFonts w:ascii="Cambria Math" w:eastAsiaTheme="minorEastAsia" w:hAnsi="Cambria Math"/>
            <w:lang w:val="en-US"/>
          </w:rPr>
          <m:t>(x</m:t>
        </m:r>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k</m:t>
                </m:r>
              </m:e>
              <m:sup>
                <m:r>
                  <w:rPr>
                    <w:rFonts w:ascii="Cambria Math" w:eastAsiaTheme="minorEastAsia" w:hAnsi="Cambria Math"/>
                    <w:lang w:val="en-US"/>
                  </w:rPr>
                  <m:t>-</m:t>
                </m:r>
              </m:sup>
            </m:sSup>
          </m:e>
        </m:d>
        <m:r>
          <w:rPr>
            <w:rFonts w:ascii="Cambria Math" w:eastAsiaTheme="minorEastAsia" w:hAnsi="Cambria Math"/>
            <w:lang w:val="en-US"/>
          </w:rPr>
          <m:t>,y(</m:t>
        </m:r>
        <m:sSup>
          <m:sSupPr>
            <m:ctrlPr>
              <w:rPr>
                <w:rFonts w:ascii="Cambria Math" w:eastAsiaTheme="minorEastAsia" w:hAnsi="Cambria Math"/>
                <w:i/>
                <w:lang w:val="en-US"/>
              </w:rPr>
            </m:ctrlPr>
          </m:sSupPr>
          <m:e>
            <m:r>
              <w:rPr>
                <w:rFonts w:ascii="Cambria Math" w:eastAsiaTheme="minorEastAsia" w:hAnsi="Cambria Math"/>
                <w:lang w:val="en-US"/>
              </w:rPr>
              <m:t>k</m:t>
            </m:r>
          </m:e>
          <m:sup>
            <m:r>
              <w:rPr>
                <w:rFonts w:ascii="Cambria Math" w:eastAsiaTheme="minorEastAsia" w:hAnsi="Cambria Math"/>
                <w:lang w:val="en-US"/>
              </w:rPr>
              <m:t>-</m:t>
            </m:r>
          </m:sup>
        </m:s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c</m:t>
            </m:r>
          </m:sub>
        </m:sSub>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k</m:t>
            </m:r>
          </m:e>
          <m:sup>
            <m:r>
              <w:rPr>
                <w:rFonts w:ascii="Cambria Math" w:eastAsiaTheme="minorEastAsia" w:hAnsi="Cambria Math"/>
                <w:lang w:val="en-US"/>
              </w:rPr>
              <m:t>-</m:t>
            </m:r>
          </m:sup>
        </m:s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D</m:t>
            </m:r>
          </m:sub>
        </m:sSub>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k</m:t>
            </m:r>
          </m:e>
          <m:sup>
            <m:r>
              <w:rPr>
                <w:rFonts w:ascii="Cambria Math" w:eastAsiaTheme="minorEastAsia" w:hAnsi="Cambria Math"/>
                <w:lang w:val="en-US"/>
              </w:rPr>
              <m:t>-</m:t>
            </m:r>
          </m:sup>
        </m:sSup>
        <m:r>
          <w:rPr>
            <w:rFonts w:ascii="Cambria Math" w:eastAsiaTheme="minorEastAsia" w:hAnsi="Cambria Math"/>
            <w:lang w:val="en-US"/>
          </w:rPr>
          <m:t>),λ(k))</m:t>
        </m:r>
      </m:oMath>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t>(3.15)</w:t>
      </w:r>
    </w:p>
    <w:p w14:paraId="745D4741" w14:textId="4A03916C" w:rsidR="00CB0351" w:rsidRPr="00CB0351" w:rsidRDefault="00783427" w:rsidP="00031C9B">
      <w:pPr>
        <w:spacing w:line="480" w:lineRule="auto"/>
        <w:rPr>
          <w:rFonts w:eastAsiaTheme="minorEastAsia"/>
          <w:lang w:val="en-US"/>
        </w:rPr>
      </w:pPr>
      <m:oMath>
        <m:acc>
          <m:accPr>
            <m:chr m:val="̇"/>
            <m:ctrlPr>
              <w:rPr>
                <w:rFonts w:ascii="Cambria Math" w:eastAsiaTheme="minorEastAsia" w:hAnsi="Cambria Math"/>
                <w:i/>
                <w:lang w:val="en-US"/>
              </w:rPr>
            </m:ctrlPr>
          </m:accPr>
          <m:e>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C</m:t>
                    </m:r>
                  </m:sub>
                </m:sSub>
              </m:e>
            </m:acc>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C</m:t>
                </m:r>
              </m:sub>
            </m:sSub>
            <m:r>
              <w:rPr>
                <w:rFonts w:ascii="Cambria Math" w:eastAsiaTheme="minorEastAsia" w:hAnsi="Cambria Math"/>
                <w:lang w:val="en-US"/>
              </w:rPr>
              <m:t>(x,y,</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c</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D</m:t>
                </m:r>
              </m:sub>
            </m:sSub>
            <m:r>
              <w:rPr>
                <w:rFonts w:ascii="Cambria Math" w:eastAsiaTheme="minorEastAsia" w:hAnsi="Cambria Math"/>
                <w:lang w:val="en-US"/>
              </w:rPr>
              <m:t>,λ)</m:t>
            </m:r>
          </m:e>
        </m:acc>
      </m:oMath>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r>
      <w:r w:rsidR="00D6076A">
        <w:rPr>
          <w:rFonts w:eastAsiaTheme="minorEastAsia"/>
          <w:lang w:val="en-US"/>
        </w:rPr>
        <w:tab/>
        <w:t>(3.16)</w:t>
      </w:r>
    </w:p>
    <w:p w14:paraId="6404EC2D" w14:textId="6167D374" w:rsidR="00942FD5" w:rsidRPr="00942FD5" w:rsidRDefault="00CB0351" w:rsidP="00942FD5">
      <w:pPr>
        <w:spacing w:line="480" w:lineRule="auto"/>
        <w:rPr>
          <w:rFonts w:eastAsiaTheme="minorEastAsia"/>
          <w:lang w:val="en-US"/>
        </w:rPr>
      </w:pPr>
      <w:r>
        <w:rPr>
          <w:rFonts w:eastAsiaTheme="minorEastAsia"/>
          <w:lang w:val="en-US"/>
        </w:rPr>
        <w:t>I</w:t>
      </w:r>
      <w:r w:rsidR="00D6076A">
        <w:rPr>
          <w:rFonts w:eastAsiaTheme="minorEastAsia"/>
          <w:lang w:val="en-US"/>
        </w:rPr>
        <w:t>n equations 3.13 to 3.16, x represents the transient state variables in the system, y includes the algebraic variables, f and g are network-specific functions, Z</w:t>
      </w:r>
      <w:r w:rsidR="00D6076A">
        <w:rPr>
          <w:rFonts w:eastAsiaTheme="minorEastAsia"/>
          <w:vertAlign w:val="subscript"/>
          <w:lang w:val="en-US"/>
        </w:rPr>
        <w:t>C</w:t>
      </w:r>
      <w:r w:rsidR="00D6076A">
        <w:rPr>
          <w:rFonts w:eastAsiaTheme="minorEastAsia"/>
          <w:lang w:val="en-US"/>
        </w:rPr>
        <w:t xml:space="preserve"> refers to load state variables, Z</w:t>
      </w:r>
      <w:r w:rsidR="00D6076A">
        <w:rPr>
          <w:rFonts w:eastAsiaTheme="minorEastAsia"/>
          <w:vertAlign w:val="subscript"/>
          <w:lang w:val="en-US"/>
        </w:rPr>
        <w:t>D</w:t>
      </w:r>
      <w:r w:rsidR="00D6076A">
        <w:rPr>
          <w:rFonts w:eastAsiaTheme="minorEastAsia"/>
          <w:lang w:val="en-US"/>
        </w:rPr>
        <w:t xml:space="preserve"> refers to control and protecti</w:t>
      </w:r>
      <w:r w:rsidR="00133549">
        <w:rPr>
          <w:rFonts w:eastAsiaTheme="minorEastAsia"/>
          <w:lang w:val="en-US"/>
        </w:rPr>
        <w:t>on</w:t>
      </w:r>
      <w:r w:rsidR="00D6076A">
        <w:rPr>
          <w:rFonts w:eastAsiaTheme="minorEastAsia"/>
          <w:lang w:val="en-US"/>
        </w:rPr>
        <w:t xml:space="preserve"> functions on the power system, k represents any constant of interest in the system, while </w:t>
      </w:r>
      <w:r w:rsidR="00D6076A">
        <w:rPr>
          <w:rFonts w:eastAsiaTheme="minorEastAsia" w:cs="Times New Roman"/>
          <w:lang w:val="en-US"/>
        </w:rPr>
        <w:t>λ</w:t>
      </w:r>
      <w:r w:rsidR="00D6076A">
        <w:rPr>
          <w:rFonts w:eastAsiaTheme="minorEastAsia"/>
          <w:lang w:val="en-US"/>
        </w:rPr>
        <w:t xml:space="preserve"> represents load demand coefficients and load-generation dynamics in the operation of the system.</w:t>
      </w:r>
      <w:r w:rsidR="008C1FFC">
        <w:rPr>
          <w:rFonts w:eastAsiaTheme="minorEastAsia"/>
          <w:lang w:val="en-US"/>
        </w:rPr>
        <w:t xml:space="preserve"> In a system with n buses and m generators, assumed to be identical in </w:t>
      </w:r>
      <w:r w:rsidR="00942FD5">
        <w:rPr>
          <w:rFonts w:eastAsiaTheme="minorEastAsia"/>
          <w:lang w:val="en-US"/>
        </w:rPr>
        <w:t xml:space="preserve">terms of their </w:t>
      </w:r>
      <w:r w:rsidR="008C1FFC">
        <w:rPr>
          <w:rFonts w:eastAsiaTheme="minorEastAsia"/>
          <w:lang w:val="en-US"/>
        </w:rPr>
        <w:t xml:space="preserve">excitation control mechanism, the </w:t>
      </w:r>
      <w:r w:rsidR="00942FD5">
        <w:rPr>
          <w:rFonts w:eastAsiaTheme="minorEastAsia"/>
          <w:lang w:val="en-US"/>
        </w:rPr>
        <w:t xml:space="preserve">rotor angle of the m-th generator can be chosen as the system reference. </w:t>
      </w:r>
      <w:r w:rsidR="00942FD5" w:rsidRPr="00942FD5">
        <w:rPr>
          <w:rFonts w:eastAsiaTheme="minorEastAsia"/>
          <w:lang w:val="en-US"/>
        </w:rPr>
        <w:t>When stator transients are</w:t>
      </w:r>
    </w:p>
    <w:p w14:paraId="7A7F7454" w14:textId="68772A72" w:rsidR="00CB0351" w:rsidRDefault="00942FD5" w:rsidP="00942FD5">
      <w:pPr>
        <w:spacing w:line="480" w:lineRule="auto"/>
        <w:rPr>
          <w:rFonts w:eastAsiaTheme="minorEastAsia"/>
          <w:lang w:val="en-US"/>
        </w:rPr>
      </w:pPr>
      <w:r>
        <w:rPr>
          <w:rFonts w:eastAsiaTheme="minorEastAsia"/>
          <w:lang w:val="en-US"/>
        </w:rPr>
        <w:t>ignored, the direct-and-quadrature axis</w:t>
      </w:r>
      <w:r w:rsidRPr="00942FD5">
        <w:rPr>
          <w:rFonts w:eastAsiaTheme="minorEastAsia"/>
          <w:lang w:val="en-US"/>
        </w:rPr>
        <w:t xml:space="preserve"> model describing the synchronous machine dynamics </w:t>
      </w:r>
      <w:r>
        <w:rPr>
          <w:rFonts w:eastAsiaTheme="minorEastAsia"/>
          <w:lang w:val="en-US"/>
        </w:rPr>
        <w:t>are</w:t>
      </w:r>
      <w:r w:rsidRPr="00942FD5">
        <w:rPr>
          <w:rFonts w:eastAsiaTheme="minorEastAsia"/>
          <w:lang w:val="en-US"/>
        </w:rPr>
        <w:t>:</w:t>
      </w:r>
    </w:p>
    <w:p w14:paraId="12A01E02" w14:textId="1D7CEBC7" w:rsidR="00942FD5" w:rsidRPr="00942FD5" w:rsidRDefault="00783427" w:rsidP="00942FD5">
      <w:pPr>
        <w:spacing w:line="480" w:lineRule="auto"/>
        <w:rPr>
          <w:rFonts w:eastAsiaTheme="minorEastAsia"/>
          <w:lang w:val="en-US"/>
        </w:rPr>
      </w:pP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δ</m:t>
                </m:r>
              </m:e>
            </m:acc>
          </m:e>
          <m:sub>
            <m:r>
              <w:rPr>
                <w:rFonts w:ascii="Cambria Math" w:eastAsiaTheme="minorEastAsia" w:hAnsi="Cambria Math"/>
                <w:lang w:val="en-US"/>
              </w:rPr>
              <m:t>i</m:t>
            </m:r>
          </m:sub>
        </m:sSub>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m</m:t>
                </m:r>
              </m:sub>
            </m:sSub>
          </m:e>
        </m:d>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0</m:t>
            </m:r>
          </m:sub>
        </m:sSub>
        <m:r>
          <w:rPr>
            <w:rFonts w:ascii="Cambria Math" w:eastAsiaTheme="minorEastAsia" w:hAnsi="Cambria Math"/>
            <w:lang w:val="en-US"/>
          </w:rPr>
          <m:t>, where i=1,…, m-1</m:t>
        </m:r>
      </m:oMath>
      <w:r w:rsidR="00350DDA">
        <w:rPr>
          <w:rFonts w:eastAsiaTheme="minorEastAsia"/>
          <w:lang w:val="en-US"/>
        </w:rPr>
        <w:t xml:space="preserve"> </w:t>
      </w:r>
      <w:r w:rsidR="00ED7D2E">
        <w:rPr>
          <w:rFonts w:eastAsiaTheme="minorEastAsia"/>
          <w:lang w:val="en-US"/>
        </w:rPr>
        <w:tab/>
      </w:r>
      <w:r w:rsidR="00ED7D2E">
        <w:rPr>
          <w:rFonts w:eastAsiaTheme="minorEastAsia"/>
          <w:lang w:val="en-US"/>
        </w:rPr>
        <w:tab/>
      </w:r>
      <w:r w:rsidR="00ED7D2E">
        <w:rPr>
          <w:rFonts w:eastAsiaTheme="minorEastAsia"/>
          <w:lang w:val="en-US"/>
        </w:rPr>
        <w:tab/>
      </w:r>
      <w:r w:rsidR="00ED7D2E">
        <w:rPr>
          <w:rFonts w:eastAsiaTheme="minorEastAsia"/>
          <w:lang w:val="en-US"/>
        </w:rPr>
        <w:tab/>
      </w:r>
      <w:r w:rsidR="00ED7D2E">
        <w:rPr>
          <w:rFonts w:eastAsiaTheme="minorEastAsia"/>
          <w:lang w:val="en-US"/>
        </w:rPr>
        <w:tab/>
      </w:r>
      <w:r w:rsidR="00ED7D2E">
        <w:rPr>
          <w:rFonts w:eastAsiaTheme="minorEastAsia"/>
          <w:lang w:val="en-US"/>
        </w:rPr>
        <w:tab/>
        <w:t>(3.17)</w:t>
      </w:r>
    </w:p>
    <w:p w14:paraId="0A75D621" w14:textId="702D742C" w:rsidR="00942FD5" w:rsidRDefault="00783427" w:rsidP="00942FD5">
      <w:pPr>
        <w:spacing w:line="480" w:lineRule="auto"/>
        <w:rPr>
          <w:rFonts w:eastAsiaTheme="minorEastAsia"/>
          <w:lang w:val="en-US"/>
        </w:rPr>
      </w:pPr>
      <m:oMath>
        <m:sSub>
          <m:sSubPr>
            <m:ctrlPr>
              <w:rPr>
                <w:rFonts w:ascii="Cambria Math" w:eastAsiaTheme="minorEastAsia" w:hAnsi="Cambria Math"/>
                <w:i/>
                <w:lang w:val="en-US"/>
              </w:rPr>
            </m:ctrlPr>
          </m:sSubPr>
          <m:e>
            <m:acc>
              <m:accPr>
                <m:chr m:val="̇"/>
                <m:ctrlPr>
                  <w:rPr>
                    <w:rFonts w:ascii="Cambria Math" w:eastAsiaTheme="minorEastAsia" w:hAnsi="Cambria Math"/>
                    <w:i/>
                    <w:lang w:val="en-US"/>
                  </w:rPr>
                </m:ctrlPr>
              </m:accPr>
              <m:e>
                <m:r>
                  <w:rPr>
                    <w:rFonts w:ascii="Cambria Math" w:eastAsiaTheme="minorEastAsia" w:hAnsi="Cambria Math"/>
                    <w:lang w:val="en-US"/>
                  </w:rPr>
                  <m:t>ω</m:t>
                </m:r>
              </m:e>
            </m:acc>
          </m:e>
          <m:sub>
            <m:r>
              <w:rPr>
                <w:rFonts w:ascii="Cambria Math" w:eastAsiaTheme="minorEastAsia" w:hAnsi="Cambria Math"/>
                <w:lang w:val="en-US"/>
              </w:rPr>
              <m:t>i</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i</m:t>
            </m:r>
          </m:sub>
          <m:sup>
            <m:r>
              <w:rPr>
                <w:rFonts w:ascii="Cambria Math" w:eastAsiaTheme="minorEastAsia" w:hAnsi="Cambria Math"/>
                <w:lang w:val="en-US"/>
              </w:rPr>
              <m:t>-1</m:t>
            </m:r>
          </m:sup>
        </m:sSubSup>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mi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ω</m:t>
                    </m:r>
                  </m:e>
                  <m:sub>
                    <m:r>
                      <w:rPr>
                        <w:rFonts w:ascii="Cambria Math" w:eastAsiaTheme="minorEastAsia" w:hAnsi="Cambria Math"/>
                        <w:lang w:val="en-US"/>
                      </w:rPr>
                      <m:t>m</m:t>
                    </m:r>
                  </m:sub>
                </m:sSub>
              </m:e>
            </m:d>
            <m:r>
              <w:rPr>
                <w:rFonts w:ascii="Cambria Math" w:eastAsiaTheme="minorEastAsia" w:hAnsi="Cambria Math"/>
                <w:lang w:val="en-US"/>
              </w:rPr>
              <m:t>-</m:t>
            </m:r>
            <m:d>
              <m:dPr>
                <m:ctrlPr>
                  <w:rPr>
                    <w:rFonts w:ascii="Cambria Math" w:eastAsiaTheme="minorEastAsia" w:hAnsi="Cambria Math"/>
                    <w:i/>
                    <w:lang w:val="en-US"/>
                  </w:rPr>
                </m:ctrlPr>
              </m:dPr>
              <m:e>
                <m:sSubSup>
                  <m:sSubSupPr>
                    <m:ctrlPr>
                      <w:rPr>
                        <w:rFonts w:ascii="Cambria Math" w:eastAsiaTheme="minorEastAsia" w:hAnsi="Cambria Math"/>
                        <w:i/>
                        <w:lang w:val="en-US"/>
                      </w:rPr>
                    </m:ctrlPr>
                  </m:sSubSupPr>
                  <m:e>
                    <m:r>
                      <w:rPr>
                        <w:rFonts w:ascii="Cambria Math" w:eastAsiaTheme="minorEastAsia" w:hAnsi="Cambria Math"/>
                        <w:lang w:val="en-US"/>
                      </w:rPr>
                      <m:t>E</m:t>
                    </m:r>
                  </m:e>
                  <m:sub>
                    <m:r>
                      <w:rPr>
                        <w:rFonts w:ascii="Cambria Math" w:eastAsiaTheme="minorEastAsia" w:hAnsi="Cambria Math"/>
                        <w:lang w:val="en-US"/>
                      </w:rPr>
                      <m:t>qi</m:t>
                    </m:r>
                  </m:sub>
                  <m:sup>
                    <m:r>
                      <w:rPr>
                        <w:rFonts w:ascii="Cambria Math" w:eastAsiaTheme="minorEastAsia" w:hAnsi="Cambria Math"/>
                        <w:lang w:val="en-US"/>
                      </w:rPr>
                      <m:t>'</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di</m:t>
                    </m:r>
                  </m:sub>
                  <m:sup>
                    <m:r>
                      <w:rPr>
                        <w:rFonts w:ascii="Cambria Math" w:eastAsiaTheme="minorEastAsia" w:hAnsi="Cambria Math"/>
                        <w:lang w:val="en-US"/>
                      </w:rPr>
                      <m:t>'</m:t>
                    </m:r>
                  </m:sup>
                </m:sSubSup>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di</m:t>
                    </m:r>
                  </m:sub>
                </m:sSub>
              </m:e>
            </m:d>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qi</m:t>
                </m:r>
              </m:sub>
            </m:sSub>
            <m:r>
              <w:rPr>
                <w:rFonts w:ascii="Cambria Math" w:eastAsiaTheme="minorEastAsia" w:hAnsi="Cambria Math"/>
                <w:lang w:val="en-US"/>
              </w:rPr>
              <m:t>-</m:t>
            </m:r>
            <m:d>
              <m:dPr>
                <m:ctrlPr>
                  <w:rPr>
                    <w:rFonts w:ascii="Cambria Math" w:eastAsiaTheme="minorEastAsia" w:hAnsi="Cambria Math"/>
                    <w:i/>
                    <w:lang w:val="en-US"/>
                  </w:rPr>
                </m:ctrlPr>
              </m:dPr>
              <m:e>
                <m:sSubSup>
                  <m:sSubSupPr>
                    <m:ctrlPr>
                      <w:rPr>
                        <w:rFonts w:ascii="Cambria Math" w:eastAsiaTheme="minorEastAsia" w:hAnsi="Cambria Math"/>
                        <w:i/>
                        <w:lang w:val="en-US"/>
                      </w:rPr>
                    </m:ctrlPr>
                  </m:sSubSupPr>
                  <m:e>
                    <m:r>
                      <w:rPr>
                        <w:rFonts w:ascii="Cambria Math" w:eastAsiaTheme="minorEastAsia" w:hAnsi="Cambria Math"/>
                        <w:lang w:val="en-US"/>
                      </w:rPr>
                      <m:t>E</m:t>
                    </m:r>
                  </m:e>
                  <m:sub>
                    <m:r>
                      <w:rPr>
                        <w:rFonts w:ascii="Cambria Math" w:eastAsiaTheme="minorEastAsia" w:hAnsi="Cambria Math"/>
                        <w:lang w:val="en-US"/>
                      </w:rPr>
                      <m:t>di</m:t>
                    </m:r>
                  </m:sub>
                  <m:sup>
                    <m:r>
                      <w:rPr>
                        <w:rFonts w:ascii="Cambria Math" w:eastAsiaTheme="minorEastAsia" w:hAnsi="Cambria Math"/>
                        <w:lang w:val="en-US"/>
                      </w:rPr>
                      <m:t>'</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qi</m:t>
                    </m:r>
                  </m:sub>
                  <m:sup>
                    <m:r>
                      <w:rPr>
                        <w:rFonts w:ascii="Cambria Math" w:eastAsiaTheme="minorEastAsia" w:hAnsi="Cambria Math"/>
                        <w:lang w:val="en-US"/>
                      </w:rPr>
                      <m:t>'</m:t>
                    </m:r>
                  </m:sup>
                </m:sSubSup>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qi</m:t>
                    </m:r>
                  </m:sub>
                </m:sSub>
              </m:e>
            </m:d>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di</m:t>
                </m:r>
              </m:sub>
            </m:sSub>
          </m:e>
        </m:d>
        <m:r>
          <w:rPr>
            <w:rFonts w:ascii="Cambria Math" w:eastAsiaTheme="minorEastAsia" w:hAnsi="Cambria Math"/>
            <w:lang w:val="en-US"/>
          </w:rPr>
          <m:t>,  i=1 to m</m:t>
        </m:r>
      </m:oMath>
      <w:r w:rsidR="00350DDA">
        <w:rPr>
          <w:rFonts w:eastAsiaTheme="minorEastAsia"/>
          <w:lang w:val="en-US"/>
        </w:rPr>
        <w:t xml:space="preserve"> </w:t>
      </w:r>
    </w:p>
    <w:p w14:paraId="1ACEAC74" w14:textId="57E83BDB" w:rsidR="00ED7D2E" w:rsidRDefault="00ED7D2E" w:rsidP="00942FD5">
      <w:pPr>
        <w:spacing w:line="480" w:lineRule="auto"/>
        <w:rPr>
          <w:rFonts w:eastAsiaTheme="minorEastAsia"/>
          <w:lang w:val="en-US"/>
        </w:rPr>
      </w:pP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t>(3.18)</w:t>
      </w:r>
    </w:p>
    <w:p w14:paraId="4F7BCABF" w14:textId="0F130502" w:rsidR="008C1FFC" w:rsidRDefault="00783427" w:rsidP="00031C9B">
      <w:pPr>
        <w:spacing w:line="480" w:lineRule="auto"/>
        <w:rPr>
          <w:rFonts w:eastAsiaTheme="minorEastAsia"/>
          <w:lang w:val="en-US"/>
        </w:rPr>
      </w:pPr>
      <m:oMath>
        <m:acc>
          <m:accPr>
            <m:chr m:val="̇"/>
            <m:ctrlPr>
              <w:rPr>
                <w:rFonts w:ascii="Cambria Math" w:eastAsiaTheme="minorEastAsia" w:hAnsi="Cambria Math"/>
                <w:i/>
                <w:lang w:val="en-US"/>
              </w:rPr>
            </m:ctrlPr>
          </m:accPr>
          <m:e>
            <m:sSubSup>
              <m:sSubSupPr>
                <m:ctrlPr>
                  <w:rPr>
                    <w:rFonts w:ascii="Cambria Math" w:eastAsiaTheme="minorEastAsia" w:hAnsi="Cambria Math"/>
                    <w:i/>
                    <w:lang w:val="en-US"/>
                  </w:rPr>
                </m:ctrlPr>
              </m:sSubSupPr>
              <m:e>
                <m:r>
                  <w:rPr>
                    <w:rFonts w:ascii="Cambria Math" w:eastAsiaTheme="minorEastAsia" w:hAnsi="Cambria Math"/>
                    <w:lang w:val="en-US"/>
                  </w:rPr>
                  <m:t>E</m:t>
                </m:r>
              </m:e>
              <m:sub>
                <m:r>
                  <w:rPr>
                    <w:rFonts w:ascii="Cambria Math" w:eastAsiaTheme="minorEastAsia" w:hAnsi="Cambria Math"/>
                    <w:lang w:val="en-US"/>
                  </w:rPr>
                  <m:t>qi</m:t>
                </m:r>
              </m:sub>
              <m:sup>
                <m:r>
                  <w:rPr>
                    <w:rFonts w:ascii="Cambria Math" w:eastAsiaTheme="minorEastAsia" w:hAnsi="Cambria Math"/>
                    <w:lang w:val="en-US"/>
                  </w:rPr>
                  <m:t>'</m:t>
                </m:r>
              </m:sup>
            </m:sSubSup>
          </m:e>
        </m:acc>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T</m:t>
            </m:r>
          </m:e>
          <m:sub>
            <m:r>
              <w:rPr>
                <w:rFonts w:ascii="Cambria Math" w:eastAsiaTheme="minorEastAsia" w:hAnsi="Cambria Math"/>
                <w:lang w:val="en-US"/>
              </w:rPr>
              <m:t>d0i</m:t>
            </m:r>
          </m:sub>
          <m:sup>
            <m:r>
              <w:rPr>
                <w:rFonts w:ascii="Cambria Math" w:eastAsiaTheme="minorEastAsia" w:hAnsi="Cambria Math"/>
                <w:lang w:val="en-US"/>
              </w:rPr>
              <m:t>-1</m:t>
            </m:r>
          </m:sup>
        </m:sSubSup>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fdi</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E</m:t>
                </m:r>
              </m:e>
              <m:sub>
                <m:r>
                  <w:rPr>
                    <w:rFonts w:ascii="Cambria Math" w:eastAsiaTheme="minorEastAsia" w:hAnsi="Cambria Math"/>
                    <w:lang w:val="en-US"/>
                  </w:rPr>
                  <m:t>qi</m:t>
                </m:r>
              </m:sub>
              <m:sup>
                <m:r>
                  <w:rPr>
                    <w:rFonts w:ascii="Cambria Math" w:eastAsiaTheme="minorEastAsia" w:hAnsi="Cambria Math"/>
                    <w:lang w:val="en-US"/>
                  </w:rPr>
                  <m:t>'</m:t>
                </m:r>
              </m:sup>
            </m:sSubSup>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di</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di</m:t>
                    </m:r>
                  </m:sub>
                  <m:sup>
                    <m:r>
                      <w:rPr>
                        <w:rFonts w:ascii="Cambria Math" w:eastAsiaTheme="minorEastAsia" w:hAnsi="Cambria Math"/>
                        <w:lang w:val="en-US"/>
                      </w:rPr>
                      <m:t>'</m:t>
                    </m:r>
                  </m:sup>
                </m:sSubSup>
              </m:e>
            </m:d>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di</m:t>
                </m:r>
              </m:sub>
            </m:sSub>
          </m:e>
        </m:d>
        <m:r>
          <w:rPr>
            <w:rFonts w:ascii="Cambria Math" w:eastAsiaTheme="minorEastAsia" w:hAnsi="Cambria Math"/>
            <w:lang w:val="en-US"/>
          </w:rPr>
          <m:t xml:space="preserve"> i=1,…,m</m:t>
        </m:r>
      </m:oMath>
      <w:r w:rsidR="00350DDA">
        <w:rPr>
          <w:rFonts w:eastAsiaTheme="minorEastAsia"/>
          <w:lang w:val="en-US"/>
        </w:rPr>
        <w:t xml:space="preserve"> </w:t>
      </w:r>
      <w:r w:rsidR="00ED7D2E">
        <w:rPr>
          <w:rFonts w:eastAsiaTheme="minorEastAsia"/>
          <w:lang w:val="en-US"/>
        </w:rPr>
        <w:tab/>
      </w:r>
      <w:r w:rsidR="00ED7D2E">
        <w:rPr>
          <w:rFonts w:eastAsiaTheme="minorEastAsia"/>
          <w:lang w:val="en-US"/>
        </w:rPr>
        <w:tab/>
      </w:r>
      <w:r w:rsidR="00ED7D2E">
        <w:rPr>
          <w:rFonts w:eastAsiaTheme="minorEastAsia"/>
          <w:lang w:val="en-US"/>
        </w:rPr>
        <w:tab/>
      </w:r>
      <w:r w:rsidR="00ED7D2E">
        <w:rPr>
          <w:rFonts w:eastAsiaTheme="minorEastAsia"/>
          <w:lang w:val="en-US"/>
        </w:rPr>
        <w:tab/>
        <w:t>(3.19)</w:t>
      </w:r>
    </w:p>
    <w:p w14:paraId="40D56087" w14:textId="4008AA32" w:rsidR="00350DDA" w:rsidRPr="00D6076A" w:rsidRDefault="00783427" w:rsidP="00031C9B">
      <w:pPr>
        <w:spacing w:line="480" w:lineRule="auto"/>
        <w:rPr>
          <w:rFonts w:eastAsiaTheme="minorEastAsia"/>
          <w:lang w:val="en-US"/>
        </w:rPr>
      </w:pPr>
      <m:oMath>
        <m:sSubSup>
          <m:sSubSupPr>
            <m:ctrlPr>
              <w:rPr>
                <w:rFonts w:ascii="Cambria Math" w:eastAsiaTheme="minorEastAsia" w:hAnsi="Cambria Math"/>
                <w:i/>
                <w:lang w:val="en-US"/>
              </w:rPr>
            </m:ctrlPr>
          </m:sSubSupPr>
          <m:e>
            <m:r>
              <w:rPr>
                <w:rFonts w:ascii="Cambria Math" w:eastAsiaTheme="minorEastAsia" w:hAnsi="Cambria Math"/>
                <w:lang w:val="en-US"/>
              </w:rPr>
              <m:t>E</m:t>
            </m:r>
          </m:e>
          <m:sub>
            <m:r>
              <w:rPr>
                <w:rFonts w:ascii="Cambria Math" w:eastAsiaTheme="minorEastAsia" w:hAnsi="Cambria Math"/>
                <w:lang w:val="en-US"/>
              </w:rPr>
              <m:t>di</m:t>
            </m:r>
          </m:sub>
          <m:sup>
            <m:r>
              <w:rPr>
                <w:rFonts w:ascii="Cambria Math" w:eastAsiaTheme="minorEastAsia" w:hAnsi="Cambria Math"/>
                <w:lang w:val="en-US"/>
              </w:rPr>
              <m:t>'</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T</m:t>
            </m:r>
          </m:e>
          <m:sub>
            <m:r>
              <w:rPr>
                <w:rFonts w:ascii="Cambria Math" w:eastAsiaTheme="minorEastAsia" w:hAnsi="Cambria Math"/>
                <w:lang w:val="en-US"/>
              </w:rPr>
              <m:t>q0i</m:t>
            </m:r>
          </m:sub>
          <m:sup>
            <m:r>
              <w:rPr>
                <w:rFonts w:ascii="Cambria Math" w:eastAsiaTheme="minorEastAsia" w:hAnsi="Cambria Math"/>
                <w:lang w:val="en-US"/>
              </w:rPr>
              <m:t>-1</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E</m:t>
            </m:r>
          </m:e>
          <m:sub>
            <m:r>
              <w:rPr>
                <w:rFonts w:ascii="Cambria Math" w:eastAsiaTheme="minorEastAsia" w:hAnsi="Cambria Math"/>
                <w:lang w:val="en-US"/>
              </w:rPr>
              <m:t>di</m:t>
            </m:r>
          </m:sub>
          <m:sup>
            <m:r>
              <w:rPr>
                <w:rFonts w:ascii="Cambria Math" w:eastAsiaTheme="minorEastAsia" w:hAnsi="Cambria Math"/>
                <w:lang w:val="en-US"/>
              </w:rPr>
              <m:t>'</m:t>
            </m:r>
          </m:sup>
        </m:sSubSup>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qi</m:t>
                </m:r>
              </m:sub>
            </m:sSub>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lang w:val="en-US"/>
                  </w:rPr>
                  <m:t>qi</m:t>
                </m:r>
              </m:sub>
              <m:sup>
                <m:r>
                  <w:rPr>
                    <w:rFonts w:ascii="Cambria Math" w:eastAsiaTheme="minorEastAsia" w:hAnsi="Cambria Math"/>
                    <w:lang w:val="en-US"/>
                  </w:rPr>
                  <m:t>'</m:t>
                </m:r>
              </m:sup>
            </m:sSubSup>
          </m:e>
        </m:d>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qi</m:t>
            </m:r>
          </m:sub>
        </m:sSub>
        <m:r>
          <w:rPr>
            <w:rFonts w:ascii="Cambria Math" w:eastAsiaTheme="minorEastAsia" w:hAnsi="Cambria Math"/>
            <w:lang w:val="en-US"/>
          </w:rPr>
          <m:t>,  i=1,…,m</m:t>
        </m:r>
      </m:oMath>
      <w:r w:rsidR="00350DDA">
        <w:rPr>
          <w:rFonts w:eastAsiaTheme="minorEastAsia"/>
          <w:lang w:val="en-US"/>
        </w:rPr>
        <w:t xml:space="preserve"> </w:t>
      </w:r>
      <w:r w:rsidR="00ED7D2E">
        <w:rPr>
          <w:rFonts w:eastAsiaTheme="minorEastAsia"/>
          <w:lang w:val="en-US"/>
        </w:rPr>
        <w:tab/>
      </w:r>
      <w:r w:rsidR="00ED7D2E">
        <w:rPr>
          <w:rFonts w:eastAsiaTheme="minorEastAsia"/>
          <w:lang w:val="en-US"/>
        </w:rPr>
        <w:tab/>
      </w:r>
      <w:r w:rsidR="00ED7D2E">
        <w:rPr>
          <w:rFonts w:eastAsiaTheme="minorEastAsia"/>
          <w:lang w:val="en-US"/>
        </w:rPr>
        <w:tab/>
      </w:r>
      <w:r w:rsidR="00ED7D2E">
        <w:rPr>
          <w:rFonts w:eastAsiaTheme="minorEastAsia"/>
          <w:lang w:val="en-US"/>
        </w:rPr>
        <w:tab/>
      </w:r>
      <w:r w:rsidR="00ED7D2E">
        <w:rPr>
          <w:rFonts w:eastAsiaTheme="minorEastAsia"/>
          <w:lang w:val="en-US"/>
        </w:rPr>
        <w:tab/>
        <w:t>(3.20)</w:t>
      </w:r>
    </w:p>
    <w:p w14:paraId="35637547" w14:textId="01E1F050" w:rsidR="00031C9B" w:rsidRDefault="00ED7D2E" w:rsidP="00031C9B">
      <w:pPr>
        <w:spacing w:line="480" w:lineRule="auto"/>
        <w:rPr>
          <w:rFonts w:eastAsiaTheme="minorEastAsia"/>
          <w:lang w:val="en-US"/>
        </w:rPr>
      </w:pPr>
      <w:r>
        <w:rPr>
          <w:rFonts w:eastAsiaTheme="minorEastAsia"/>
          <w:lang w:val="en-US"/>
        </w:rPr>
        <w:t xml:space="preserve">In equations </w:t>
      </w:r>
      <w:r w:rsidR="008C490F">
        <w:rPr>
          <w:rFonts w:eastAsiaTheme="minorEastAsia"/>
          <w:lang w:val="en-US"/>
        </w:rPr>
        <w:t xml:space="preserve">3.17 to 3.20, the </w:t>
      </w:r>
      <w:r w:rsidR="008C490F">
        <w:rPr>
          <w:rFonts w:eastAsiaTheme="minorEastAsia" w:cs="Times New Roman"/>
          <w:lang w:val="en-US"/>
        </w:rPr>
        <w:t>ω</w:t>
      </w:r>
      <w:r w:rsidR="008C490F">
        <w:rPr>
          <w:rFonts w:eastAsiaTheme="minorEastAsia"/>
          <w:vertAlign w:val="subscript"/>
          <w:lang w:val="en-US"/>
        </w:rPr>
        <w:t>m</w:t>
      </w:r>
      <w:r w:rsidR="008C490F">
        <w:rPr>
          <w:rFonts w:eastAsiaTheme="minorEastAsia"/>
          <w:lang w:val="en-US"/>
        </w:rPr>
        <w:t xml:space="preserve"> is the system frequency, </w:t>
      </w:r>
      <w:r w:rsidR="008C490F">
        <w:rPr>
          <w:rFonts w:eastAsiaTheme="minorEastAsia" w:cs="Times New Roman"/>
          <w:lang w:val="en-US"/>
        </w:rPr>
        <w:t>ω</w:t>
      </w:r>
      <w:r w:rsidR="008C490F">
        <w:rPr>
          <w:rFonts w:eastAsiaTheme="minorEastAsia"/>
          <w:vertAlign w:val="subscript"/>
          <w:lang w:val="en-US"/>
        </w:rPr>
        <w:t>i</w:t>
      </w:r>
      <w:r w:rsidR="008C490F">
        <w:rPr>
          <w:rFonts w:eastAsiaTheme="minorEastAsia"/>
          <w:lang w:val="en-US"/>
        </w:rPr>
        <w:t xml:space="preserve"> is the generator/machine frequency, and the  </w:t>
      </w:r>
      <w:r w:rsidR="008C490F">
        <w:rPr>
          <w:rFonts w:eastAsiaTheme="minorEastAsia" w:cs="Times New Roman"/>
          <w:lang w:val="en-US"/>
        </w:rPr>
        <w:t>ω</w:t>
      </w:r>
      <w:r w:rsidR="008C490F">
        <w:rPr>
          <w:rFonts w:eastAsiaTheme="minorEastAsia"/>
          <w:vertAlign w:val="subscript"/>
          <w:lang w:val="en-US"/>
        </w:rPr>
        <w:t>0</w:t>
      </w:r>
      <w:r w:rsidR="008C490F">
        <w:rPr>
          <w:rFonts w:eastAsiaTheme="minorEastAsia"/>
          <w:lang w:val="en-US"/>
        </w:rPr>
        <w:t xml:space="preserve"> is the system’s rated frequency</w:t>
      </w:r>
      <w:r w:rsidR="0016258C">
        <w:rPr>
          <w:rFonts w:eastAsiaTheme="minorEastAsia"/>
          <w:lang w:val="en-US"/>
        </w:rPr>
        <w:t xml:space="preserve"> in radians per second</w:t>
      </w:r>
      <w:r w:rsidR="008C490F">
        <w:rPr>
          <w:rFonts w:eastAsiaTheme="minorEastAsia"/>
          <w:lang w:val="en-US"/>
        </w:rPr>
        <w:t>.</w:t>
      </w:r>
      <w:r w:rsidR="0016258C">
        <w:rPr>
          <w:rFonts w:eastAsiaTheme="minorEastAsia"/>
          <w:lang w:val="en-US"/>
        </w:rPr>
        <w:t xml:space="preserve"> The q and d represent quadrature and direct axes quantities. </w:t>
      </w:r>
    </w:p>
    <w:p w14:paraId="53CCDC1E" w14:textId="41A5F509" w:rsidR="0016258C" w:rsidRDefault="0016258C" w:rsidP="00031C9B">
      <w:pPr>
        <w:spacing w:line="480" w:lineRule="auto"/>
        <w:rPr>
          <w:rFonts w:eastAsiaTheme="minorEastAsia"/>
          <w:lang w:val="en-US"/>
        </w:rPr>
      </w:pPr>
      <w:r>
        <w:rPr>
          <w:rFonts w:eastAsiaTheme="minorEastAsia"/>
          <w:lang w:val="en-US"/>
        </w:rPr>
        <w:t xml:space="preserve">The real and reactive power </w:t>
      </w:r>
      <w:r w:rsidR="00754ECE">
        <w:rPr>
          <w:rFonts w:eastAsiaTheme="minorEastAsia"/>
          <w:lang w:val="en-US"/>
        </w:rPr>
        <w:t xml:space="preserve">outputs from generators </w:t>
      </w:r>
      <w:r>
        <w:rPr>
          <w:rFonts w:eastAsiaTheme="minorEastAsia"/>
          <w:lang w:val="en-US"/>
        </w:rPr>
        <w:t>are formulated as:</w:t>
      </w:r>
    </w:p>
    <w:p w14:paraId="200D1E00" w14:textId="5AF6B569" w:rsidR="0016258C" w:rsidRDefault="00783427" w:rsidP="00031C9B">
      <w:pPr>
        <w:spacing w:line="480"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gi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di</m:t>
            </m:r>
          </m:sub>
        </m:s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m:t>
            </m:r>
          </m:sub>
        </m:sSub>
        <m:func>
          <m:funcPr>
            <m:ctrlPr>
              <w:rPr>
                <w:rFonts w:ascii="Cambria Math" w:eastAsiaTheme="minorEastAsia" w:hAnsi="Cambria Math"/>
                <w:i/>
                <w:lang w:val="en-US"/>
              </w:rPr>
            </m:ctrlPr>
          </m:funcPr>
          <m:fName>
            <m:r>
              <m:rPr>
                <m:sty m:val="p"/>
              </m:rPr>
              <w:rPr>
                <w:rFonts w:ascii="Cambria Math" w:eastAsiaTheme="minorEastAsia" w:hAnsi="Cambria Math"/>
                <w:lang w:val="en-US"/>
              </w:rPr>
              <m:t>sin</m:t>
            </m:r>
          </m:fName>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θ</m:t>
                    </m:r>
                  </m:e>
                  <m:sub>
                    <m:r>
                      <w:rPr>
                        <w:rFonts w:ascii="Cambria Math" w:eastAsiaTheme="minorEastAsia" w:hAnsi="Cambria Math"/>
                        <w:lang w:val="en-US"/>
                      </w:rPr>
                      <m:t>i</m:t>
                    </m:r>
                  </m:sub>
                </m:sSub>
              </m:e>
            </m:d>
          </m:e>
        </m:func>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qi</m:t>
            </m:r>
          </m:sub>
        </m:s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m:t>
            </m:r>
          </m:sub>
        </m:sSub>
        <m:func>
          <m:funcPr>
            <m:ctrlPr>
              <w:rPr>
                <w:rFonts w:ascii="Cambria Math" w:eastAsiaTheme="minorEastAsia" w:hAnsi="Cambria Math"/>
                <w:i/>
                <w:lang w:val="en-US"/>
              </w:rPr>
            </m:ctrlPr>
          </m:funcPr>
          <m:fName>
            <m:r>
              <m:rPr>
                <m:sty m:val="p"/>
              </m:rPr>
              <w:rPr>
                <w:rFonts w:ascii="Cambria Math" w:eastAsiaTheme="minorEastAsia" w:hAnsi="Cambria Math"/>
                <w:lang w:val="en-US"/>
              </w:rPr>
              <m:t>cos</m:t>
            </m:r>
          </m:fName>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θ</m:t>
                    </m:r>
                  </m:e>
                  <m:sub>
                    <m:r>
                      <w:rPr>
                        <w:rFonts w:ascii="Cambria Math" w:eastAsiaTheme="minorEastAsia" w:hAnsi="Cambria Math"/>
                        <w:lang w:val="en-US"/>
                      </w:rPr>
                      <m:t>i</m:t>
                    </m:r>
                  </m:sub>
                </m:sSub>
              </m:e>
            </m:d>
          </m:e>
        </m:func>
        <m:r>
          <w:rPr>
            <w:rFonts w:ascii="Cambria Math" w:eastAsiaTheme="minorEastAsia" w:hAnsi="Cambria Math"/>
            <w:lang w:val="en-US"/>
          </w:rPr>
          <m:t xml:space="preserve">    i=1,…,m</m:t>
        </m:r>
      </m:oMath>
      <w:r w:rsidR="00CF59F2">
        <w:rPr>
          <w:rFonts w:eastAsiaTheme="minorEastAsia"/>
          <w:lang w:val="en-US"/>
        </w:rPr>
        <w:tab/>
      </w:r>
      <w:r w:rsidR="00CF59F2">
        <w:rPr>
          <w:rFonts w:eastAsiaTheme="minorEastAsia"/>
          <w:lang w:val="en-US"/>
        </w:rPr>
        <w:tab/>
      </w:r>
      <w:r w:rsidR="00CF59F2">
        <w:rPr>
          <w:rFonts w:eastAsiaTheme="minorEastAsia"/>
          <w:lang w:val="en-US"/>
        </w:rPr>
        <w:tab/>
      </w:r>
      <w:r w:rsidR="00CF59F2">
        <w:rPr>
          <w:rFonts w:eastAsiaTheme="minorEastAsia"/>
          <w:lang w:val="en-US"/>
        </w:rPr>
        <w:tab/>
        <w:t>(3.21)</w:t>
      </w:r>
    </w:p>
    <w:p w14:paraId="5D0E1C0D" w14:textId="5C8AACE5" w:rsidR="008B418A" w:rsidRPr="008B418A" w:rsidRDefault="00783427" w:rsidP="00420540">
      <w:pPr>
        <w:spacing w:line="480" w:lineRule="auto"/>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gi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di</m:t>
            </m:r>
          </m:sub>
        </m:s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m:t>
            </m:r>
          </m:sub>
        </m:sSub>
        <m:func>
          <m:funcPr>
            <m:ctrlPr>
              <w:rPr>
                <w:rFonts w:ascii="Cambria Math" w:eastAsiaTheme="minorEastAsia" w:hAnsi="Cambria Math"/>
                <w:i/>
                <w:lang w:val="en-US"/>
              </w:rPr>
            </m:ctrlPr>
          </m:funcPr>
          <m:fName>
            <m:r>
              <m:rPr>
                <m:sty m:val="p"/>
              </m:rPr>
              <w:rPr>
                <w:rFonts w:ascii="Cambria Math" w:eastAsiaTheme="minorEastAsia" w:hAnsi="Cambria Math"/>
                <w:lang w:val="en-US"/>
              </w:rPr>
              <m:t>cos</m:t>
            </m:r>
          </m:fName>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θ</m:t>
                    </m:r>
                  </m:e>
                  <m:sub>
                    <m:r>
                      <w:rPr>
                        <w:rFonts w:ascii="Cambria Math" w:eastAsiaTheme="minorEastAsia" w:hAnsi="Cambria Math"/>
                        <w:lang w:val="en-US"/>
                      </w:rPr>
                      <m:t>i</m:t>
                    </m:r>
                  </m:sub>
                </m:sSub>
              </m:e>
            </m:d>
          </m:e>
        </m:func>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qi</m:t>
            </m:r>
          </m:sub>
        </m:s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i</m:t>
            </m:r>
          </m:sub>
        </m:sSub>
        <m:func>
          <m:funcPr>
            <m:ctrlPr>
              <w:rPr>
                <w:rFonts w:ascii="Cambria Math" w:eastAsiaTheme="minorEastAsia" w:hAnsi="Cambria Math"/>
                <w:i/>
                <w:lang w:val="en-US"/>
              </w:rPr>
            </m:ctrlPr>
          </m:funcPr>
          <m:fName>
            <m:r>
              <m:rPr>
                <m:sty m:val="p"/>
              </m:rPr>
              <w:rPr>
                <w:rFonts w:ascii="Cambria Math" w:eastAsiaTheme="minorEastAsia" w:hAnsi="Cambria Math"/>
                <w:lang w:val="en-US"/>
              </w:rPr>
              <m:t xml:space="preserve">sin </m:t>
            </m:r>
          </m:fName>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δ</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θ</m:t>
                    </m:r>
                  </m:e>
                  <m:sub>
                    <m:r>
                      <w:rPr>
                        <w:rFonts w:ascii="Cambria Math" w:eastAsiaTheme="minorEastAsia" w:hAnsi="Cambria Math"/>
                        <w:lang w:val="en-US"/>
                      </w:rPr>
                      <m:t>i</m:t>
                    </m:r>
                  </m:sub>
                </m:sSub>
              </m:e>
            </m:d>
          </m:e>
        </m:func>
        <m:r>
          <w:rPr>
            <w:rFonts w:ascii="Cambria Math" w:eastAsiaTheme="minorEastAsia" w:hAnsi="Cambria Math"/>
            <w:lang w:val="en-US"/>
          </w:rPr>
          <m:t xml:space="preserve">    i=1,…,m</m:t>
        </m:r>
      </m:oMath>
      <w:r w:rsidR="008B418A">
        <w:rPr>
          <w:rFonts w:eastAsiaTheme="minorEastAsia"/>
          <w:lang w:val="en-US"/>
        </w:rPr>
        <w:t xml:space="preserve"> </w:t>
      </w:r>
      <w:r w:rsidR="008B418A">
        <w:rPr>
          <w:rFonts w:eastAsiaTheme="minorEastAsia"/>
          <w:lang w:val="en-US"/>
        </w:rPr>
        <w:tab/>
      </w:r>
      <w:r w:rsidR="008B418A">
        <w:rPr>
          <w:rFonts w:eastAsiaTheme="minorEastAsia"/>
          <w:lang w:val="en-US"/>
        </w:rPr>
        <w:tab/>
      </w:r>
      <w:r w:rsidR="008B418A">
        <w:rPr>
          <w:rFonts w:eastAsiaTheme="minorEastAsia"/>
          <w:lang w:val="en-US"/>
        </w:rPr>
        <w:tab/>
        <w:t>(3.22)</w:t>
      </w:r>
    </w:p>
    <w:p w14:paraId="449F47D9" w14:textId="43A43B82" w:rsidR="00464A8F" w:rsidRPr="00464A8F" w:rsidRDefault="008B418A" w:rsidP="00464A8F">
      <w:pPr>
        <w:rPr>
          <w:lang w:val="en-US"/>
        </w:rPr>
      </w:pPr>
      <w:r>
        <w:rPr>
          <w:lang w:val="en-US"/>
        </w:rPr>
        <w:t xml:space="preserve">Equations 3.21 and 3.22 have </w:t>
      </w:r>
      <w:r>
        <w:rPr>
          <w:rFonts w:cs="Times New Roman"/>
          <w:lang w:val="en-US"/>
        </w:rPr>
        <w:t>θ and δ representing the power angle and the voltage angle respectively.</w:t>
      </w:r>
    </w:p>
    <w:p w14:paraId="0C36BC63" w14:textId="2D84C969" w:rsidR="00D007BB" w:rsidRDefault="00270E58" w:rsidP="00F03645">
      <w:pPr>
        <w:pStyle w:val="Heading3"/>
        <w:spacing w:line="480" w:lineRule="auto"/>
        <w:rPr>
          <w:rFonts w:eastAsiaTheme="minorEastAsia"/>
        </w:rPr>
      </w:pPr>
      <w:bookmarkStart w:id="48" w:name="_Toc110502586"/>
      <w:r>
        <w:rPr>
          <w:rFonts w:eastAsiaTheme="minorEastAsia"/>
        </w:rPr>
        <w:t>3.3</w:t>
      </w:r>
      <w:r w:rsidR="00464A8F">
        <w:rPr>
          <w:rFonts w:eastAsiaTheme="minorEastAsia"/>
        </w:rPr>
        <w:t>.3</w:t>
      </w:r>
      <w:r w:rsidR="004B7FDA">
        <w:rPr>
          <w:rFonts w:eastAsiaTheme="minorEastAsia"/>
        </w:rPr>
        <w:tab/>
      </w:r>
      <w:r w:rsidR="006B628B">
        <w:rPr>
          <w:rFonts w:eastAsiaTheme="minorEastAsia"/>
        </w:rPr>
        <w:t>Micro</w:t>
      </w:r>
      <w:r w:rsidR="00D007BB">
        <w:rPr>
          <w:rFonts w:eastAsiaTheme="minorEastAsia"/>
        </w:rPr>
        <w:t xml:space="preserve">-Hydro </w:t>
      </w:r>
      <w:r w:rsidR="006B628B">
        <w:rPr>
          <w:rFonts w:eastAsiaTheme="minorEastAsia"/>
        </w:rPr>
        <w:t xml:space="preserve">Turbine </w:t>
      </w:r>
      <w:r w:rsidR="00D007BB">
        <w:rPr>
          <w:rFonts w:eastAsiaTheme="minorEastAsia"/>
        </w:rPr>
        <w:t>Modelling</w:t>
      </w:r>
      <w:bookmarkEnd w:id="48"/>
      <w:r w:rsidR="00D007BB">
        <w:rPr>
          <w:rFonts w:eastAsiaTheme="minorEastAsia"/>
        </w:rPr>
        <w:t xml:space="preserve"> </w:t>
      </w:r>
    </w:p>
    <w:p w14:paraId="2CAEED81" w14:textId="733A81AC" w:rsidR="00D007BB" w:rsidRDefault="00D007BB" w:rsidP="00F03645">
      <w:pPr>
        <w:spacing w:line="480" w:lineRule="auto"/>
        <w:rPr>
          <w:lang w:val="en-US"/>
        </w:rPr>
      </w:pPr>
      <w:r>
        <w:rPr>
          <w:lang w:val="en-US"/>
        </w:rPr>
        <w:t xml:space="preserve">The </w:t>
      </w:r>
      <w:r w:rsidR="006B628B">
        <w:rPr>
          <w:lang w:val="en-US"/>
        </w:rPr>
        <w:t>micro</w:t>
      </w:r>
      <w:r>
        <w:rPr>
          <w:lang w:val="en-US"/>
        </w:rPr>
        <w:t xml:space="preserve">-hydro turbines </w:t>
      </w:r>
      <w:r w:rsidR="006B628B">
        <w:rPr>
          <w:lang w:val="en-US"/>
        </w:rPr>
        <w:t>for low-</w:t>
      </w:r>
      <w:r>
        <w:rPr>
          <w:lang w:val="en-US"/>
        </w:rPr>
        <w:t>head sites</w:t>
      </w:r>
      <w:r w:rsidR="006B628B">
        <w:rPr>
          <w:lang w:val="en-US"/>
        </w:rPr>
        <w:t xml:space="preserve"> such as the Osin river site</w:t>
      </w:r>
      <w:r>
        <w:rPr>
          <w:lang w:val="en-US"/>
        </w:rPr>
        <w:t xml:space="preserve"> are usually based on the Kaplan designs. For a site such as the one in consideration, the following assumptions are in order: that the hydraulic resistance is negligible, that the penstock pipe </w:t>
      </w:r>
      <w:r w:rsidR="002976BE">
        <w:rPr>
          <w:lang w:val="en-US"/>
        </w:rPr>
        <w:t>is not elastic, that hydraulic flow</w:t>
      </w:r>
      <w:r>
        <w:rPr>
          <w:lang w:val="en-US"/>
        </w:rPr>
        <w:t xml:space="preserve"> is incompressible, that the speed of water varies directly with gate opening and the square root of </w:t>
      </w:r>
      <w:r w:rsidR="00133549">
        <w:rPr>
          <w:lang w:val="en-US"/>
        </w:rPr>
        <w:t xml:space="preserve">the </w:t>
      </w:r>
      <w:r>
        <w:rPr>
          <w:lang w:val="en-US"/>
        </w:rPr>
        <w:t>net head, and that the turbine’s mechanical output is proportional to the product of the head and the volume flow.</w:t>
      </w:r>
    </w:p>
    <w:p w14:paraId="41B3C286" w14:textId="14F98C91" w:rsidR="002976BE" w:rsidRDefault="002976BE" w:rsidP="00F03645">
      <w:pPr>
        <w:spacing w:line="480" w:lineRule="auto"/>
        <w:rPr>
          <w:lang w:val="en-US"/>
        </w:rPr>
      </w:pPr>
      <w:r>
        <w:rPr>
          <w:lang w:val="en-US"/>
        </w:rPr>
        <w:t>The mechanical hydropower available is given as:</w:t>
      </w:r>
    </w:p>
    <w:p w14:paraId="44925444" w14:textId="6ABD2795" w:rsidR="002976BE" w:rsidRDefault="00783427" w:rsidP="00F03645">
      <w:pPr>
        <w:spacing w:line="480" w:lineRule="auto"/>
        <w:rPr>
          <w:rFonts w:eastAsiaTheme="minorEastAsia"/>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mech</m:t>
            </m:r>
          </m:sub>
        </m:sSub>
        <m:r>
          <w:rPr>
            <w:rFonts w:ascii="Cambria Math" w:hAnsi="Cambria Math"/>
            <w:lang w:val="en-US"/>
          </w:rPr>
          <m:t>=ηρg</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w</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w</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oMath>
      <w:r w:rsidR="008A770A">
        <w:rPr>
          <w:rFonts w:eastAsiaTheme="minorEastAsia"/>
          <w:lang w:val="en-US"/>
        </w:rPr>
        <w:tab/>
      </w:r>
      <w:r w:rsidR="008A770A">
        <w:rPr>
          <w:rFonts w:eastAsiaTheme="minorEastAsia"/>
          <w:lang w:val="en-US"/>
        </w:rPr>
        <w:tab/>
      </w:r>
      <w:r w:rsidR="008A770A">
        <w:rPr>
          <w:rFonts w:eastAsiaTheme="minorEastAsia"/>
          <w:lang w:val="en-US"/>
        </w:rPr>
        <w:tab/>
      </w:r>
      <w:r w:rsidR="008A770A">
        <w:rPr>
          <w:rFonts w:eastAsiaTheme="minorEastAsia"/>
          <w:lang w:val="en-US"/>
        </w:rPr>
        <w:tab/>
      </w:r>
      <w:r w:rsidR="008A770A">
        <w:rPr>
          <w:rFonts w:eastAsiaTheme="minorEastAsia"/>
          <w:lang w:val="en-US"/>
        </w:rPr>
        <w:tab/>
      </w:r>
      <w:r w:rsidR="008A770A">
        <w:rPr>
          <w:rFonts w:eastAsiaTheme="minorEastAsia"/>
          <w:lang w:val="en-US"/>
        </w:rPr>
        <w:tab/>
      </w:r>
      <w:r w:rsidR="008A770A">
        <w:rPr>
          <w:rFonts w:eastAsiaTheme="minorEastAsia"/>
          <w:lang w:val="en-US"/>
        </w:rPr>
        <w:tab/>
      </w:r>
      <w:r w:rsidR="008A770A">
        <w:rPr>
          <w:rFonts w:eastAsiaTheme="minorEastAsia"/>
          <w:lang w:val="en-US"/>
        </w:rPr>
        <w:tab/>
        <w:t>(3.23</w:t>
      </w:r>
      <w:r w:rsidR="002976BE">
        <w:rPr>
          <w:rFonts w:eastAsiaTheme="minorEastAsia"/>
          <w:lang w:val="en-US"/>
        </w:rPr>
        <w:t>)</w:t>
      </w:r>
    </w:p>
    <w:p w14:paraId="0305A0B1" w14:textId="672FD515" w:rsidR="00213E82" w:rsidRDefault="002976BE" w:rsidP="00F03645">
      <w:pPr>
        <w:spacing w:line="480" w:lineRule="auto"/>
        <w:rPr>
          <w:rFonts w:eastAsiaTheme="minorEastAsia" w:cs="Times New Roman"/>
          <w:lang w:val="en-US"/>
        </w:rPr>
      </w:pPr>
      <w:r>
        <w:rPr>
          <w:rFonts w:eastAsiaTheme="minorEastAsia"/>
          <w:lang w:val="en-US"/>
        </w:rPr>
        <w:t>In Equation 3.13, P</w:t>
      </w:r>
      <w:r>
        <w:rPr>
          <w:rFonts w:eastAsiaTheme="minorEastAsia"/>
          <w:vertAlign w:val="subscript"/>
          <w:lang w:val="en-US"/>
        </w:rPr>
        <w:t>mech</w:t>
      </w:r>
      <w:r>
        <w:rPr>
          <w:rFonts w:eastAsiaTheme="minorEastAsia"/>
          <w:lang w:val="en-US"/>
        </w:rPr>
        <w:t xml:space="preserve"> is the mechanical power, </w:t>
      </w:r>
      <w:r>
        <w:rPr>
          <w:rFonts w:eastAsiaTheme="minorEastAsia" w:cs="Times New Roman"/>
          <w:lang w:val="en-US"/>
        </w:rPr>
        <w:t>η is the turbine mechanical efficiency, ρ</w:t>
      </w:r>
      <w:r w:rsidR="006B628B">
        <w:rPr>
          <w:rFonts w:eastAsiaTheme="minorEastAsia" w:cs="Times New Roman"/>
          <w:lang w:val="en-US"/>
        </w:rPr>
        <w:t xml:space="preserve"> is the density of water, g is the acceleration due to gravity, h</w:t>
      </w:r>
      <w:r w:rsidR="006B628B">
        <w:rPr>
          <w:rFonts w:eastAsiaTheme="minorEastAsia" w:cs="Times New Roman"/>
          <w:vertAlign w:val="subscript"/>
          <w:lang w:val="en-US"/>
        </w:rPr>
        <w:t>w</w:t>
      </w:r>
      <w:r w:rsidR="006B628B">
        <w:rPr>
          <w:rFonts w:eastAsiaTheme="minorEastAsia" w:cs="Times New Roman"/>
          <w:lang w:val="en-US"/>
        </w:rPr>
        <w:t xml:space="preserve"> is the effective head across the diameter of the turbine, A</w:t>
      </w:r>
      <w:r w:rsidR="006B628B">
        <w:rPr>
          <w:rFonts w:eastAsiaTheme="minorEastAsia" w:cs="Times New Roman"/>
          <w:lang w:val="en-US"/>
        </w:rPr>
        <w:softHyphen/>
      </w:r>
      <w:r w:rsidR="006B628B">
        <w:rPr>
          <w:rFonts w:eastAsiaTheme="minorEastAsia" w:cs="Times New Roman"/>
          <w:vertAlign w:val="subscript"/>
          <w:lang w:val="en-US"/>
        </w:rPr>
        <w:t>w</w:t>
      </w:r>
      <w:r w:rsidR="006B628B">
        <w:rPr>
          <w:rFonts w:eastAsiaTheme="minorEastAsia" w:cs="Times New Roman"/>
          <w:lang w:val="en-US"/>
        </w:rPr>
        <w:t xml:space="preserve"> is the effective pipe area, and v</w:t>
      </w:r>
      <w:r w:rsidR="006B628B">
        <w:rPr>
          <w:rFonts w:eastAsiaTheme="minorEastAsia" w:cs="Times New Roman"/>
          <w:vertAlign w:val="subscript"/>
          <w:lang w:val="en-US"/>
        </w:rPr>
        <w:t>w</w:t>
      </w:r>
      <w:r w:rsidR="006B628B">
        <w:rPr>
          <w:rFonts w:eastAsiaTheme="minorEastAsia" w:cs="Times New Roman"/>
          <w:lang w:val="en-US"/>
        </w:rPr>
        <w:t xml:space="preserve"> is the velocity of the water.</w:t>
      </w:r>
      <w:r w:rsidR="00F50535">
        <w:rPr>
          <w:rFonts w:eastAsiaTheme="minorEastAsia" w:cs="Times New Roman"/>
          <w:lang w:val="en-US"/>
        </w:rPr>
        <w:t xml:space="preserve"> </w:t>
      </w:r>
      <w:r w:rsidR="009132E7">
        <w:rPr>
          <w:rFonts w:eastAsiaTheme="minorEastAsia" w:cs="Times New Roman"/>
          <w:lang w:val="en-US"/>
        </w:rPr>
        <w:t>The area A</w:t>
      </w:r>
      <w:r w:rsidR="009132E7">
        <w:rPr>
          <w:rFonts w:eastAsiaTheme="minorEastAsia" w:cs="Times New Roman"/>
          <w:vertAlign w:val="subscript"/>
          <w:lang w:val="en-US"/>
        </w:rPr>
        <w:t>w</w:t>
      </w:r>
      <w:r w:rsidR="009132E7">
        <w:rPr>
          <w:rFonts w:eastAsiaTheme="minorEastAsia" w:cs="Times New Roman"/>
          <w:lang w:val="en-US"/>
        </w:rPr>
        <w:t xml:space="preserve"> is evaluated as being the cross-section of the river which is the product of its width and its depth at the time being considered.</w:t>
      </w:r>
      <w:r w:rsidR="00F50535">
        <w:rPr>
          <w:rFonts w:eastAsiaTheme="minorEastAsia" w:cs="Times New Roman"/>
          <w:lang w:val="en-US"/>
        </w:rPr>
        <w:t xml:space="preserve"> The electrical modelling is also repr</w:t>
      </w:r>
      <w:r w:rsidR="008A770A">
        <w:rPr>
          <w:rFonts w:eastAsiaTheme="minorEastAsia" w:cs="Times New Roman"/>
          <w:lang w:val="en-US"/>
        </w:rPr>
        <w:t>esented by equations 3.1 to 3.22</w:t>
      </w:r>
      <w:r w:rsidR="00F50535">
        <w:rPr>
          <w:rFonts w:eastAsiaTheme="minorEastAsia" w:cs="Times New Roman"/>
          <w:lang w:val="en-US"/>
        </w:rPr>
        <w:t>.</w:t>
      </w:r>
    </w:p>
    <w:p w14:paraId="310E8496" w14:textId="309D5D01" w:rsidR="008C5CD0" w:rsidRDefault="008C5CD0" w:rsidP="00F03645">
      <w:pPr>
        <w:spacing w:line="480" w:lineRule="auto"/>
        <w:rPr>
          <w:rFonts w:eastAsiaTheme="minorEastAsia" w:cs="Times New Roman"/>
          <w:lang w:val="en-US"/>
        </w:rPr>
      </w:pPr>
    </w:p>
    <w:p w14:paraId="2005BE6A" w14:textId="77777777" w:rsidR="008C5CD0" w:rsidRPr="00F50535" w:rsidRDefault="008C5CD0" w:rsidP="00F03645">
      <w:pPr>
        <w:spacing w:line="480" w:lineRule="auto"/>
        <w:rPr>
          <w:rFonts w:eastAsiaTheme="minorEastAsia" w:cs="Times New Roman"/>
          <w:lang w:val="en-US"/>
        </w:rPr>
      </w:pPr>
    </w:p>
    <w:p w14:paraId="295E590F" w14:textId="1481A83D" w:rsidR="000B62CB" w:rsidRDefault="00270E58" w:rsidP="00F03645">
      <w:pPr>
        <w:pStyle w:val="Heading3"/>
        <w:spacing w:line="480" w:lineRule="auto"/>
        <w:rPr>
          <w:rFonts w:eastAsiaTheme="minorEastAsia"/>
        </w:rPr>
      </w:pPr>
      <w:bookmarkStart w:id="49" w:name="_Toc110502587"/>
      <w:r>
        <w:rPr>
          <w:rFonts w:eastAsiaTheme="minorEastAsia"/>
        </w:rPr>
        <w:t>3.3</w:t>
      </w:r>
      <w:r w:rsidR="00464A8F">
        <w:rPr>
          <w:rFonts w:eastAsiaTheme="minorEastAsia"/>
        </w:rPr>
        <w:t>.4</w:t>
      </w:r>
      <w:r w:rsidR="004B7FDA">
        <w:rPr>
          <w:rFonts w:eastAsiaTheme="minorEastAsia"/>
        </w:rPr>
        <w:tab/>
      </w:r>
      <w:r w:rsidR="009C0106">
        <w:rPr>
          <w:rFonts w:eastAsiaTheme="minorEastAsia"/>
        </w:rPr>
        <w:t>Concentrated Solar Power Modelling</w:t>
      </w:r>
      <w:bookmarkEnd w:id="49"/>
    </w:p>
    <w:p w14:paraId="626DB882" w14:textId="37B5C41E" w:rsidR="009C0106" w:rsidRDefault="009C0106" w:rsidP="00F03645">
      <w:pPr>
        <w:spacing w:line="480" w:lineRule="auto"/>
        <w:rPr>
          <w:lang w:val="en-US"/>
        </w:rPr>
      </w:pPr>
      <w:r>
        <w:rPr>
          <w:lang w:val="en-US"/>
        </w:rPr>
        <w:t>In HOMER, the C</w:t>
      </w:r>
      <w:r w:rsidR="00E52229">
        <w:rPr>
          <w:lang w:val="en-US"/>
        </w:rPr>
        <w:t xml:space="preserve">oncentrated </w:t>
      </w:r>
      <w:r>
        <w:rPr>
          <w:lang w:val="en-US"/>
        </w:rPr>
        <w:t>P</w:t>
      </w:r>
      <w:r w:rsidR="00E52229">
        <w:rPr>
          <w:lang w:val="en-US"/>
        </w:rPr>
        <w:t>hotovoltaics (CPV)</w:t>
      </w:r>
      <w:r>
        <w:rPr>
          <w:lang w:val="en-US"/>
        </w:rPr>
        <w:t xml:space="preserve"> model was adapted </w:t>
      </w:r>
      <w:r w:rsidR="00DD2097">
        <w:rPr>
          <w:lang w:val="en-US"/>
        </w:rPr>
        <w:t>to approximate</w:t>
      </w:r>
      <w:r>
        <w:rPr>
          <w:lang w:val="en-US"/>
        </w:rPr>
        <w:t xml:space="preserve"> the CSP generator for quantitative purposes. Qualitatively/dynamically, however, the </w:t>
      </w:r>
      <w:r w:rsidR="00F810C8">
        <w:rPr>
          <w:lang w:val="en-US"/>
        </w:rPr>
        <w:t xml:space="preserve">CSP is based on rotating synchronous generators, similar to hydropower and wind turbines. The molten-salt CSP power plant has intrinsic thermal storage in its working fluid. This means that it can generate power both during the day and during the night, though the night generation may be less than the day generation. A CSP power plant is complex to model, however, unlike solar PV, it can be modelled as having little and predictable variation, and it tends to add more stability to the grid. </w:t>
      </w:r>
      <w:r w:rsidR="007A5C77">
        <w:rPr>
          <w:lang w:val="en-US"/>
        </w:rPr>
        <w:t xml:space="preserve">CSP’s </w:t>
      </w:r>
      <w:r w:rsidR="00F810C8">
        <w:rPr>
          <w:lang w:val="en-US"/>
        </w:rPr>
        <w:t>ability to generate power at night makes it valuable. In this work, the CSP was modelled as a synchronous generator with electrical output varying during the day according to the monthly average D</w:t>
      </w:r>
      <w:r w:rsidR="007A5C77">
        <w:rPr>
          <w:lang w:val="en-US"/>
        </w:rPr>
        <w:t xml:space="preserve">irect </w:t>
      </w:r>
      <w:r w:rsidR="00F810C8">
        <w:rPr>
          <w:lang w:val="en-US"/>
        </w:rPr>
        <w:t>N</w:t>
      </w:r>
      <w:r w:rsidR="007A5C77">
        <w:rPr>
          <w:lang w:val="en-US"/>
        </w:rPr>
        <w:t xml:space="preserve">ormal </w:t>
      </w:r>
      <w:r w:rsidR="00F810C8">
        <w:rPr>
          <w:lang w:val="en-US"/>
        </w:rPr>
        <w:t>I</w:t>
      </w:r>
      <w:r w:rsidR="007A5C77">
        <w:rPr>
          <w:lang w:val="en-US"/>
        </w:rPr>
        <w:t>rradiation</w:t>
      </w:r>
      <w:r w:rsidR="00F810C8">
        <w:rPr>
          <w:lang w:val="en-US"/>
        </w:rPr>
        <w:t xml:space="preserve"> presented in Table </w:t>
      </w:r>
      <w:r w:rsidR="00355B41">
        <w:rPr>
          <w:lang w:val="en-US"/>
        </w:rPr>
        <w:t>3.3</w:t>
      </w:r>
      <w:r w:rsidR="00F810C8">
        <w:rPr>
          <w:lang w:val="en-US"/>
        </w:rPr>
        <w:t>.</w:t>
      </w:r>
      <w:r w:rsidR="007A5C77">
        <w:rPr>
          <w:lang w:val="en-US"/>
        </w:rPr>
        <w:t xml:space="preserve"> The CSP plant in the study is designed </w:t>
      </w:r>
      <w:r w:rsidR="00133549">
        <w:rPr>
          <w:lang w:val="en-US"/>
        </w:rPr>
        <w:t xml:space="preserve">with </w:t>
      </w:r>
      <w:r w:rsidR="007A5C77">
        <w:rPr>
          <w:lang w:val="en-US"/>
        </w:rPr>
        <w:t>a nominal efficiency of 15%</w:t>
      </w:r>
      <w:r w:rsidR="00CC5183">
        <w:rPr>
          <w:lang w:val="en-US"/>
        </w:rPr>
        <w:t xml:space="preserve"> from its nameplate output in HOMER</w:t>
      </w:r>
      <w:r w:rsidR="007A5C77">
        <w:rPr>
          <w:lang w:val="en-US"/>
        </w:rPr>
        <w:t>, while most cutting</w:t>
      </w:r>
      <w:r w:rsidR="00133549">
        <w:rPr>
          <w:lang w:val="en-US"/>
        </w:rPr>
        <w:t>-</w:t>
      </w:r>
      <w:r w:rsidR="007A5C77">
        <w:rPr>
          <w:lang w:val="en-US"/>
        </w:rPr>
        <w:t xml:space="preserve">edge and more expensive plants </w:t>
      </w:r>
      <w:r w:rsidR="00DD2097">
        <w:rPr>
          <w:lang w:val="en-US"/>
        </w:rPr>
        <w:t xml:space="preserve">in literature </w:t>
      </w:r>
      <w:r w:rsidR="007A5C77">
        <w:rPr>
          <w:lang w:val="en-US"/>
        </w:rPr>
        <w:t>may have up to 30%</w:t>
      </w:r>
      <w:r w:rsidR="00DD2097">
        <w:rPr>
          <w:lang w:val="en-US"/>
        </w:rPr>
        <w:t xml:space="preserve"> efficiency</w:t>
      </w:r>
      <w:r w:rsidR="007A5C77">
        <w:rPr>
          <w:lang w:val="en-US"/>
        </w:rPr>
        <w:t xml:space="preserve">. </w:t>
      </w:r>
    </w:p>
    <w:p w14:paraId="36E4922E" w14:textId="64B08265" w:rsidR="001C489E" w:rsidRDefault="006B1B23" w:rsidP="00F03645">
      <w:pPr>
        <w:spacing w:line="480" w:lineRule="auto"/>
        <w:rPr>
          <w:lang w:val="en-US"/>
        </w:rPr>
      </w:pPr>
      <w:r>
        <w:rPr>
          <w:lang w:val="en-US"/>
        </w:rPr>
        <w:t xml:space="preserve">For </w:t>
      </w:r>
      <w:r w:rsidR="00F92226">
        <w:rPr>
          <w:lang w:val="en-US"/>
        </w:rPr>
        <w:t>informational purposes, the mathema</w:t>
      </w:r>
      <w:r w:rsidR="00A540A2">
        <w:rPr>
          <w:lang w:val="en-US"/>
        </w:rPr>
        <w:t xml:space="preserve">tical model of a typical </w:t>
      </w:r>
      <w:r w:rsidR="001C489E">
        <w:rPr>
          <w:lang w:val="en-US"/>
        </w:rPr>
        <w:t xml:space="preserve">parabolic </w:t>
      </w:r>
      <w:r w:rsidR="00A540A2">
        <w:rPr>
          <w:lang w:val="en-US"/>
        </w:rPr>
        <w:t>trough-ty</w:t>
      </w:r>
      <w:r w:rsidR="001C489E">
        <w:rPr>
          <w:lang w:val="en-US"/>
        </w:rPr>
        <w:t>pe CSP plant is presented in equations 3.24 to.</w:t>
      </w:r>
    </w:p>
    <w:p w14:paraId="62873927" w14:textId="5A672CD0" w:rsidR="001C489E" w:rsidRDefault="00783427" w:rsidP="00F03645">
      <w:pPr>
        <w:spacing w:line="480" w:lineRule="auto"/>
        <w:rPr>
          <w:rFonts w:eastAsiaTheme="minorEastAsia"/>
          <w:lang w:val="en-U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a</m:t>
            </m:r>
          </m:sub>
        </m:sSub>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S-</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r</m:t>
                    </m:r>
                  </m:sub>
                </m:sSub>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a</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m:t>
                    </m:r>
                  </m:sub>
                </m:sSub>
              </m:den>
            </m:f>
          </m:e>
        </m:d>
      </m:oMath>
      <w:r w:rsidR="001C489E">
        <w:rPr>
          <w:rFonts w:eastAsiaTheme="minorEastAsia"/>
          <w:lang w:val="en-US"/>
        </w:rPr>
        <w:tab/>
      </w:r>
      <w:r w:rsidR="001C489E">
        <w:rPr>
          <w:rFonts w:eastAsiaTheme="minorEastAsia"/>
          <w:lang w:val="en-US"/>
        </w:rPr>
        <w:tab/>
      </w:r>
      <w:r w:rsidR="001C489E">
        <w:rPr>
          <w:rFonts w:eastAsiaTheme="minorEastAsia"/>
          <w:lang w:val="en-US"/>
        </w:rPr>
        <w:tab/>
      </w:r>
      <w:r w:rsidR="001C489E">
        <w:rPr>
          <w:rFonts w:eastAsiaTheme="minorEastAsia"/>
          <w:lang w:val="en-US"/>
        </w:rPr>
        <w:tab/>
      </w:r>
      <w:r w:rsidR="001C489E">
        <w:rPr>
          <w:rFonts w:eastAsiaTheme="minorEastAsia"/>
          <w:lang w:val="en-US"/>
        </w:rPr>
        <w:tab/>
      </w:r>
      <w:r w:rsidR="001C489E">
        <w:rPr>
          <w:rFonts w:eastAsiaTheme="minorEastAsia"/>
          <w:lang w:val="en-US"/>
        </w:rPr>
        <w:tab/>
      </w:r>
      <w:r w:rsidR="001C489E">
        <w:rPr>
          <w:rFonts w:eastAsiaTheme="minorEastAsia"/>
          <w:lang w:val="en-US"/>
        </w:rPr>
        <w:tab/>
      </w:r>
      <w:r w:rsidR="001C489E">
        <w:rPr>
          <w:rFonts w:eastAsiaTheme="minorEastAsia"/>
          <w:lang w:val="en-US"/>
        </w:rPr>
        <w:tab/>
        <w:t>(3.24)</w:t>
      </w:r>
    </w:p>
    <w:p w14:paraId="5EC8DDD8" w14:textId="3C35CECE" w:rsidR="001C489E" w:rsidRDefault="001C489E" w:rsidP="00F03645">
      <w:pPr>
        <w:spacing w:line="480" w:lineRule="auto"/>
        <w:rPr>
          <w:lang w:val="en-US"/>
        </w:rPr>
      </w:pPr>
      <w:r>
        <w:rPr>
          <w:rFonts w:eastAsiaTheme="minorEastAsia"/>
          <w:lang w:val="en-US"/>
        </w:rPr>
        <w:t>In equation 3.24, Q</w:t>
      </w:r>
      <w:r>
        <w:rPr>
          <w:rFonts w:eastAsiaTheme="minorEastAsia"/>
          <w:vertAlign w:val="subscript"/>
          <w:lang w:val="en-US"/>
        </w:rPr>
        <w:t>U</w:t>
      </w:r>
      <w:r>
        <w:rPr>
          <w:rFonts w:eastAsiaTheme="minorEastAsia"/>
          <w:lang w:val="en-US"/>
        </w:rPr>
        <w:t xml:space="preserve"> is the useful heat gain for a concentrated collector, F</w:t>
      </w:r>
      <w:r>
        <w:rPr>
          <w:rFonts w:eastAsiaTheme="minorEastAsia"/>
          <w:vertAlign w:val="subscript"/>
          <w:lang w:val="en-US"/>
        </w:rPr>
        <w:t>R</w:t>
      </w:r>
      <w:r>
        <w:rPr>
          <w:rFonts w:eastAsiaTheme="minorEastAsia"/>
          <w:lang w:val="en-US"/>
        </w:rPr>
        <w:t xml:space="preserve"> is the collector heat removal factor, A</w:t>
      </w:r>
      <w:r>
        <w:rPr>
          <w:rFonts w:eastAsiaTheme="minorEastAsia"/>
          <w:vertAlign w:val="subscript"/>
          <w:lang w:val="en-US"/>
        </w:rPr>
        <w:t>a</w:t>
      </w:r>
      <w:r>
        <w:rPr>
          <w:rFonts w:eastAsiaTheme="minorEastAsia"/>
          <w:lang w:val="en-US"/>
        </w:rPr>
        <w:t xml:space="preserve"> is the area of the aperture of the solar concentrator, A</w:t>
      </w:r>
      <w:r>
        <w:rPr>
          <w:rFonts w:eastAsiaTheme="minorEastAsia"/>
          <w:vertAlign w:val="subscript"/>
          <w:lang w:val="en-US"/>
        </w:rPr>
        <w:t xml:space="preserve">r </w:t>
      </w:r>
      <w:r>
        <w:rPr>
          <w:lang w:val="en-US"/>
        </w:rPr>
        <w:t xml:space="preserve">is the area of the receiver, </w:t>
      </w:r>
      <w:r w:rsidR="00133549">
        <w:rPr>
          <w:lang w:val="en-US"/>
        </w:rPr>
        <w:t xml:space="preserve">and </w:t>
      </w:r>
      <w:r>
        <w:rPr>
          <w:lang w:val="en-US"/>
        </w:rPr>
        <w:t>S is the solar radiation absorbed,</w:t>
      </w:r>
      <w:r w:rsidR="00133549">
        <w:rPr>
          <w:lang w:val="en-US"/>
        </w:rPr>
        <w:t xml:space="preserve"> while</w:t>
      </w:r>
      <w:r>
        <w:rPr>
          <w:lang w:val="en-US"/>
        </w:rPr>
        <w:t xml:space="preserve"> U</w:t>
      </w:r>
      <w:r>
        <w:rPr>
          <w:vertAlign w:val="subscript"/>
          <w:lang w:val="en-US"/>
        </w:rPr>
        <w:t>L</w:t>
      </w:r>
      <w:r>
        <w:rPr>
          <w:lang w:val="en-US"/>
        </w:rPr>
        <w:t xml:space="preserve"> is the heat loss coefficient, T</w:t>
      </w:r>
      <w:r>
        <w:rPr>
          <w:vertAlign w:val="subscript"/>
          <w:lang w:val="en-US"/>
        </w:rPr>
        <w:t>i</w:t>
      </w:r>
      <w:r>
        <w:rPr>
          <w:lang w:val="en-US"/>
        </w:rPr>
        <w:t xml:space="preserve"> is the fluid inlet temperature, and </w:t>
      </w:r>
      <w:r w:rsidRPr="001C489E">
        <w:rPr>
          <w:lang w:val="en-US"/>
        </w:rPr>
        <w:t>T</w:t>
      </w:r>
      <w:r>
        <w:rPr>
          <w:vertAlign w:val="subscript"/>
          <w:lang w:val="en-US"/>
        </w:rPr>
        <w:t>a</w:t>
      </w:r>
      <w:r>
        <w:rPr>
          <w:lang w:val="en-US"/>
        </w:rPr>
        <w:t xml:space="preserve"> i</w:t>
      </w:r>
      <w:r w:rsidRPr="001C489E">
        <w:rPr>
          <w:lang w:val="en-US"/>
        </w:rPr>
        <w:t>s</w:t>
      </w:r>
      <w:r>
        <w:rPr>
          <w:lang w:val="en-US"/>
        </w:rPr>
        <w:t xml:space="preserve"> the ambient temperature at the solar power plant location.</w:t>
      </w:r>
    </w:p>
    <w:p w14:paraId="50B4FE97" w14:textId="2ABCD59D" w:rsidR="001C489E" w:rsidRDefault="001C489E" w:rsidP="00F03645">
      <w:pPr>
        <w:spacing w:line="480" w:lineRule="auto"/>
        <w:rPr>
          <w:lang w:val="en-US"/>
        </w:rPr>
      </w:pPr>
      <w:r>
        <w:rPr>
          <w:lang w:val="en-US"/>
        </w:rPr>
        <w:t>Furthermore, the temperature obtained is given by:</w:t>
      </w:r>
    </w:p>
    <w:p w14:paraId="295BAFBE" w14:textId="78515EFA" w:rsidR="001C489E" w:rsidRDefault="00783427" w:rsidP="00F03645">
      <w:pPr>
        <w:spacing w:line="480" w:lineRule="auto"/>
        <w:rPr>
          <w:rFonts w:eastAsiaTheme="minorEastAsia"/>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u</m:t>
                </m:r>
              </m:sub>
            </m:sSub>
          </m:num>
          <m:den>
            <m:r>
              <w:rPr>
                <w:rFonts w:ascii="Cambria Math" w:hAnsi="Cambria Math"/>
                <w:lang w:val="en-US"/>
              </w:rPr>
              <m:t>m</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den>
        </m:f>
      </m:oMath>
      <w:r w:rsidR="000E43B5">
        <w:rPr>
          <w:rFonts w:eastAsiaTheme="minorEastAsia"/>
          <w:lang w:val="en-US"/>
        </w:rPr>
        <w:tab/>
      </w:r>
      <w:r w:rsidR="000E43B5">
        <w:rPr>
          <w:rFonts w:eastAsiaTheme="minorEastAsia"/>
          <w:lang w:val="en-US"/>
        </w:rPr>
        <w:tab/>
      </w:r>
      <w:r w:rsidR="000E43B5">
        <w:rPr>
          <w:rFonts w:eastAsiaTheme="minorEastAsia"/>
          <w:lang w:val="en-US"/>
        </w:rPr>
        <w:tab/>
      </w:r>
      <w:r w:rsidR="000E43B5">
        <w:rPr>
          <w:rFonts w:eastAsiaTheme="minorEastAsia"/>
          <w:lang w:val="en-US"/>
        </w:rPr>
        <w:tab/>
      </w:r>
      <w:r w:rsidR="000E43B5">
        <w:rPr>
          <w:rFonts w:eastAsiaTheme="minorEastAsia"/>
          <w:lang w:val="en-US"/>
        </w:rPr>
        <w:tab/>
      </w:r>
      <w:r w:rsidR="000E43B5">
        <w:rPr>
          <w:rFonts w:eastAsiaTheme="minorEastAsia"/>
          <w:lang w:val="en-US"/>
        </w:rPr>
        <w:tab/>
      </w:r>
      <w:r w:rsidR="000E43B5">
        <w:rPr>
          <w:rFonts w:eastAsiaTheme="minorEastAsia"/>
          <w:lang w:val="en-US"/>
        </w:rPr>
        <w:tab/>
      </w:r>
      <w:r w:rsidR="000E43B5">
        <w:rPr>
          <w:rFonts w:eastAsiaTheme="minorEastAsia"/>
          <w:lang w:val="en-US"/>
        </w:rPr>
        <w:tab/>
      </w:r>
      <w:r w:rsidR="000E43B5">
        <w:rPr>
          <w:rFonts w:eastAsiaTheme="minorEastAsia"/>
          <w:lang w:val="en-US"/>
        </w:rPr>
        <w:tab/>
      </w:r>
      <w:r w:rsidR="000E43B5">
        <w:rPr>
          <w:rFonts w:eastAsiaTheme="minorEastAsia"/>
          <w:lang w:val="en-US"/>
        </w:rPr>
        <w:tab/>
        <w:t>(3.25)</w:t>
      </w:r>
    </w:p>
    <w:p w14:paraId="6CC40632" w14:textId="20B208FF" w:rsidR="000E43B5" w:rsidRPr="000E43B5" w:rsidRDefault="000E43B5" w:rsidP="00F03645">
      <w:pPr>
        <w:spacing w:line="480" w:lineRule="auto"/>
        <w:rPr>
          <w:rFonts w:eastAsiaTheme="minorEastAsia"/>
          <w:lang w:val="en-US"/>
        </w:rPr>
      </w:pPr>
      <w:r>
        <w:rPr>
          <w:rFonts w:eastAsiaTheme="minorEastAsia"/>
          <w:lang w:val="en-US"/>
        </w:rPr>
        <w:t>In equation 3.25, T</w:t>
      </w:r>
      <w:r>
        <w:rPr>
          <w:rFonts w:eastAsiaTheme="minorEastAsia"/>
          <w:vertAlign w:val="subscript"/>
          <w:lang w:val="en-US"/>
        </w:rPr>
        <w:t>o</w:t>
      </w:r>
      <w:r>
        <w:rPr>
          <w:rFonts w:eastAsiaTheme="minorEastAsia"/>
          <w:lang w:val="en-US"/>
        </w:rPr>
        <w:t xml:space="preserve"> is the temperature of the working fluid at the outlet, m is the mass flow rate of the working (heat transfer) fluid, and C</w:t>
      </w:r>
      <w:r>
        <w:rPr>
          <w:rFonts w:eastAsiaTheme="minorEastAsia"/>
          <w:vertAlign w:val="subscript"/>
          <w:lang w:val="en-US"/>
        </w:rPr>
        <w:t>p</w:t>
      </w:r>
      <w:r>
        <w:rPr>
          <w:rFonts w:eastAsiaTheme="minorEastAsia"/>
          <w:lang w:val="en-US"/>
        </w:rPr>
        <w:t xml:space="preserve"> is the specific heat capacity of the heat transfer fluid.</w:t>
      </w:r>
    </w:p>
    <w:p w14:paraId="5B84D7F7" w14:textId="268F2446" w:rsidR="00CC5183" w:rsidRDefault="009132E7" w:rsidP="00F03645">
      <w:pPr>
        <w:spacing w:line="480" w:lineRule="auto"/>
        <w:rPr>
          <w:lang w:val="en-US"/>
        </w:rPr>
      </w:pPr>
      <w:r>
        <w:rPr>
          <w:lang w:val="en-US"/>
        </w:rPr>
        <w:t>The dynamic modelling</w:t>
      </w:r>
      <w:r w:rsidR="00F92226">
        <w:rPr>
          <w:lang w:val="en-US"/>
        </w:rPr>
        <w:t xml:space="preserve"> for active and reactive power from CSP</w:t>
      </w:r>
      <w:r>
        <w:rPr>
          <w:lang w:val="en-US"/>
        </w:rPr>
        <w:t xml:space="preserve"> is similar to that of DFIG except that it relies on </w:t>
      </w:r>
      <w:r w:rsidR="00133549">
        <w:rPr>
          <w:lang w:val="en-US"/>
        </w:rPr>
        <w:t xml:space="preserve">the </w:t>
      </w:r>
      <w:r>
        <w:rPr>
          <w:lang w:val="en-US"/>
        </w:rPr>
        <w:t xml:space="preserve">synchronous machine instead of </w:t>
      </w:r>
      <w:r w:rsidR="00133549">
        <w:rPr>
          <w:lang w:val="en-US"/>
        </w:rPr>
        <w:t xml:space="preserve">the </w:t>
      </w:r>
      <w:r>
        <w:rPr>
          <w:lang w:val="en-US"/>
        </w:rPr>
        <w:t xml:space="preserve">induction machine. Therefore, the slip s coefficient in equations  3.1 to 3.4 </w:t>
      </w:r>
      <w:r w:rsidR="00133549">
        <w:rPr>
          <w:lang w:val="en-US"/>
        </w:rPr>
        <w:t>is</w:t>
      </w:r>
      <w:r>
        <w:rPr>
          <w:lang w:val="en-US"/>
        </w:rPr>
        <w:t xml:space="preserve"> zero for CSP and micro hydro. However, equations 3.5 to 3.12 still apply.</w:t>
      </w:r>
    </w:p>
    <w:p w14:paraId="2496B58C" w14:textId="46DB141F" w:rsidR="007A5C77" w:rsidRPr="009C0106" w:rsidRDefault="00355B41" w:rsidP="00F03645">
      <w:pPr>
        <w:spacing w:line="480" w:lineRule="auto"/>
        <w:jc w:val="center"/>
        <w:rPr>
          <w:lang w:val="en-US"/>
        </w:rPr>
      </w:pPr>
      <w:r>
        <w:rPr>
          <w:b/>
          <w:lang w:val="en-US"/>
        </w:rPr>
        <w:t>Table 3.3</w:t>
      </w:r>
      <w:r w:rsidR="007A5C77" w:rsidRPr="007A5C77">
        <w:rPr>
          <w:b/>
          <w:lang w:val="en-US"/>
        </w:rPr>
        <w:t xml:space="preserve"> – Average Monthly DNI for Arandun</w:t>
      </w:r>
      <w:r w:rsidR="007A5C77">
        <w:rPr>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4315"/>
        <w:gridCol w:w="4315"/>
      </w:tblGrid>
      <w:tr w:rsidR="007A5C77" w14:paraId="473B06F0" w14:textId="77777777" w:rsidTr="007A5C77">
        <w:tc>
          <w:tcPr>
            <w:tcW w:w="4315" w:type="dxa"/>
            <w:tcBorders>
              <w:top w:val="single" w:sz="4" w:space="0" w:color="auto"/>
              <w:bottom w:val="single" w:sz="4" w:space="0" w:color="auto"/>
            </w:tcBorders>
          </w:tcPr>
          <w:p w14:paraId="3016AF27" w14:textId="121AB970" w:rsidR="007A5C77" w:rsidRDefault="007A5C77" w:rsidP="00014AF3">
            <w:pPr>
              <w:spacing w:line="240" w:lineRule="auto"/>
              <w:rPr>
                <w:rFonts w:eastAsiaTheme="minorEastAsia"/>
                <w:lang w:val="en-US"/>
              </w:rPr>
            </w:pPr>
            <w:r>
              <w:rPr>
                <w:rFonts w:eastAsiaTheme="minorEastAsia"/>
                <w:lang w:val="en-US"/>
              </w:rPr>
              <w:t>Month</w:t>
            </w:r>
          </w:p>
        </w:tc>
        <w:tc>
          <w:tcPr>
            <w:tcW w:w="4315" w:type="dxa"/>
            <w:tcBorders>
              <w:top w:val="single" w:sz="4" w:space="0" w:color="auto"/>
              <w:bottom w:val="single" w:sz="4" w:space="0" w:color="auto"/>
            </w:tcBorders>
          </w:tcPr>
          <w:p w14:paraId="714A375E" w14:textId="670B9AFA" w:rsidR="007A5C77" w:rsidRPr="007A5C77" w:rsidRDefault="007A5C77" w:rsidP="00014AF3">
            <w:pPr>
              <w:spacing w:line="240" w:lineRule="auto"/>
              <w:rPr>
                <w:rFonts w:eastAsiaTheme="minorEastAsia"/>
                <w:lang w:val="en-US"/>
              </w:rPr>
            </w:pPr>
            <w:r>
              <w:rPr>
                <w:rFonts w:eastAsiaTheme="minorEastAsia"/>
                <w:lang w:val="en-US"/>
              </w:rPr>
              <w:t>DNI (kWh/m</w:t>
            </w:r>
            <w:r>
              <w:rPr>
                <w:rFonts w:eastAsiaTheme="minorEastAsia"/>
                <w:vertAlign w:val="superscript"/>
                <w:lang w:val="en-US"/>
              </w:rPr>
              <w:t>2</w:t>
            </w:r>
            <w:r>
              <w:rPr>
                <w:rFonts w:eastAsiaTheme="minorEastAsia"/>
                <w:lang w:val="en-US"/>
              </w:rPr>
              <w:t>/day)</w:t>
            </w:r>
          </w:p>
        </w:tc>
      </w:tr>
      <w:tr w:rsidR="007A5C77" w14:paraId="1AA1562D" w14:textId="77777777" w:rsidTr="007A5C77">
        <w:tc>
          <w:tcPr>
            <w:tcW w:w="4315" w:type="dxa"/>
            <w:tcBorders>
              <w:top w:val="single" w:sz="4" w:space="0" w:color="auto"/>
            </w:tcBorders>
          </w:tcPr>
          <w:p w14:paraId="3E85ED58" w14:textId="3AFF42A2" w:rsidR="007A5C77" w:rsidRDefault="007A5C77" w:rsidP="00014AF3">
            <w:pPr>
              <w:spacing w:line="240" w:lineRule="auto"/>
              <w:rPr>
                <w:rFonts w:eastAsiaTheme="minorEastAsia"/>
                <w:lang w:val="en-US"/>
              </w:rPr>
            </w:pPr>
            <w:r>
              <w:rPr>
                <w:rFonts w:eastAsiaTheme="minorEastAsia"/>
                <w:lang w:val="en-US"/>
              </w:rPr>
              <w:t>January</w:t>
            </w:r>
          </w:p>
        </w:tc>
        <w:tc>
          <w:tcPr>
            <w:tcW w:w="4315" w:type="dxa"/>
            <w:tcBorders>
              <w:top w:val="single" w:sz="4" w:space="0" w:color="auto"/>
            </w:tcBorders>
          </w:tcPr>
          <w:p w14:paraId="32EF1FBD" w14:textId="434C3ABE" w:rsidR="007A5C77" w:rsidRDefault="007A5C77" w:rsidP="00014AF3">
            <w:pPr>
              <w:spacing w:line="240" w:lineRule="auto"/>
              <w:rPr>
                <w:rFonts w:eastAsiaTheme="minorEastAsia"/>
                <w:lang w:val="en-US"/>
              </w:rPr>
            </w:pPr>
            <w:r w:rsidRPr="00A074D7">
              <w:t>4.22</w:t>
            </w:r>
          </w:p>
        </w:tc>
      </w:tr>
      <w:tr w:rsidR="007A5C77" w14:paraId="062E8492" w14:textId="77777777" w:rsidTr="007A5C77">
        <w:tc>
          <w:tcPr>
            <w:tcW w:w="4315" w:type="dxa"/>
          </w:tcPr>
          <w:p w14:paraId="3A73BEE2" w14:textId="6E7592C9" w:rsidR="007A5C77" w:rsidRDefault="007A5C77" w:rsidP="00014AF3">
            <w:pPr>
              <w:spacing w:line="240" w:lineRule="auto"/>
              <w:rPr>
                <w:rFonts w:eastAsiaTheme="minorEastAsia"/>
                <w:lang w:val="en-US"/>
              </w:rPr>
            </w:pPr>
            <w:r>
              <w:rPr>
                <w:rFonts w:eastAsiaTheme="minorEastAsia"/>
                <w:lang w:val="en-US"/>
              </w:rPr>
              <w:t>February</w:t>
            </w:r>
          </w:p>
        </w:tc>
        <w:tc>
          <w:tcPr>
            <w:tcW w:w="4315" w:type="dxa"/>
          </w:tcPr>
          <w:p w14:paraId="056EC955" w14:textId="7F44A13D" w:rsidR="007A5C77" w:rsidRDefault="007A5C77" w:rsidP="00014AF3">
            <w:pPr>
              <w:spacing w:line="240" w:lineRule="auto"/>
              <w:rPr>
                <w:rFonts w:eastAsiaTheme="minorEastAsia"/>
                <w:lang w:val="en-US"/>
              </w:rPr>
            </w:pPr>
            <w:r w:rsidRPr="00A074D7">
              <w:t>3.48</w:t>
            </w:r>
          </w:p>
        </w:tc>
      </w:tr>
      <w:tr w:rsidR="007A5C77" w14:paraId="5C49378A" w14:textId="77777777" w:rsidTr="007A5C77">
        <w:tc>
          <w:tcPr>
            <w:tcW w:w="4315" w:type="dxa"/>
          </w:tcPr>
          <w:p w14:paraId="41A07B7A" w14:textId="68F45CBC" w:rsidR="007A5C77" w:rsidRDefault="007A5C77" w:rsidP="00014AF3">
            <w:pPr>
              <w:spacing w:line="240" w:lineRule="auto"/>
              <w:rPr>
                <w:rFonts w:eastAsiaTheme="minorEastAsia"/>
                <w:lang w:val="en-US"/>
              </w:rPr>
            </w:pPr>
            <w:r>
              <w:rPr>
                <w:rFonts w:eastAsiaTheme="minorEastAsia"/>
                <w:lang w:val="en-US"/>
              </w:rPr>
              <w:t>March</w:t>
            </w:r>
          </w:p>
        </w:tc>
        <w:tc>
          <w:tcPr>
            <w:tcW w:w="4315" w:type="dxa"/>
          </w:tcPr>
          <w:p w14:paraId="44ADD821" w14:textId="70B37052" w:rsidR="007A5C77" w:rsidRDefault="007A5C77" w:rsidP="00014AF3">
            <w:pPr>
              <w:spacing w:line="240" w:lineRule="auto"/>
              <w:rPr>
                <w:rFonts w:eastAsiaTheme="minorEastAsia"/>
                <w:lang w:val="en-US"/>
              </w:rPr>
            </w:pPr>
            <w:r w:rsidRPr="00A074D7">
              <w:t>3.47</w:t>
            </w:r>
          </w:p>
        </w:tc>
      </w:tr>
      <w:tr w:rsidR="007A5C77" w14:paraId="1B71CD91" w14:textId="77777777" w:rsidTr="007A5C77">
        <w:tc>
          <w:tcPr>
            <w:tcW w:w="4315" w:type="dxa"/>
          </w:tcPr>
          <w:p w14:paraId="7FE482E5" w14:textId="65ED658C" w:rsidR="007A5C77" w:rsidRDefault="007A5C77" w:rsidP="00014AF3">
            <w:pPr>
              <w:spacing w:line="240" w:lineRule="auto"/>
              <w:rPr>
                <w:rFonts w:eastAsiaTheme="minorEastAsia"/>
                <w:lang w:val="en-US"/>
              </w:rPr>
            </w:pPr>
            <w:r>
              <w:rPr>
                <w:rFonts w:eastAsiaTheme="minorEastAsia"/>
                <w:lang w:val="en-US"/>
              </w:rPr>
              <w:t>April</w:t>
            </w:r>
          </w:p>
        </w:tc>
        <w:tc>
          <w:tcPr>
            <w:tcW w:w="4315" w:type="dxa"/>
          </w:tcPr>
          <w:p w14:paraId="7C7E7C41" w14:textId="3B2FF292" w:rsidR="007A5C77" w:rsidRDefault="007A5C77" w:rsidP="00014AF3">
            <w:pPr>
              <w:spacing w:line="240" w:lineRule="auto"/>
              <w:rPr>
                <w:rFonts w:eastAsiaTheme="minorEastAsia"/>
                <w:lang w:val="en-US"/>
              </w:rPr>
            </w:pPr>
            <w:r w:rsidRPr="00A074D7">
              <w:t>3.63</w:t>
            </w:r>
          </w:p>
        </w:tc>
      </w:tr>
      <w:tr w:rsidR="007A5C77" w14:paraId="7B8288B5" w14:textId="77777777" w:rsidTr="007A5C77">
        <w:tc>
          <w:tcPr>
            <w:tcW w:w="4315" w:type="dxa"/>
          </w:tcPr>
          <w:p w14:paraId="77E7E234" w14:textId="136F658E" w:rsidR="007A5C77" w:rsidRDefault="007A5C77" w:rsidP="00014AF3">
            <w:pPr>
              <w:spacing w:line="240" w:lineRule="auto"/>
              <w:rPr>
                <w:rFonts w:eastAsiaTheme="minorEastAsia"/>
                <w:lang w:val="en-US"/>
              </w:rPr>
            </w:pPr>
            <w:r>
              <w:rPr>
                <w:rFonts w:eastAsiaTheme="minorEastAsia"/>
                <w:lang w:val="en-US"/>
              </w:rPr>
              <w:t>May</w:t>
            </w:r>
          </w:p>
        </w:tc>
        <w:tc>
          <w:tcPr>
            <w:tcW w:w="4315" w:type="dxa"/>
          </w:tcPr>
          <w:p w14:paraId="15DDDD61" w14:textId="085E5871" w:rsidR="007A5C77" w:rsidRDefault="007A5C77" w:rsidP="00014AF3">
            <w:pPr>
              <w:spacing w:line="240" w:lineRule="auto"/>
              <w:rPr>
                <w:rFonts w:eastAsiaTheme="minorEastAsia"/>
                <w:lang w:val="en-US"/>
              </w:rPr>
            </w:pPr>
            <w:r w:rsidRPr="00A074D7">
              <w:t>3.54</w:t>
            </w:r>
          </w:p>
        </w:tc>
      </w:tr>
      <w:tr w:rsidR="007A5C77" w14:paraId="05F81808" w14:textId="77777777" w:rsidTr="007A5C77">
        <w:tc>
          <w:tcPr>
            <w:tcW w:w="4315" w:type="dxa"/>
          </w:tcPr>
          <w:p w14:paraId="59C389FA" w14:textId="64679705" w:rsidR="007A5C77" w:rsidRDefault="007A5C77" w:rsidP="00014AF3">
            <w:pPr>
              <w:spacing w:line="240" w:lineRule="auto"/>
              <w:rPr>
                <w:rFonts w:eastAsiaTheme="minorEastAsia"/>
                <w:lang w:val="en-US"/>
              </w:rPr>
            </w:pPr>
            <w:r>
              <w:rPr>
                <w:rFonts w:eastAsiaTheme="minorEastAsia"/>
                <w:lang w:val="en-US"/>
              </w:rPr>
              <w:t>June</w:t>
            </w:r>
          </w:p>
        </w:tc>
        <w:tc>
          <w:tcPr>
            <w:tcW w:w="4315" w:type="dxa"/>
          </w:tcPr>
          <w:p w14:paraId="3D913056" w14:textId="3E82C19E" w:rsidR="007A5C77" w:rsidRDefault="007A5C77" w:rsidP="00014AF3">
            <w:pPr>
              <w:spacing w:line="240" w:lineRule="auto"/>
              <w:rPr>
                <w:rFonts w:eastAsiaTheme="minorEastAsia"/>
                <w:lang w:val="en-US"/>
              </w:rPr>
            </w:pPr>
            <w:r w:rsidRPr="00A074D7">
              <w:t>2.53</w:t>
            </w:r>
          </w:p>
        </w:tc>
      </w:tr>
      <w:tr w:rsidR="007A5C77" w14:paraId="5CC97C08" w14:textId="77777777" w:rsidTr="007A5C77">
        <w:tc>
          <w:tcPr>
            <w:tcW w:w="4315" w:type="dxa"/>
          </w:tcPr>
          <w:p w14:paraId="19BE94A5" w14:textId="0882564A" w:rsidR="007A5C77" w:rsidRDefault="007A5C77" w:rsidP="00014AF3">
            <w:pPr>
              <w:spacing w:line="240" w:lineRule="auto"/>
              <w:rPr>
                <w:rFonts w:eastAsiaTheme="minorEastAsia"/>
                <w:lang w:val="en-US"/>
              </w:rPr>
            </w:pPr>
            <w:r>
              <w:rPr>
                <w:rFonts w:eastAsiaTheme="minorEastAsia"/>
                <w:lang w:val="en-US"/>
              </w:rPr>
              <w:t>July</w:t>
            </w:r>
          </w:p>
        </w:tc>
        <w:tc>
          <w:tcPr>
            <w:tcW w:w="4315" w:type="dxa"/>
          </w:tcPr>
          <w:p w14:paraId="3F593816" w14:textId="7E8035DB" w:rsidR="007A5C77" w:rsidRDefault="007A5C77" w:rsidP="00014AF3">
            <w:pPr>
              <w:spacing w:line="240" w:lineRule="auto"/>
              <w:rPr>
                <w:rFonts w:eastAsiaTheme="minorEastAsia"/>
                <w:lang w:val="en-US"/>
              </w:rPr>
            </w:pPr>
            <w:r w:rsidRPr="00A074D7">
              <w:t>1.96</w:t>
            </w:r>
          </w:p>
        </w:tc>
      </w:tr>
      <w:tr w:rsidR="007A5C77" w14:paraId="73D293E4" w14:textId="77777777" w:rsidTr="007A5C77">
        <w:tc>
          <w:tcPr>
            <w:tcW w:w="4315" w:type="dxa"/>
          </w:tcPr>
          <w:p w14:paraId="38A82928" w14:textId="697278A0" w:rsidR="007A5C77" w:rsidRDefault="007A5C77" w:rsidP="00014AF3">
            <w:pPr>
              <w:spacing w:line="240" w:lineRule="auto"/>
              <w:rPr>
                <w:rFonts w:eastAsiaTheme="minorEastAsia"/>
                <w:lang w:val="en-US"/>
              </w:rPr>
            </w:pPr>
            <w:r>
              <w:rPr>
                <w:rFonts w:eastAsiaTheme="minorEastAsia"/>
                <w:lang w:val="en-US"/>
              </w:rPr>
              <w:t>August</w:t>
            </w:r>
          </w:p>
        </w:tc>
        <w:tc>
          <w:tcPr>
            <w:tcW w:w="4315" w:type="dxa"/>
          </w:tcPr>
          <w:p w14:paraId="263FACBD" w14:textId="4C7FF5EF" w:rsidR="007A5C77" w:rsidRDefault="007A5C77" w:rsidP="00014AF3">
            <w:pPr>
              <w:spacing w:line="240" w:lineRule="auto"/>
              <w:rPr>
                <w:rFonts w:eastAsiaTheme="minorEastAsia"/>
                <w:lang w:val="en-US"/>
              </w:rPr>
            </w:pPr>
            <w:r w:rsidRPr="00A074D7">
              <w:t>2.12</w:t>
            </w:r>
          </w:p>
        </w:tc>
      </w:tr>
      <w:tr w:rsidR="007A5C77" w14:paraId="03773E4A" w14:textId="77777777" w:rsidTr="007A5C77">
        <w:tc>
          <w:tcPr>
            <w:tcW w:w="4315" w:type="dxa"/>
          </w:tcPr>
          <w:p w14:paraId="70808BBC" w14:textId="2A78D0CD" w:rsidR="007A5C77" w:rsidRDefault="007A5C77" w:rsidP="00014AF3">
            <w:pPr>
              <w:spacing w:line="240" w:lineRule="auto"/>
              <w:rPr>
                <w:rFonts w:eastAsiaTheme="minorEastAsia"/>
                <w:lang w:val="en-US"/>
              </w:rPr>
            </w:pPr>
            <w:r>
              <w:rPr>
                <w:rFonts w:eastAsiaTheme="minorEastAsia"/>
                <w:lang w:val="en-US"/>
              </w:rPr>
              <w:t>September</w:t>
            </w:r>
          </w:p>
        </w:tc>
        <w:tc>
          <w:tcPr>
            <w:tcW w:w="4315" w:type="dxa"/>
          </w:tcPr>
          <w:p w14:paraId="0E7D9985" w14:textId="2AC7F9A2" w:rsidR="007A5C77" w:rsidRDefault="007A5C77" w:rsidP="00014AF3">
            <w:pPr>
              <w:spacing w:line="240" w:lineRule="auto"/>
              <w:rPr>
                <w:rFonts w:eastAsiaTheme="minorEastAsia"/>
                <w:lang w:val="en-US"/>
              </w:rPr>
            </w:pPr>
            <w:r w:rsidRPr="00A074D7">
              <w:t>2</w:t>
            </w:r>
            <w:r>
              <w:t>.00</w:t>
            </w:r>
          </w:p>
        </w:tc>
      </w:tr>
      <w:tr w:rsidR="007A5C77" w14:paraId="017039D9" w14:textId="77777777" w:rsidTr="007A5C77">
        <w:tc>
          <w:tcPr>
            <w:tcW w:w="4315" w:type="dxa"/>
          </w:tcPr>
          <w:p w14:paraId="109D4E7D" w14:textId="17CACAEB" w:rsidR="007A5C77" w:rsidRDefault="007A5C77" w:rsidP="00014AF3">
            <w:pPr>
              <w:spacing w:line="240" w:lineRule="auto"/>
              <w:rPr>
                <w:rFonts w:eastAsiaTheme="minorEastAsia"/>
                <w:lang w:val="en-US"/>
              </w:rPr>
            </w:pPr>
            <w:r>
              <w:rPr>
                <w:rFonts w:eastAsiaTheme="minorEastAsia"/>
                <w:lang w:val="en-US"/>
              </w:rPr>
              <w:t>October</w:t>
            </w:r>
          </w:p>
        </w:tc>
        <w:tc>
          <w:tcPr>
            <w:tcW w:w="4315" w:type="dxa"/>
          </w:tcPr>
          <w:p w14:paraId="7DD8CE53" w14:textId="348CA790" w:rsidR="007A5C77" w:rsidRDefault="007A5C77" w:rsidP="00014AF3">
            <w:pPr>
              <w:spacing w:line="240" w:lineRule="auto"/>
              <w:rPr>
                <w:rFonts w:eastAsiaTheme="minorEastAsia"/>
                <w:lang w:val="en-US"/>
              </w:rPr>
            </w:pPr>
            <w:r w:rsidRPr="00A074D7">
              <w:t>3.77</w:t>
            </w:r>
          </w:p>
        </w:tc>
      </w:tr>
      <w:tr w:rsidR="007A5C77" w14:paraId="2E8E6CFB" w14:textId="77777777" w:rsidTr="007A5C77">
        <w:tc>
          <w:tcPr>
            <w:tcW w:w="4315" w:type="dxa"/>
          </w:tcPr>
          <w:p w14:paraId="4967D854" w14:textId="1DB46626" w:rsidR="007A5C77" w:rsidRDefault="007A5C77" w:rsidP="00014AF3">
            <w:pPr>
              <w:spacing w:line="240" w:lineRule="auto"/>
              <w:rPr>
                <w:rFonts w:eastAsiaTheme="minorEastAsia"/>
                <w:lang w:val="en-US"/>
              </w:rPr>
            </w:pPr>
            <w:r>
              <w:rPr>
                <w:rFonts w:eastAsiaTheme="minorEastAsia"/>
                <w:lang w:val="en-US"/>
              </w:rPr>
              <w:t>November</w:t>
            </w:r>
          </w:p>
        </w:tc>
        <w:tc>
          <w:tcPr>
            <w:tcW w:w="4315" w:type="dxa"/>
          </w:tcPr>
          <w:p w14:paraId="2FE2E596" w14:textId="439A763F" w:rsidR="007A5C77" w:rsidRDefault="007A5C77" w:rsidP="00014AF3">
            <w:pPr>
              <w:spacing w:line="240" w:lineRule="auto"/>
              <w:rPr>
                <w:rFonts w:eastAsiaTheme="minorEastAsia"/>
                <w:lang w:val="en-US"/>
              </w:rPr>
            </w:pPr>
            <w:r w:rsidRPr="00A074D7">
              <w:t>4.94</w:t>
            </w:r>
          </w:p>
        </w:tc>
      </w:tr>
      <w:tr w:rsidR="007A5C77" w14:paraId="484D6C5C" w14:textId="77777777" w:rsidTr="007A5C77">
        <w:tc>
          <w:tcPr>
            <w:tcW w:w="4315" w:type="dxa"/>
          </w:tcPr>
          <w:p w14:paraId="28F7A995" w14:textId="0B44F6E0" w:rsidR="007A5C77" w:rsidRDefault="007A5C77" w:rsidP="00014AF3">
            <w:pPr>
              <w:spacing w:line="240" w:lineRule="auto"/>
              <w:rPr>
                <w:rFonts w:eastAsiaTheme="minorEastAsia"/>
                <w:lang w:val="en-US"/>
              </w:rPr>
            </w:pPr>
            <w:r>
              <w:rPr>
                <w:rFonts w:eastAsiaTheme="minorEastAsia"/>
                <w:lang w:val="en-US"/>
              </w:rPr>
              <w:t>December</w:t>
            </w:r>
          </w:p>
        </w:tc>
        <w:tc>
          <w:tcPr>
            <w:tcW w:w="4315" w:type="dxa"/>
          </w:tcPr>
          <w:p w14:paraId="40318F26" w14:textId="6B1D7CA9" w:rsidR="007A5C77" w:rsidRDefault="007A5C77" w:rsidP="00014AF3">
            <w:pPr>
              <w:spacing w:line="240" w:lineRule="auto"/>
              <w:rPr>
                <w:rFonts w:eastAsiaTheme="minorEastAsia"/>
                <w:lang w:val="en-US"/>
              </w:rPr>
            </w:pPr>
            <w:r w:rsidRPr="00A074D7">
              <w:t>5.52</w:t>
            </w:r>
          </w:p>
        </w:tc>
      </w:tr>
    </w:tbl>
    <w:p w14:paraId="080BB579" w14:textId="71579E64" w:rsidR="00213E82" w:rsidRDefault="00213E82" w:rsidP="00F03645">
      <w:pPr>
        <w:spacing w:line="480" w:lineRule="auto"/>
        <w:rPr>
          <w:rFonts w:eastAsiaTheme="minorEastAsia"/>
          <w:lang w:val="en-US"/>
        </w:rPr>
      </w:pPr>
    </w:p>
    <w:p w14:paraId="036E5CD1" w14:textId="73E12135" w:rsidR="007A5C77" w:rsidRDefault="00270E58" w:rsidP="00F03645">
      <w:pPr>
        <w:pStyle w:val="Heading3"/>
        <w:spacing w:line="480" w:lineRule="auto"/>
        <w:rPr>
          <w:rFonts w:eastAsiaTheme="minorEastAsia"/>
        </w:rPr>
      </w:pPr>
      <w:bookmarkStart w:id="50" w:name="_Toc110502588"/>
      <w:r>
        <w:rPr>
          <w:rFonts w:eastAsiaTheme="minorEastAsia"/>
        </w:rPr>
        <w:t>3.3</w:t>
      </w:r>
      <w:r w:rsidR="00464A8F">
        <w:rPr>
          <w:rFonts w:eastAsiaTheme="minorEastAsia"/>
        </w:rPr>
        <w:t>.5</w:t>
      </w:r>
      <w:r w:rsidR="004D07CB">
        <w:rPr>
          <w:rFonts w:eastAsiaTheme="minorEastAsia"/>
        </w:rPr>
        <w:tab/>
      </w:r>
      <w:r w:rsidR="00DD2097">
        <w:rPr>
          <w:rFonts w:eastAsiaTheme="minorEastAsia"/>
        </w:rPr>
        <w:t>Photovoltaic</w:t>
      </w:r>
      <w:r w:rsidR="007506B6">
        <w:rPr>
          <w:rFonts w:eastAsiaTheme="minorEastAsia"/>
        </w:rPr>
        <w:t>, Inverter,</w:t>
      </w:r>
      <w:r w:rsidR="00DD2097">
        <w:rPr>
          <w:rFonts w:eastAsiaTheme="minorEastAsia"/>
        </w:rPr>
        <w:t xml:space="preserve"> and Battery Storage Model</w:t>
      </w:r>
      <w:bookmarkEnd w:id="50"/>
    </w:p>
    <w:p w14:paraId="2CBDA8AB" w14:textId="3A560835" w:rsidR="004B6804" w:rsidRDefault="00DD2097" w:rsidP="00F03645">
      <w:pPr>
        <w:spacing w:line="480" w:lineRule="auto"/>
        <w:rPr>
          <w:lang w:val="en-US"/>
        </w:rPr>
      </w:pPr>
      <w:r>
        <w:rPr>
          <w:lang w:val="en-US"/>
        </w:rPr>
        <w:t>The Solar PV</w:t>
      </w:r>
      <w:r w:rsidR="007506B6">
        <w:rPr>
          <w:lang w:val="en-US"/>
        </w:rPr>
        <w:t xml:space="preserve"> and Battery Energy Storage Systems (BESS) are connected using back-to-back voltage source converters (VSCs). These consist</w:t>
      </w:r>
      <w:r w:rsidR="004C5D0E">
        <w:rPr>
          <w:lang w:val="en-US"/>
        </w:rPr>
        <w:t xml:space="preserve"> of cascading DC-DC converters (which perform the maximum power point tracking (MPPT) function and the DC-AC inverter (whic</w:t>
      </w:r>
      <w:r w:rsidR="008D1C7E">
        <w:rPr>
          <w:lang w:val="en-US"/>
        </w:rPr>
        <w:t xml:space="preserve">h controls the grid interface). Being a static DC generator, the PV panel has no defined causal impact on the dynamic performance of the microgrid, except to provide DC power to the inverter and recharge the battery when needed. </w:t>
      </w:r>
      <w:r w:rsidR="004C5D0E">
        <w:rPr>
          <w:lang w:val="en-US"/>
        </w:rPr>
        <w:t>The PV system uses a unidirectional converter while the BESS</w:t>
      </w:r>
      <w:r w:rsidR="00273C20">
        <w:rPr>
          <w:lang w:val="en-US"/>
        </w:rPr>
        <w:t xml:space="preserve"> has a bidirectional converter.</w:t>
      </w:r>
    </w:p>
    <w:p w14:paraId="34393AA6" w14:textId="54A97B89" w:rsidR="00273C20" w:rsidRDefault="00273C20" w:rsidP="00273C20">
      <w:pPr>
        <w:spacing w:line="480" w:lineRule="auto"/>
        <w:rPr>
          <w:lang w:val="en-US"/>
        </w:rPr>
      </w:pPr>
      <w:r>
        <w:rPr>
          <w:lang w:val="en-US"/>
        </w:rPr>
        <w:t>The equation used to calculate the output of the PV array is given:</w:t>
      </w:r>
    </w:p>
    <w:p w14:paraId="128BD2D1" w14:textId="074022A8" w:rsidR="00273C20" w:rsidRDefault="00783427" w:rsidP="00273C20">
      <w:pPr>
        <w:spacing w:line="480" w:lineRule="auto"/>
        <w:rPr>
          <w:rFonts w:eastAsiaTheme="minorEastAsia"/>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PV</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PV</m:t>
            </m:r>
          </m:sub>
        </m:sSub>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G</m:t>
                        </m:r>
                      </m:e>
                    </m:acc>
                  </m:e>
                  <m:sub>
                    <m:r>
                      <w:rPr>
                        <w:rFonts w:ascii="Cambria Math" w:hAnsi="Cambria Math"/>
                        <w:lang w:val="en-US"/>
                      </w:rPr>
                      <m:t>T</m:t>
                    </m:r>
                  </m:sub>
                </m:sSub>
              </m:num>
              <m:den>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G</m:t>
                        </m:r>
                      </m:e>
                    </m:acc>
                  </m:e>
                  <m:sub>
                    <m:r>
                      <w:rPr>
                        <w:rFonts w:ascii="Cambria Math" w:hAnsi="Cambria Math"/>
                        <w:lang w:val="en-US"/>
                      </w:rPr>
                      <m:t xml:space="preserve">T,STC </m:t>
                    </m:r>
                  </m:sub>
                </m:sSub>
              </m:den>
            </m:f>
          </m:e>
        </m:d>
        <m:d>
          <m:dPr>
            <m:ctrlPr>
              <w:rPr>
                <w:rFonts w:ascii="Cambria Math" w:hAnsi="Cambria Math"/>
                <w:i/>
                <w:lang w:val="en-US"/>
              </w:rPr>
            </m:ctrlPr>
          </m:dPr>
          <m:e>
            <m:r>
              <w:rPr>
                <w:rFonts w:ascii="Cambria Math" w:hAnsi="Cambria Math"/>
                <w:lang w:val="en-US"/>
              </w:rPr>
              <m:t xml:space="preserve">1+ </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P</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 STC</m:t>
                    </m:r>
                  </m:sub>
                </m:sSub>
              </m:e>
            </m:d>
          </m:e>
        </m:d>
      </m:oMath>
      <w:r w:rsidR="00273C20">
        <w:rPr>
          <w:rFonts w:eastAsiaTheme="minorEastAsia"/>
          <w:lang w:val="en-US"/>
        </w:rPr>
        <w:tab/>
      </w:r>
      <w:r w:rsidR="00273C20">
        <w:rPr>
          <w:rFonts w:eastAsiaTheme="minorEastAsia"/>
          <w:lang w:val="en-US"/>
        </w:rPr>
        <w:tab/>
      </w:r>
      <w:r w:rsidR="00273C20">
        <w:rPr>
          <w:rFonts w:eastAsiaTheme="minorEastAsia"/>
          <w:lang w:val="en-US"/>
        </w:rPr>
        <w:tab/>
      </w:r>
      <w:r w:rsidR="00273C20">
        <w:rPr>
          <w:rFonts w:eastAsiaTheme="minorEastAsia"/>
          <w:lang w:val="en-US"/>
        </w:rPr>
        <w:tab/>
      </w:r>
      <w:r w:rsidR="00273C20">
        <w:rPr>
          <w:rFonts w:eastAsiaTheme="minorEastAsia"/>
          <w:lang w:val="en-US"/>
        </w:rPr>
        <w:tab/>
        <w:t>(3.26)</w:t>
      </w:r>
    </w:p>
    <w:p w14:paraId="19234D9B" w14:textId="77777777" w:rsidR="00273C20" w:rsidRDefault="00273C20" w:rsidP="00273C20">
      <w:pPr>
        <w:spacing w:line="480" w:lineRule="auto"/>
        <w:rPr>
          <w:rFonts w:eastAsiaTheme="minorEastAsia"/>
          <w:lang w:val="en-US"/>
        </w:rPr>
      </w:pPr>
      <w:r>
        <w:rPr>
          <w:rFonts w:eastAsiaTheme="minorEastAsia"/>
          <w:lang w:val="en-US"/>
        </w:rPr>
        <w:t>Where:</w:t>
      </w:r>
    </w:p>
    <w:p w14:paraId="7A64F731" w14:textId="77777777" w:rsidR="00273C20" w:rsidRDefault="00273C20" w:rsidP="00273C20">
      <w:pPr>
        <w:spacing w:after="0" w:line="480" w:lineRule="auto"/>
        <w:rPr>
          <w:rFonts w:cs="Times New Roman"/>
          <w:color w:val="000000"/>
          <w:szCs w:val="24"/>
          <w:shd w:val="clear" w:color="auto" w:fill="FFFFFF"/>
        </w:rPr>
      </w:pPr>
      <w:r w:rsidRPr="00AD6413">
        <w:rPr>
          <w:rFonts w:eastAsia="Times New Roman" w:cs="Times New Roman"/>
          <w:iCs/>
          <w:color w:val="000000"/>
          <w:szCs w:val="24"/>
          <w:bdr w:val="none" w:sz="0" w:space="0" w:color="auto" w:frame="1"/>
          <w:lang w:val="en-US"/>
        </w:rPr>
        <w:t>Y</w:t>
      </w:r>
      <w:r w:rsidRPr="00AD6413">
        <w:rPr>
          <w:rFonts w:eastAsia="Times New Roman" w:cs="Times New Roman"/>
          <w:iCs/>
          <w:color w:val="000000"/>
          <w:szCs w:val="24"/>
          <w:bdr w:val="none" w:sz="0" w:space="0" w:color="auto" w:frame="1"/>
          <w:vertAlign w:val="subscript"/>
          <w:lang w:val="en-US"/>
        </w:rPr>
        <w:t>PV</w:t>
      </w:r>
      <w:r>
        <w:rPr>
          <w:rFonts w:eastAsia="Times New Roman" w:cs="Times New Roman"/>
          <w:i/>
          <w:iCs/>
          <w:color w:val="000000"/>
          <w:szCs w:val="24"/>
          <w:bdr w:val="none" w:sz="0" w:space="0" w:color="auto" w:frame="1"/>
          <w:vertAlign w:val="subscript"/>
          <w:lang w:val="en-US"/>
        </w:rPr>
        <w:t xml:space="preserve"> </w:t>
      </w:r>
      <w:r>
        <w:rPr>
          <w:rFonts w:cs="Times New Roman"/>
          <w:color w:val="000000"/>
          <w:szCs w:val="24"/>
          <w:shd w:val="clear" w:color="auto" w:fill="FFFFFF"/>
        </w:rPr>
        <w:t xml:space="preserve">is </w:t>
      </w:r>
      <w:r w:rsidRPr="00AD6413">
        <w:rPr>
          <w:rFonts w:cs="Times New Roman"/>
          <w:color w:val="000000"/>
          <w:szCs w:val="24"/>
          <w:shd w:val="clear" w:color="auto" w:fill="FFFFFF"/>
        </w:rPr>
        <w:t>the array’s rated capacity under standard testing conditions</w:t>
      </w:r>
      <w:r>
        <w:rPr>
          <w:rFonts w:cs="Times New Roman"/>
          <w:color w:val="000000"/>
          <w:szCs w:val="24"/>
          <w:shd w:val="clear" w:color="auto" w:fill="FFFFFF"/>
        </w:rPr>
        <w:t xml:space="preserve"> (STC)</w:t>
      </w:r>
      <w:r w:rsidRPr="00AD6413">
        <w:rPr>
          <w:rFonts w:cs="Times New Roman"/>
          <w:color w:val="000000"/>
          <w:szCs w:val="24"/>
          <w:shd w:val="clear" w:color="auto" w:fill="FFFFFF"/>
        </w:rPr>
        <w:t xml:space="preserve"> in </w:t>
      </w:r>
      <w:r>
        <w:rPr>
          <w:rFonts w:cs="Times New Roman"/>
          <w:color w:val="000000"/>
          <w:szCs w:val="24"/>
          <w:shd w:val="clear" w:color="auto" w:fill="FFFFFF"/>
        </w:rPr>
        <w:t>kilow</w:t>
      </w:r>
      <w:r w:rsidRPr="00AD6413">
        <w:rPr>
          <w:rFonts w:cs="Times New Roman"/>
          <w:color w:val="000000"/>
          <w:szCs w:val="24"/>
          <w:shd w:val="clear" w:color="auto" w:fill="FFFFFF"/>
        </w:rPr>
        <w:t>atts</w:t>
      </w:r>
      <w:r>
        <w:rPr>
          <w:rFonts w:cs="Times New Roman"/>
          <w:color w:val="000000"/>
          <w:szCs w:val="24"/>
          <w:shd w:val="clear" w:color="auto" w:fill="FFFFFF"/>
        </w:rPr>
        <w:t>;</w:t>
      </w:r>
      <w:r w:rsidRPr="00AD6413">
        <w:rPr>
          <w:rFonts w:eastAsia="Times New Roman" w:cs="Times New Roman"/>
          <w:i/>
          <w:iCs/>
          <w:color w:val="000000"/>
          <w:sz w:val="23"/>
          <w:szCs w:val="23"/>
          <w:bdr w:val="none" w:sz="0" w:space="0" w:color="auto" w:frame="1"/>
          <w:lang w:val="en-US"/>
        </w:rPr>
        <w:br/>
      </w:r>
      <w:r w:rsidRPr="00AD6413">
        <w:rPr>
          <w:rFonts w:eastAsia="Times New Roman" w:cs="Times New Roman"/>
          <w:color w:val="000000"/>
          <w:szCs w:val="24"/>
          <w:lang w:val="en-US"/>
        </w:rPr>
        <w:t>f</w:t>
      </w:r>
      <w:r w:rsidRPr="00AD6413">
        <w:rPr>
          <w:rFonts w:eastAsia="Times New Roman" w:cs="Times New Roman"/>
          <w:color w:val="000000"/>
          <w:szCs w:val="24"/>
          <w:vertAlign w:val="subscript"/>
          <w:lang w:val="en-US"/>
        </w:rPr>
        <w:t>PV</w:t>
      </w:r>
      <w:r>
        <w:rPr>
          <w:rFonts w:eastAsia="Times New Roman" w:cs="Times New Roman"/>
          <w:color w:val="000000"/>
          <w:szCs w:val="24"/>
          <w:lang w:val="en-US"/>
        </w:rPr>
        <w:t xml:space="preserve"> is the photovoltaic array’s</w:t>
      </w:r>
      <w:r w:rsidRPr="00AD6413">
        <w:rPr>
          <w:rFonts w:eastAsia="Times New Roman" w:cs="Times New Roman"/>
          <w:color w:val="000000"/>
          <w:szCs w:val="24"/>
          <w:lang w:val="en-US"/>
        </w:rPr>
        <w:t xml:space="preserve"> </w:t>
      </w:r>
      <w:r>
        <w:rPr>
          <w:rFonts w:eastAsia="Times New Roman" w:cs="Times New Roman"/>
          <w:color w:val="000000"/>
          <w:szCs w:val="24"/>
          <w:lang w:val="en-US"/>
        </w:rPr>
        <w:t xml:space="preserve">percentage </w:t>
      </w:r>
      <w:r w:rsidRPr="00AD6413">
        <w:rPr>
          <w:rFonts w:eastAsia="Times New Roman" w:cs="Times New Roman"/>
          <w:color w:val="000000"/>
          <w:szCs w:val="24"/>
          <w:lang w:val="en-US"/>
        </w:rPr>
        <w:t>de</w:t>
      </w:r>
      <w:r>
        <w:rPr>
          <w:rFonts w:eastAsia="Times New Roman" w:cs="Times New Roman"/>
          <w:color w:val="000000"/>
          <w:szCs w:val="24"/>
          <w:lang w:val="en-US"/>
        </w:rPr>
        <w:t>-</w:t>
      </w:r>
      <w:r w:rsidRPr="00AD6413">
        <w:rPr>
          <w:rFonts w:eastAsia="Times New Roman" w:cs="Times New Roman"/>
          <w:color w:val="000000"/>
          <w:szCs w:val="24"/>
          <w:lang w:val="en-US"/>
        </w:rPr>
        <w:t>rating factor</w:t>
      </w:r>
      <w:r>
        <w:rPr>
          <w:rFonts w:eastAsia="Times New Roman" w:cs="Times New Roman"/>
          <w:color w:val="000000"/>
          <w:szCs w:val="24"/>
          <w:lang w:val="en-US"/>
        </w:rPr>
        <w:t>;</w:t>
      </w:r>
    </w:p>
    <w:p w14:paraId="0E6C025F" w14:textId="7E5D15A3" w:rsidR="00273C20" w:rsidRPr="007C12CB" w:rsidRDefault="00273C20" w:rsidP="00273C20">
      <w:pPr>
        <w:spacing w:after="0" w:line="480" w:lineRule="auto"/>
        <w:rPr>
          <w:rFonts w:cs="Times New Roman"/>
          <w:color w:val="000000"/>
          <w:szCs w:val="24"/>
          <w:shd w:val="clear" w:color="auto" w:fill="FFFFFF"/>
          <w:vertAlign w:val="subscript"/>
        </w:rPr>
      </w:pPr>
      <w:r>
        <w:rPr>
          <w:rFonts w:cs="Times New Roman"/>
          <w:color w:val="000000"/>
          <w:szCs w:val="24"/>
          <w:shd w:val="clear" w:color="auto" w:fill="FFFFFF"/>
        </w:rPr>
        <w:t>G</w:t>
      </w:r>
      <w:r>
        <w:rPr>
          <w:rFonts w:cs="Times New Roman"/>
          <w:color w:val="000000"/>
          <w:szCs w:val="24"/>
          <w:shd w:val="clear" w:color="auto" w:fill="FFFFFF"/>
          <w:vertAlign w:val="subscript"/>
        </w:rPr>
        <w:t>T</w:t>
      </w:r>
      <w:r>
        <w:rPr>
          <w:rFonts w:cs="Times New Roman"/>
          <w:color w:val="000000"/>
          <w:szCs w:val="24"/>
          <w:shd w:val="clear" w:color="auto" w:fill="FFFFFF"/>
        </w:rPr>
        <w:t xml:space="preserve"> is the current time</w:t>
      </w:r>
      <w:r w:rsidR="00133549">
        <w:rPr>
          <w:rFonts w:cs="Times New Roman"/>
          <w:color w:val="000000"/>
          <w:szCs w:val="24"/>
          <w:shd w:val="clear" w:color="auto" w:fill="FFFFFF"/>
        </w:rPr>
        <w:t>step'</w:t>
      </w:r>
      <w:r>
        <w:rPr>
          <w:rFonts w:cs="Times New Roman"/>
          <w:color w:val="000000"/>
          <w:szCs w:val="24"/>
          <w:shd w:val="clear" w:color="auto" w:fill="FFFFFF"/>
        </w:rPr>
        <w:t>s value of incident solar irradiance in kW/m</w:t>
      </w:r>
      <w:r>
        <w:rPr>
          <w:rFonts w:cs="Times New Roman"/>
          <w:color w:val="000000"/>
          <w:szCs w:val="24"/>
          <w:shd w:val="clear" w:color="auto" w:fill="FFFFFF"/>
          <w:vertAlign w:val="superscript"/>
        </w:rPr>
        <w:t>2</w:t>
      </w:r>
      <w:r>
        <w:rPr>
          <w:rFonts w:cs="Times New Roman"/>
          <w:color w:val="000000"/>
          <w:szCs w:val="24"/>
          <w:shd w:val="clear" w:color="auto" w:fill="FFFFFF"/>
          <w:vertAlign w:val="subscript"/>
        </w:rPr>
        <w:t>;</w:t>
      </w:r>
    </w:p>
    <w:p w14:paraId="60A3BBD2" w14:textId="5AAFED4F" w:rsidR="00273C20" w:rsidRDefault="00273C20" w:rsidP="00273C20">
      <w:pPr>
        <w:spacing w:after="0" w:line="480" w:lineRule="auto"/>
        <w:rPr>
          <w:rFonts w:cs="Times New Roman"/>
          <w:color w:val="000000"/>
          <w:szCs w:val="24"/>
          <w:shd w:val="clear" w:color="auto" w:fill="FFFFFF"/>
        </w:rPr>
      </w:pPr>
      <w:r>
        <w:rPr>
          <w:rFonts w:cs="Times New Roman"/>
          <w:color w:val="000000"/>
          <w:szCs w:val="24"/>
          <w:shd w:val="clear" w:color="auto" w:fill="FFFFFF"/>
        </w:rPr>
        <w:t>G</w:t>
      </w:r>
      <w:r>
        <w:rPr>
          <w:rFonts w:cs="Times New Roman"/>
          <w:color w:val="000000"/>
          <w:szCs w:val="24"/>
          <w:shd w:val="clear" w:color="auto" w:fill="FFFFFF"/>
          <w:vertAlign w:val="subscript"/>
        </w:rPr>
        <w:t>T,</w:t>
      </w:r>
      <w:r w:rsidR="00133549">
        <w:rPr>
          <w:rFonts w:cs="Times New Roman"/>
          <w:color w:val="000000"/>
          <w:szCs w:val="24"/>
          <w:shd w:val="clear" w:color="auto" w:fill="FFFFFF"/>
          <w:vertAlign w:val="subscript"/>
        </w:rPr>
        <w:t xml:space="preserve"> </w:t>
      </w:r>
      <w:r>
        <w:rPr>
          <w:rFonts w:cs="Times New Roman"/>
          <w:color w:val="000000"/>
          <w:szCs w:val="24"/>
          <w:shd w:val="clear" w:color="auto" w:fill="FFFFFF"/>
          <w:vertAlign w:val="subscript"/>
        </w:rPr>
        <w:t xml:space="preserve">STC </w:t>
      </w:r>
      <w:r>
        <w:rPr>
          <w:rFonts w:cs="Times New Roman"/>
          <w:color w:val="000000"/>
          <w:szCs w:val="24"/>
          <w:shd w:val="clear" w:color="auto" w:fill="FFFFFF"/>
        </w:rPr>
        <w:t>is the incident solar irradiance at STC;</w:t>
      </w:r>
    </w:p>
    <w:p w14:paraId="046941CE" w14:textId="77777777" w:rsidR="00273C20" w:rsidRDefault="00273C20" w:rsidP="00273C20">
      <w:pPr>
        <w:spacing w:after="0" w:line="480" w:lineRule="auto"/>
        <w:rPr>
          <w:iCs/>
          <w:color w:val="000000"/>
          <w:szCs w:val="24"/>
          <w:bdr w:val="none" w:sz="0" w:space="0" w:color="auto" w:frame="1"/>
          <w:shd w:val="clear" w:color="auto" w:fill="FFFFFF"/>
        </w:rPr>
      </w:pPr>
      <w:r w:rsidRPr="007C12CB">
        <w:rPr>
          <w:iCs/>
          <w:color w:val="000000"/>
          <w:szCs w:val="24"/>
          <w:bdr w:val="none" w:sz="0" w:space="0" w:color="auto" w:frame="1"/>
          <w:shd w:val="clear" w:color="auto" w:fill="FFFFFF"/>
        </w:rPr>
        <w:t>α</w:t>
      </w:r>
      <w:r w:rsidRPr="007C12CB">
        <w:rPr>
          <w:iCs/>
          <w:color w:val="000000"/>
          <w:szCs w:val="24"/>
          <w:bdr w:val="none" w:sz="0" w:space="0" w:color="auto" w:frame="1"/>
          <w:shd w:val="clear" w:color="auto" w:fill="FFFFFF"/>
          <w:vertAlign w:val="subscript"/>
        </w:rPr>
        <w:t>P</w:t>
      </w:r>
      <w:r>
        <w:rPr>
          <w:iCs/>
          <w:color w:val="000000"/>
          <w:szCs w:val="24"/>
          <w:bdr w:val="none" w:sz="0" w:space="0" w:color="auto" w:frame="1"/>
          <w:shd w:val="clear" w:color="auto" w:fill="FFFFFF"/>
        </w:rPr>
        <w:t xml:space="preserve"> is the temperature coefficient of power in %/</w:t>
      </w:r>
      <w:r>
        <w:rPr>
          <w:rFonts w:cs="Times New Roman"/>
          <w:color w:val="000000"/>
          <w:szCs w:val="24"/>
          <w:shd w:val="clear" w:color="auto" w:fill="FFFFFF"/>
        </w:rPr>
        <w:t>°C</w:t>
      </w:r>
    </w:p>
    <w:p w14:paraId="550E3F7F" w14:textId="77777777" w:rsidR="00273C20" w:rsidRDefault="00273C20" w:rsidP="00273C20">
      <w:pPr>
        <w:spacing w:after="0" w:line="480" w:lineRule="auto"/>
        <w:rPr>
          <w:rFonts w:cs="Times New Roman"/>
          <w:color w:val="000000"/>
          <w:szCs w:val="24"/>
          <w:shd w:val="clear" w:color="auto" w:fill="FFFFFF"/>
        </w:rPr>
      </w:pPr>
      <w:r>
        <w:rPr>
          <w:rFonts w:cs="Times New Roman"/>
          <w:color w:val="000000"/>
          <w:szCs w:val="24"/>
          <w:shd w:val="clear" w:color="auto" w:fill="FFFFFF"/>
        </w:rPr>
        <w:t>T</w:t>
      </w:r>
      <w:r>
        <w:rPr>
          <w:rFonts w:cs="Times New Roman"/>
          <w:color w:val="000000"/>
          <w:szCs w:val="24"/>
          <w:shd w:val="clear" w:color="auto" w:fill="FFFFFF"/>
          <w:vertAlign w:val="subscript"/>
        </w:rPr>
        <w:t>C</w:t>
      </w:r>
      <w:r>
        <w:rPr>
          <w:rFonts w:cs="Times New Roman"/>
          <w:color w:val="000000"/>
          <w:szCs w:val="24"/>
          <w:shd w:val="clear" w:color="auto" w:fill="FFFFFF"/>
        </w:rPr>
        <w:t xml:space="preserve"> is </w:t>
      </w:r>
      <w:r w:rsidRPr="007C12CB">
        <w:rPr>
          <w:rFonts w:cs="Times New Roman"/>
          <w:color w:val="000000"/>
          <w:szCs w:val="24"/>
          <w:shd w:val="clear" w:color="auto" w:fill="FFFFFF"/>
        </w:rPr>
        <w:t>the PV cell temper</w:t>
      </w:r>
      <w:r>
        <w:rPr>
          <w:rFonts w:cs="Times New Roman"/>
          <w:color w:val="000000"/>
          <w:szCs w:val="24"/>
          <w:shd w:val="clear" w:color="auto" w:fill="FFFFFF"/>
        </w:rPr>
        <w:t>ature in the current time step in °C</w:t>
      </w:r>
    </w:p>
    <w:p w14:paraId="7BDB1B17" w14:textId="18ABBC50" w:rsidR="00273C20" w:rsidRPr="00273C20" w:rsidRDefault="00273C20" w:rsidP="00273C20">
      <w:pPr>
        <w:spacing w:after="0" w:line="480" w:lineRule="auto"/>
        <w:rPr>
          <w:rFonts w:cs="Times New Roman"/>
          <w:color w:val="000000"/>
          <w:szCs w:val="24"/>
          <w:shd w:val="clear" w:color="auto" w:fill="FFFFFF"/>
        </w:rPr>
      </w:pPr>
      <w:r>
        <w:rPr>
          <w:iCs/>
          <w:color w:val="000000"/>
          <w:szCs w:val="24"/>
          <w:bdr w:val="none" w:sz="0" w:space="0" w:color="auto" w:frame="1"/>
          <w:shd w:val="clear" w:color="auto" w:fill="FFFFFF"/>
        </w:rPr>
        <w:t xml:space="preserve">Finally, </w:t>
      </w:r>
      <w:r w:rsidRPr="007C12CB">
        <w:rPr>
          <w:iCs/>
          <w:color w:val="000000"/>
          <w:szCs w:val="24"/>
          <w:bdr w:val="none" w:sz="0" w:space="0" w:color="auto" w:frame="1"/>
          <w:shd w:val="clear" w:color="auto" w:fill="FFFFFF"/>
        </w:rPr>
        <w:t>T</w:t>
      </w:r>
      <w:r w:rsidRPr="007C12CB">
        <w:rPr>
          <w:iCs/>
          <w:color w:val="000000"/>
          <w:szCs w:val="24"/>
          <w:bdr w:val="none" w:sz="0" w:space="0" w:color="auto" w:frame="1"/>
          <w:shd w:val="clear" w:color="auto" w:fill="FFFFFF"/>
          <w:vertAlign w:val="subscript"/>
        </w:rPr>
        <w:t>c,</w:t>
      </w:r>
      <w:r w:rsidR="00133549">
        <w:rPr>
          <w:iCs/>
          <w:color w:val="000000"/>
          <w:szCs w:val="24"/>
          <w:bdr w:val="none" w:sz="0" w:space="0" w:color="auto" w:frame="1"/>
          <w:shd w:val="clear" w:color="auto" w:fill="FFFFFF"/>
          <w:vertAlign w:val="subscript"/>
        </w:rPr>
        <w:t xml:space="preserve"> </w:t>
      </w:r>
      <w:r w:rsidRPr="007C12CB">
        <w:rPr>
          <w:iCs/>
          <w:color w:val="000000"/>
          <w:szCs w:val="24"/>
          <w:bdr w:val="none" w:sz="0" w:space="0" w:color="auto" w:frame="1"/>
          <w:shd w:val="clear" w:color="auto" w:fill="FFFFFF"/>
          <w:vertAlign w:val="subscript"/>
        </w:rPr>
        <w:t>STC</w:t>
      </w:r>
      <w:r>
        <w:rPr>
          <w:iCs/>
          <w:color w:val="000000"/>
          <w:szCs w:val="24"/>
          <w:bdr w:val="none" w:sz="0" w:space="0" w:color="auto" w:frame="1"/>
          <w:shd w:val="clear" w:color="auto" w:fill="FFFFFF"/>
        </w:rPr>
        <w:t xml:space="preserve"> is the cell temperature of the modules at STC</w:t>
      </w:r>
      <w:r>
        <w:rPr>
          <w:rFonts w:cs="Times New Roman"/>
          <w:color w:val="000000"/>
          <w:szCs w:val="24"/>
          <w:shd w:val="clear" w:color="auto" w:fill="FFFFFF"/>
        </w:rPr>
        <w:t>.</w:t>
      </w:r>
    </w:p>
    <w:p w14:paraId="4AA18D93" w14:textId="329D8F4C" w:rsidR="004B6804" w:rsidRDefault="004C5D0E" w:rsidP="00F03645">
      <w:pPr>
        <w:spacing w:line="480" w:lineRule="auto"/>
        <w:rPr>
          <w:lang w:val="en-US"/>
        </w:rPr>
      </w:pPr>
      <w:r>
        <w:rPr>
          <w:lang w:val="en-US"/>
        </w:rPr>
        <w:t>PV system inverters are not usually configure</w:t>
      </w:r>
      <w:r w:rsidR="000612B7">
        <w:rPr>
          <w:lang w:val="en-US"/>
        </w:rPr>
        <w:t>d</w:t>
      </w:r>
      <w:r>
        <w:rPr>
          <w:lang w:val="en-US"/>
        </w:rPr>
        <w:t xml:space="preserve"> to output reactive power, especially if, as in this case, it is used in a standalone microgrid configuration</w:t>
      </w:r>
      <w:r w:rsidR="000612B7">
        <w:rPr>
          <w:lang w:val="en-US"/>
        </w:rPr>
        <w:t>, however</w:t>
      </w:r>
      <w:r w:rsidR="00133549">
        <w:rPr>
          <w:lang w:val="en-US"/>
        </w:rPr>
        <w:t>,</w:t>
      </w:r>
      <w:r w:rsidR="000612B7">
        <w:rPr>
          <w:lang w:val="en-US"/>
        </w:rPr>
        <w:t xml:space="preserve"> some can do so when the voltage and reference frequency is used to control two loops giving direct and quadrature component</w:t>
      </w:r>
      <w:r w:rsidR="00133549">
        <w:rPr>
          <w:lang w:val="en-US"/>
        </w:rPr>
        <w:t>s</w:t>
      </w:r>
      <w:r w:rsidR="000612B7">
        <w:rPr>
          <w:lang w:val="en-US"/>
        </w:rPr>
        <w:t xml:space="preserve"> of current</w:t>
      </w:r>
      <w:r>
        <w:rPr>
          <w:lang w:val="en-US"/>
        </w:rPr>
        <w:t>.</w:t>
      </w:r>
      <w:r w:rsidR="00133549">
        <w:rPr>
          <w:lang w:val="en-US"/>
        </w:rPr>
        <w:t xml:space="preserve"> PowerF</w:t>
      </w:r>
      <w:r w:rsidR="000612B7">
        <w:rPr>
          <w:lang w:val="en-US"/>
        </w:rPr>
        <w:t xml:space="preserve">actory, like real-world controllers, </w:t>
      </w:r>
      <w:r w:rsidR="00133549">
        <w:rPr>
          <w:lang w:val="en-US"/>
        </w:rPr>
        <w:t>can</w:t>
      </w:r>
      <w:r w:rsidR="000612B7">
        <w:rPr>
          <w:lang w:val="en-US"/>
        </w:rPr>
        <w:t xml:space="preserve"> implement this type of droop control, whose analysis is beyond the scope of this work.</w:t>
      </w:r>
      <w:r w:rsidR="00355B41">
        <w:rPr>
          <w:lang w:val="en-US"/>
        </w:rPr>
        <w:t xml:space="preserve"> Figure 3.14</w:t>
      </w:r>
      <w:r w:rsidR="00303B31">
        <w:rPr>
          <w:lang w:val="en-US"/>
        </w:rPr>
        <w:t xml:space="preserve"> shows a typical inverter control system with proportional-integral and proportional-integral-derivative control being implemented in the outer loop while pulse-width modulation and phase-locked loop are applied in the inner grid.</w:t>
      </w:r>
      <w:r w:rsidR="001A5A46">
        <w:rPr>
          <w:lang w:val="en-US"/>
        </w:rPr>
        <w:t xml:space="preserve"> </w:t>
      </w:r>
    </w:p>
    <w:p w14:paraId="362EF95C" w14:textId="22063ED0" w:rsidR="00DD2097" w:rsidRDefault="001A5A46" w:rsidP="00F03645">
      <w:pPr>
        <w:spacing w:line="480" w:lineRule="auto"/>
        <w:rPr>
          <w:lang w:val="en-US"/>
        </w:rPr>
      </w:pPr>
      <w:r>
        <w:rPr>
          <w:lang w:val="en-US"/>
        </w:rPr>
        <w:t xml:space="preserve">The </w:t>
      </w:r>
      <w:r w:rsidR="004B6804">
        <w:rPr>
          <w:lang w:val="en-US"/>
        </w:rPr>
        <w:t xml:space="preserve">batteries </w:t>
      </w:r>
      <w:r w:rsidR="008158D8">
        <w:rPr>
          <w:lang w:val="en-US"/>
        </w:rPr>
        <w:t xml:space="preserve">are lithium-ion batteries with </w:t>
      </w:r>
      <w:r w:rsidR="00133549">
        <w:rPr>
          <w:lang w:val="en-US"/>
        </w:rPr>
        <w:t xml:space="preserve">a </w:t>
      </w:r>
      <w:r w:rsidR="008158D8">
        <w:rPr>
          <w:lang w:val="en-US"/>
        </w:rPr>
        <w:t>minimum acceptable State-of-Charge (SOC) of 20% and 3000 kWh of throughput, as well as a</w:t>
      </w:r>
      <w:r w:rsidR="00A34F9A">
        <w:rPr>
          <w:lang w:val="en-US"/>
        </w:rPr>
        <w:t xml:space="preserve"> design</w:t>
      </w:r>
      <w:r w:rsidR="008158D8">
        <w:rPr>
          <w:lang w:val="en-US"/>
        </w:rPr>
        <w:t xml:space="preserve"> lifetime of 20 years, a string size of 50 6V batteries w</w:t>
      </w:r>
      <w:r w:rsidR="00133549">
        <w:rPr>
          <w:lang w:val="en-US"/>
        </w:rPr>
        <w:t>ere</w:t>
      </w:r>
      <w:r w:rsidR="008158D8">
        <w:rPr>
          <w:lang w:val="en-US"/>
        </w:rPr>
        <w:t xml:space="preserve"> used for the modelling. </w:t>
      </w:r>
    </w:p>
    <w:p w14:paraId="2455212E" w14:textId="2DDF2091" w:rsidR="00303B31" w:rsidRDefault="00303B31" w:rsidP="007D6C58">
      <w:pPr>
        <w:spacing w:line="276" w:lineRule="auto"/>
        <w:rPr>
          <w:lang w:val="en-US"/>
        </w:rPr>
      </w:pPr>
      <w:r w:rsidRPr="00303B31">
        <w:rPr>
          <w:noProof/>
          <w:lang w:val="en-US"/>
        </w:rPr>
        <w:drawing>
          <wp:inline distT="0" distB="0" distL="0" distR="0" wp14:anchorId="14CE684F" wp14:editId="7026FBCF">
            <wp:extent cx="5173980" cy="2849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3980" cy="2849880"/>
                    </a:xfrm>
                    <a:prstGeom prst="rect">
                      <a:avLst/>
                    </a:prstGeom>
                    <a:noFill/>
                    <a:ln>
                      <a:noFill/>
                    </a:ln>
                  </pic:spPr>
                </pic:pic>
              </a:graphicData>
            </a:graphic>
          </wp:inline>
        </w:drawing>
      </w:r>
    </w:p>
    <w:p w14:paraId="4CBB60E3" w14:textId="06236EC9" w:rsidR="00C45B1A" w:rsidRDefault="00355B41" w:rsidP="00C45B1A">
      <w:pPr>
        <w:spacing w:line="276" w:lineRule="auto"/>
        <w:jc w:val="center"/>
        <w:rPr>
          <w:b/>
          <w:sz w:val="20"/>
          <w:szCs w:val="20"/>
          <w:lang w:val="en-US"/>
        </w:rPr>
      </w:pPr>
      <w:r>
        <w:rPr>
          <w:b/>
          <w:sz w:val="20"/>
          <w:szCs w:val="20"/>
          <w:lang w:val="en-US"/>
        </w:rPr>
        <w:t>Figure 3.14</w:t>
      </w:r>
      <w:r w:rsidR="00A31489">
        <w:rPr>
          <w:b/>
          <w:sz w:val="20"/>
          <w:szCs w:val="20"/>
          <w:lang w:val="en-US"/>
        </w:rPr>
        <w:t xml:space="preserve"> – Power Conversion Control in the Microgrid.</w:t>
      </w:r>
    </w:p>
    <w:p w14:paraId="185DD47D" w14:textId="074DCE6E" w:rsidR="00C45B1A" w:rsidRDefault="00C45B1A" w:rsidP="00C45B1A">
      <w:pPr>
        <w:rPr>
          <w:lang w:val="en-US"/>
        </w:rPr>
      </w:pPr>
      <w:r>
        <w:rPr>
          <w:lang w:val="en-US"/>
        </w:rPr>
        <w:t>The dynamic model of the B</w:t>
      </w:r>
      <w:r w:rsidR="00912130">
        <w:rPr>
          <w:lang w:val="en-US"/>
        </w:rPr>
        <w:t xml:space="preserve">ESS </w:t>
      </w:r>
      <w:r>
        <w:rPr>
          <w:lang w:val="en-US"/>
        </w:rPr>
        <w:t>is presented:</w:t>
      </w:r>
    </w:p>
    <w:p w14:paraId="7F9C8DC3" w14:textId="0C0365F8" w:rsidR="00C45B1A" w:rsidRDefault="00783427" w:rsidP="00C45B1A">
      <w:pPr>
        <w:rPr>
          <w:rFonts w:eastAsiaTheme="minorEastAsia"/>
          <w:lang w:val="en-U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1,end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-k</m:t>
            </m:r>
            <m:r>
              <m:rPr>
                <m:sty m:val="p"/>
              </m:rPr>
              <w:rPr>
                <w:rFonts w:ascii="Cambria Math" w:hAnsi="Cambria Math"/>
                <w:lang w:val="en-US"/>
              </w:rPr>
              <m:t>Δ</m:t>
            </m:r>
            <m:r>
              <w:rPr>
                <w:rFonts w:ascii="Cambria Math" w:hAnsi="Cambria Math"/>
                <w:lang w:val="en-US"/>
              </w:rPr>
              <m:t>t</m:t>
            </m:r>
          </m:sup>
        </m:sSup>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Qkc-P</m:t>
                </m:r>
              </m:e>
            </m:d>
            <m:d>
              <m:dPr>
                <m:ctrlPr>
                  <w:rPr>
                    <w:rFonts w:ascii="Cambria Math" w:hAnsi="Cambria Math"/>
                    <w:i/>
                    <w:lang w:val="en-US"/>
                  </w:rPr>
                </m:ctrlPr>
              </m:dPr>
              <m:e>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-k</m:t>
                    </m:r>
                    <m:r>
                      <m:rPr>
                        <m:sty m:val="p"/>
                      </m:rPr>
                      <w:rPr>
                        <w:rFonts w:ascii="Cambria Math" w:hAnsi="Cambria Math"/>
                        <w:lang w:val="en-US"/>
                      </w:rPr>
                      <m:t>Δ</m:t>
                    </m:r>
                    <m:r>
                      <w:rPr>
                        <w:rFonts w:ascii="Cambria Math" w:hAnsi="Cambria Math"/>
                        <w:lang w:val="en-US"/>
                      </w:rPr>
                      <m:t>t</m:t>
                    </m:r>
                  </m:sup>
                </m:sSup>
              </m:e>
            </m:d>
          </m:num>
          <m:den>
            <m:r>
              <w:rPr>
                <w:rFonts w:ascii="Cambria Math" w:hAnsi="Cambria Math"/>
                <w:lang w:val="en-US"/>
              </w:rPr>
              <m:t>k</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Pc</m:t>
            </m:r>
            <m:d>
              <m:dPr>
                <m:ctrlPr>
                  <w:rPr>
                    <w:rFonts w:ascii="Cambria Math" w:hAnsi="Cambria Math"/>
                    <w:i/>
                    <w:lang w:val="en-US"/>
                  </w:rPr>
                </m:ctrlPr>
              </m:dPr>
              <m:e>
                <m:r>
                  <w:rPr>
                    <w:rFonts w:ascii="Cambria Math" w:hAnsi="Cambria Math"/>
                    <w:lang w:val="en-US"/>
                  </w:rPr>
                  <m:t>k</m:t>
                </m:r>
                <m:r>
                  <m:rPr>
                    <m:sty m:val="p"/>
                  </m:rPr>
                  <w:rPr>
                    <w:rFonts w:ascii="Cambria Math" w:hAnsi="Cambria Math"/>
                    <w:lang w:val="en-US"/>
                  </w:rPr>
                  <m:t>Δ</m:t>
                </m:r>
                <m:r>
                  <w:rPr>
                    <w:rFonts w:ascii="Cambria Math" w:hAnsi="Cambria Math"/>
                    <w:lang w:val="en-US"/>
                  </w:rPr>
                  <m:t>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-k</m:t>
                    </m:r>
                    <m:r>
                      <m:rPr>
                        <m:sty m:val="p"/>
                      </m:rPr>
                      <w:rPr>
                        <w:rFonts w:ascii="Cambria Math" w:hAnsi="Cambria Math"/>
                        <w:lang w:val="en-US"/>
                      </w:rPr>
                      <m:t>Δ</m:t>
                    </m:r>
                    <m:r>
                      <w:rPr>
                        <w:rFonts w:ascii="Cambria Math" w:hAnsi="Cambria Math"/>
                        <w:lang w:val="en-US"/>
                      </w:rPr>
                      <m:t>t</m:t>
                    </m:r>
                  </m:sup>
                </m:sSup>
              </m:e>
            </m:d>
          </m:num>
          <m:den>
            <m:r>
              <w:rPr>
                <w:rFonts w:ascii="Cambria Math" w:hAnsi="Cambria Math"/>
                <w:lang w:val="en-US"/>
              </w:rPr>
              <m:t>k</m:t>
            </m:r>
          </m:den>
        </m:f>
      </m:oMath>
      <w:r w:rsidR="00912130">
        <w:rPr>
          <w:rFonts w:eastAsiaTheme="minorEastAsia"/>
          <w:lang w:val="en-US"/>
        </w:rPr>
        <w:tab/>
      </w:r>
      <w:r w:rsidR="00912130">
        <w:rPr>
          <w:rFonts w:eastAsiaTheme="minorEastAsia"/>
          <w:lang w:val="en-US"/>
        </w:rPr>
        <w:tab/>
      </w:r>
      <w:r w:rsidR="00912130">
        <w:rPr>
          <w:rFonts w:eastAsiaTheme="minorEastAsia"/>
          <w:lang w:val="en-US"/>
        </w:rPr>
        <w:tab/>
      </w:r>
      <w:r w:rsidR="00912130">
        <w:rPr>
          <w:rFonts w:eastAsiaTheme="minorEastAsia"/>
          <w:lang w:val="en-US"/>
        </w:rPr>
        <w:tab/>
        <w:t>(3.</w:t>
      </w:r>
      <w:r w:rsidR="00273C20">
        <w:rPr>
          <w:rFonts w:eastAsiaTheme="minorEastAsia"/>
          <w:lang w:val="en-US"/>
        </w:rPr>
        <w:t>27</w:t>
      </w:r>
      <w:r w:rsidR="00912130">
        <w:rPr>
          <w:rFonts w:eastAsiaTheme="minorEastAsia"/>
          <w:lang w:val="en-US"/>
        </w:rPr>
        <w:t>)</w:t>
      </w:r>
    </w:p>
    <w:p w14:paraId="738C76D1" w14:textId="70243B24" w:rsidR="00912130" w:rsidRDefault="00783427" w:rsidP="00C45B1A">
      <w:pPr>
        <w:rPr>
          <w:rFonts w:eastAsiaTheme="minorEastAsia"/>
          <w:lang w:val="en-U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2,end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-k</m:t>
            </m:r>
            <m:r>
              <m:rPr>
                <m:sty m:val="p"/>
              </m:rPr>
              <w:rPr>
                <w:rFonts w:ascii="Cambria Math" w:hAnsi="Cambria Math"/>
                <w:lang w:val="en-US"/>
              </w:rPr>
              <m:t>Δ</m:t>
            </m:r>
            <m:r>
              <w:rPr>
                <w:rFonts w:ascii="Cambria Math" w:hAnsi="Cambria Math"/>
                <w:lang w:val="en-US"/>
              </w:rPr>
              <m:t>t</m:t>
            </m:r>
          </m:sup>
        </m:sSup>
        <m:r>
          <w:rPr>
            <w:rFonts w:ascii="Cambria Math" w:hAnsi="Cambria Math"/>
            <w:lang w:val="en-US"/>
          </w:rPr>
          <m:t>+Q</m:t>
        </m:r>
        <m:d>
          <m:dPr>
            <m:ctrlPr>
              <w:rPr>
                <w:rFonts w:ascii="Cambria Math" w:hAnsi="Cambria Math"/>
                <w:i/>
                <w:lang w:val="en-US"/>
              </w:rPr>
            </m:ctrlPr>
          </m:dPr>
          <m:e>
            <m:r>
              <w:rPr>
                <w:rFonts w:ascii="Cambria Math" w:hAnsi="Cambria Math"/>
                <w:lang w:val="en-US"/>
              </w:rPr>
              <m:t>1-c</m:t>
            </m:r>
          </m:e>
        </m:d>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-ek</m:t>
            </m:r>
            <m:r>
              <m:rPr>
                <m:sty m:val="p"/>
              </m:rPr>
              <w:rPr>
                <w:rFonts w:ascii="Cambria Math" w:hAnsi="Cambria Math"/>
                <w:lang w:val="en-US"/>
              </w:rPr>
              <m:t>Δ</m:t>
            </m:r>
            <m:r>
              <w:rPr>
                <w:rFonts w:ascii="Cambria Math" w:hAnsi="Cambria Math"/>
                <w:lang w:val="en-US"/>
              </w:rPr>
              <m:t>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P(1-c)</m:t>
            </m:r>
            <m:d>
              <m:dPr>
                <m:ctrlPr>
                  <w:rPr>
                    <w:rFonts w:ascii="Cambria Math" w:hAnsi="Cambria Math"/>
                    <w:i/>
                    <w:lang w:val="en-US"/>
                  </w:rPr>
                </m:ctrlPr>
              </m:dPr>
              <m:e>
                <m:r>
                  <w:rPr>
                    <w:rFonts w:ascii="Cambria Math" w:hAnsi="Cambria Math"/>
                    <w:lang w:val="en-US"/>
                  </w:rPr>
                  <m:t>k</m:t>
                </m:r>
                <m:r>
                  <m:rPr>
                    <m:sty m:val="p"/>
                  </m:rPr>
                  <w:rPr>
                    <w:rFonts w:ascii="Cambria Math" w:hAnsi="Cambria Math"/>
                    <w:lang w:val="en-US"/>
                  </w:rPr>
                  <m:t>Δ</m:t>
                </m:r>
                <m:r>
                  <w:rPr>
                    <w:rFonts w:ascii="Cambria Math" w:hAnsi="Cambria Math"/>
                    <w:lang w:val="en-US"/>
                  </w:rPr>
                  <m:t>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-k</m:t>
                    </m:r>
                    <m:r>
                      <m:rPr>
                        <m:sty m:val="p"/>
                      </m:rPr>
                      <w:rPr>
                        <w:rFonts w:ascii="Cambria Math" w:hAnsi="Cambria Math"/>
                        <w:lang w:val="en-US"/>
                      </w:rPr>
                      <m:t>Δ</m:t>
                    </m:r>
                    <m:r>
                      <w:rPr>
                        <w:rFonts w:ascii="Cambria Math" w:hAnsi="Cambria Math"/>
                        <w:lang w:val="en-US"/>
                      </w:rPr>
                      <m:t>t</m:t>
                    </m:r>
                  </m:sup>
                </m:sSup>
              </m:e>
            </m:d>
          </m:num>
          <m:den>
            <m:r>
              <w:rPr>
                <w:rFonts w:ascii="Cambria Math" w:hAnsi="Cambria Math"/>
                <w:lang w:val="en-US"/>
              </w:rPr>
              <m:t>k</m:t>
            </m:r>
          </m:den>
        </m:f>
      </m:oMath>
      <w:r w:rsidR="00912130">
        <w:rPr>
          <w:rFonts w:eastAsiaTheme="minorEastAsia"/>
          <w:lang w:val="en-US"/>
        </w:rPr>
        <w:t xml:space="preserve"> </w:t>
      </w:r>
      <w:r w:rsidR="00912130">
        <w:rPr>
          <w:rFonts w:eastAsiaTheme="minorEastAsia"/>
          <w:lang w:val="en-US"/>
        </w:rPr>
        <w:tab/>
      </w:r>
      <w:r w:rsidR="00912130">
        <w:rPr>
          <w:rFonts w:eastAsiaTheme="minorEastAsia"/>
          <w:lang w:val="en-US"/>
        </w:rPr>
        <w:tab/>
      </w:r>
      <w:r w:rsidR="00912130">
        <w:rPr>
          <w:rFonts w:eastAsiaTheme="minorEastAsia"/>
          <w:lang w:val="en-US"/>
        </w:rPr>
        <w:tab/>
        <w:t>(3.</w:t>
      </w:r>
      <w:r w:rsidR="00273C20">
        <w:rPr>
          <w:rFonts w:eastAsiaTheme="minorEastAsia"/>
          <w:lang w:val="en-US"/>
        </w:rPr>
        <w:t>28</w:t>
      </w:r>
      <w:r w:rsidR="00912130">
        <w:rPr>
          <w:rFonts w:eastAsiaTheme="minorEastAsia"/>
          <w:lang w:val="en-US"/>
        </w:rPr>
        <w:t>)</w:t>
      </w:r>
    </w:p>
    <w:p w14:paraId="42DC0360" w14:textId="77777777" w:rsidR="00912130" w:rsidRDefault="00912130" w:rsidP="00C45B1A">
      <w:pPr>
        <w:rPr>
          <w:rFonts w:eastAsiaTheme="minorEastAsia"/>
          <w:lang w:val="en-US"/>
        </w:rPr>
      </w:pPr>
      <w:r>
        <w:rPr>
          <w:rFonts w:eastAsiaTheme="minorEastAsia"/>
          <w:lang w:val="en-US"/>
        </w:rPr>
        <w:t>Where:</w:t>
      </w:r>
    </w:p>
    <w:p w14:paraId="52D69399" w14:textId="36B232BB" w:rsidR="00912130" w:rsidRDefault="00912130" w:rsidP="00C45B1A">
      <w:pPr>
        <w:rPr>
          <w:rFonts w:eastAsiaTheme="minorEastAsia"/>
          <w:lang w:val="en-US"/>
        </w:rPr>
      </w:pPr>
      <w:r>
        <w:rPr>
          <w:rFonts w:eastAsiaTheme="minorEastAsia"/>
          <w:lang w:val="en-US"/>
        </w:rPr>
        <w:t>c is the capacity ratio of the battery;</w:t>
      </w:r>
    </w:p>
    <w:p w14:paraId="2ADBC869" w14:textId="1A78D3EA" w:rsidR="00912130" w:rsidRDefault="00912130" w:rsidP="00C45B1A">
      <w:pPr>
        <w:rPr>
          <w:rFonts w:eastAsiaTheme="minorEastAsia"/>
          <w:lang w:val="en-US"/>
        </w:rPr>
      </w:pPr>
      <w:r>
        <w:rPr>
          <w:rFonts w:eastAsiaTheme="minorEastAsia"/>
          <w:lang w:val="en-US"/>
        </w:rPr>
        <w:t>Q</w:t>
      </w:r>
      <w:r>
        <w:rPr>
          <w:rFonts w:eastAsiaTheme="minorEastAsia"/>
          <w:vertAlign w:val="subscript"/>
          <w:lang w:val="en-US"/>
        </w:rPr>
        <w:t>1</w:t>
      </w:r>
      <w:r>
        <w:rPr>
          <w:rFonts w:eastAsiaTheme="minorEastAsia"/>
          <w:lang w:val="en-US"/>
        </w:rPr>
        <w:t xml:space="preserve"> is the number of available energy units (kWh) in the BESS at the start of a timestep</w:t>
      </w:r>
      <w:r w:rsidR="00C2019D">
        <w:rPr>
          <w:rFonts w:eastAsiaTheme="minorEastAsia"/>
          <w:lang w:val="en-US"/>
        </w:rPr>
        <w:t>;</w:t>
      </w:r>
    </w:p>
    <w:p w14:paraId="14E07446" w14:textId="2E2963CA" w:rsidR="00912130" w:rsidRDefault="00912130" w:rsidP="00C45B1A">
      <w:pPr>
        <w:rPr>
          <w:rFonts w:eastAsiaTheme="minorEastAsia"/>
          <w:lang w:val="en-US"/>
        </w:rPr>
      </w:pPr>
      <w:r>
        <w:rPr>
          <w:rFonts w:eastAsiaTheme="minorEastAsia"/>
          <w:lang w:val="en-US"/>
        </w:rPr>
        <w:t>Q</w:t>
      </w:r>
      <w:r>
        <w:rPr>
          <w:rFonts w:eastAsiaTheme="minorEastAsia"/>
          <w:vertAlign w:val="subscript"/>
          <w:lang w:val="en-US"/>
        </w:rPr>
        <w:t>2</w:t>
      </w:r>
      <w:r>
        <w:rPr>
          <w:rFonts w:eastAsiaTheme="minorEastAsia"/>
          <w:lang w:val="en-US"/>
        </w:rPr>
        <w:t xml:space="preserve"> is the number of bound energy units (kWh) in the BESS at the start</w:t>
      </w:r>
      <w:r w:rsidR="00C2019D">
        <w:rPr>
          <w:rFonts w:eastAsiaTheme="minorEastAsia"/>
          <w:lang w:val="en-US"/>
        </w:rPr>
        <w:t xml:space="preserve"> of a timestep;</w:t>
      </w:r>
    </w:p>
    <w:p w14:paraId="5FD192A3" w14:textId="2F6EA956" w:rsidR="00912130" w:rsidRDefault="00912130" w:rsidP="00C45B1A">
      <w:pPr>
        <w:rPr>
          <w:rFonts w:eastAsiaTheme="minorEastAsia"/>
          <w:lang w:val="en-US"/>
        </w:rPr>
      </w:pPr>
      <w:r>
        <w:rPr>
          <w:rFonts w:eastAsiaTheme="minorEastAsia"/>
          <w:lang w:val="en-US"/>
        </w:rPr>
        <w:t>Q</w:t>
      </w:r>
      <w:r>
        <w:rPr>
          <w:rFonts w:eastAsiaTheme="minorEastAsia"/>
          <w:vertAlign w:val="subscript"/>
          <w:lang w:val="en-US"/>
        </w:rPr>
        <w:t>1,</w:t>
      </w:r>
      <w:r w:rsidR="00133549">
        <w:rPr>
          <w:rFonts w:eastAsiaTheme="minorEastAsia"/>
          <w:vertAlign w:val="subscript"/>
          <w:lang w:val="en-US"/>
        </w:rPr>
        <w:t xml:space="preserve"> </w:t>
      </w:r>
      <w:r>
        <w:rPr>
          <w:rFonts w:eastAsiaTheme="minorEastAsia"/>
          <w:vertAlign w:val="subscript"/>
          <w:lang w:val="en-US"/>
        </w:rPr>
        <w:t>end</w:t>
      </w:r>
      <w:r>
        <w:rPr>
          <w:rFonts w:eastAsiaTheme="minorEastAsia"/>
          <w:lang w:val="en-US"/>
        </w:rPr>
        <w:t xml:space="preserve"> is the available energy in the BESS at the end of the timestep (kWh)</w:t>
      </w:r>
      <w:r w:rsidR="00C2019D">
        <w:rPr>
          <w:rFonts w:eastAsiaTheme="minorEastAsia"/>
          <w:lang w:val="en-US"/>
        </w:rPr>
        <w:t>;</w:t>
      </w:r>
    </w:p>
    <w:p w14:paraId="313B6E46" w14:textId="790ECDBC" w:rsidR="00912130" w:rsidRDefault="00912130" w:rsidP="00C45B1A">
      <w:pPr>
        <w:rPr>
          <w:rFonts w:eastAsiaTheme="minorEastAsia"/>
          <w:lang w:val="en-US"/>
        </w:rPr>
      </w:pPr>
      <w:r>
        <w:rPr>
          <w:rFonts w:eastAsiaTheme="minorEastAsia"/>
          <w:lang w:val="en-US"/>
        </w:rPr>
        <w:t>Q</w:t>
      </w:r>
      <w:r>
        <w:rPr>
          <w:rFonts w:eastAsiaTheme="minorEastAsia"/>
          <w:vertAlign w:val="subscript"/>
          <w:lang w:val="en-US"/>
        </w:rPr>
        <w:t>2,</w:t>
      </w:r>
      <w:r w:rsidR="00133549">
        <w:rPr>
          <w:rFonts w:eastAsiaTheme="minorEastAsia"/>
          <w:vertAlign w:val="subscript"/>
          <w:lang w:val="en-US"/>
        </w:rPr>
        <w:t xml:space="preserve"> </w:t>
      </w:r>
      <w:r>
        <w:rPr>
          <w:rFonts w:eastAsiaTheme="minorEastAsia"/>
          <w:vertAlign w:val="subscript"/>
          <w:lang w:val="en-US"/>
        </w:rPr>
        <w:t>end</w:t>
      </w:r>
      <w:r>
        <w:rPr>
          <w:rFonts w:eastAsiaTheme="minorEastAsia"/>
          <w:lang w:val="en-US"/>
        </w:rPr>
        <w:t xml:space="preserve"> is the bound energy in the BESS at the end of the timestep (kWh)</w:t>
      </w:r>
      <w:r w:rsidR="00C2019D">
        <w:rPr>
          <w:rFonts w:eastAsiaTheme="minorEastAsia"/>
          <w:lang w:val="en-US"/>
        </w:rPr>
        <w:t>;</w:t>
      </w:r>
    </w:p>
    <w:p w14:paraId="7FD97BB6" w14:textId="7401BF62" w:rsidR="00912130" w:rsidRDefault="00912130" w:rsidP="00C45B1A">
      <w:pPr>
        <w:rPr>
          <w:rFonts w:eastAsiaTheme="minorEastAsia"/>
          <w:lang w:val="en-US"/>
        </w:rPr>
      </w:pPr>
      <w:r>
        <w:rPr>
          <w:rFonts w:eastAsiaTheme="minorEastAsia"/>
          <w:lang w:val="en-US"/>
        </w:rPr>
        <w:t>P is the net flow of power into the BESS</w:t>
      </w:r>
      <w:r w:rsidR="00C2019D">
        <w:rPr>
          <w:rFonts w:eastAsiaTheme="minorEastAsia"/>
          <w:lang w:val="en-US"/>
        </w:rPr>
        <w:t xml:space="preserve"> in kW, which is positive for inflow and negative for outflow;</w:t>
      </w:r>
    </w:p>
    <w:p w14:paraId="51C24B61" w14:textId="0D5DC0BD" w:rsidR="004131CE" w:rsidRDefault="00C2019D" w:rsidP="00C45B1A">
      <w:pPr>
        <w:rPr>
          <w:lang w:val="en-US"/>
        </w:rPr>
      </w:pPr>
      <w:r>
        <w:rPr>
          <w:rFonts w:cs="Times New Roman"/>
          <w:lang w:val="en-US"/>
        </w:rPr>
        <w:t>Δ</w:t>
      </w:r>
      <w:r>
        <w:rPr>
          <w:lang w:val="en-US"/>
        </w:rPr>
        <w:t>t is the duration of a time</w:t>
      </w:r>
      <w:r w:rsidR="00133549">
        <w:rPr>
          <w:lang w:val="en-US"/>
        </w:rPr>
        <w:t xml:space="preserve"> </w:t>
      </w:r>
      <w:r>
        <w:rPr>
          <w:lang w:val="en-US"/>
        </w:rPr>
        <w:t>step.</w:t>
      </w:r>
    </w:p>
    <w:p w14:paraId="7A424F2B" w14:textId="77777777" w:rsidR="004131CE" w:rsidRDefault="004131CE" w:rsidP="00C45B1A">
      <w:pPr>
        <w:rPr>
          <w:lang w:val="en-US"/>
        </w:rPr>
      </w:pPr>
    </w:p>
    <w:p w14:paraId="79991A89" w14:textId="44BF8BA6" w:rsidR="004131CE" w:rsidRDefault="004131CE" w:rsidP="00C45B1A">
      <w:pPr>
        <w:rPr>
          <w:lang w:val="en-US"/>
        </w:rPr>
      </w:pPr>
      <w:r>
        <w:rPr>
          <w:lang w:val="en-US"/>
        </w:rPr>
        <w:t>For the wind turbine mechanical output, the equation is presented:</w:t>
      </w:r>
    </w:p>
    <w:p w14:paraId="035D4656" w14:textId="3312E452" w:rsidR="004131CE" w:rsidRDefault="004131CE" w:rsidP="00C45B1A">
      <w:pPr>
        <w:rPr>
          <w:rFonts w:eastAsiaTheme="minorEastAsia"/>
          <w:lang w:val="en-US"/>
        </w:rPr>
      </w:pPr>
      <m:oMath>
        <m:r>
          <w:rPr>
            <w:rFonts w:ascii="Cambria Math" w:hAnsi="Cambria Math"/>
            <w:lang w:val="en-US"/>
          </w:rPr>
          <m:t>P</m:t>
        </m:r>
        <m:sSub>
          <m:sSubPr>
            <m:ctrlPr>
              <w:rPr>
                <w:rFonts w:ascii="Cambria Math" w:hAnsi="Cambria Math"/>
                <w:i/>
                <w:lang w:val="en-US"/>
              </w:rPr>
            </m:ctrlPr>
          </m:sSubPr>
          <m:e>
            <m:r>
              <m:rPr>
                <m:sty m:val="p"/>
              </m:rPr>
              <w:rPr>
                <w:rFonts w:ascii="Cambria Math" w:hAnsi="Cambria Math"/>
                <w:lang w:val="en-US"/>
              </w:rPr>
              <w:softHyphen/>
            </m:r>
          </m:e>
          <m:sub>
            <m:r>
              <w:rPr>
                <w:rFonts w:ascii="Cambria Math" w:hAnsi="Cambria Math"/>
                <w:lang w:val="en-US"/>
              </w:rPr>
              <m:t>WTG</m:t>
            </m:r>
          </m:sub>
        </m:sSub>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ρ</m:t>
                </m:r>
              </m:num>
              <m:den>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0</m:t>
                    </m:r>
                  </m:sub>
                </m:sSub>
              </m:den>
            </m:f>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 xml:space="preserve">WTG,STP </m:t>
            </m:r>
          </m:sub>
        </m:sSub>
      </m:oMath>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t>(3.29)</w:t>
      </w:r>
    </w:p>
    <w:p w14:paraId="76CDE4F8" w14:textId="46A41B88" w:rsidR="004131CE" w:rsidRDefault="004131CE" w:rsidP="00C45B1A">
      <w:pPr>
        <w:rPr>
          <w:rFonts w:eastAsiaTheme="minorEastAsia"/>
          <w:lang w:val="en-US"/>
        </w:rPr>
      </w:pPr>
      <w:r>
        <w:rPr>
          <w:rFonts w:eastAsiaTheme="minorEastAsia"/>
          <w:lang w:val="en-US"/>
        </w:rPr>
        <w:t>Where:</w:t>
      </w:r>
    </w:p>
    <w:p w14:paraId="20C1066D" w14:textId="0AD93276" w:rsidR="004131CE" w:rsidRDefault="004131CE" w:rsidP="00C45B1A">
      <w:pPr>
        <w:rPr>
          <w:rFonts w:eastAsiaTheme="minorEastAsia"/>
          <w:lang w:val="en-US"/>
        </w:rPr>
      </w:pPr>
      <w:r>
        <w:rPr>
          <w:rFonts w:eastAsiaTheme="minorEastAsia"/>
          <w:lang w:val="en-US"/>
        </w:rPr>
        <w:t>P</w:t>
      </w:r>
      <w:r>
        <w:rPr>
          <w:rFonts w:eastAsiaTheme="minorEastAsia"/>
          <w:vertAlign w:val="subscript"/>
          <w:lang w:val="en-US"/>
        </w:rPr>
        <w:t>WTG</w:t>
      </w:r>
      <w:r>
        <w:rPr>
          <w:rFonts w:eastAsiaTheme="minorEastAsia"/>
          <w:lang w:val="en-US"/>
        </w:rPr>
        <w:t xml:space="preserve"> is the wind turbine power output (kW)</w:t>
      </w:r>
    </w:p>
    <w:p w14:paraId="49719615" w14:textId="268E8AB2" w:rsidR="004131CE" w:rsidRDefault="004131CE" w:rsidP="00C45B1A">
      <w:pPr>
        <w:rPr>
          <w:rFonts w:eastAsiaTheme="minorEastAsia"/>
          <w:lang w:val="en-US"/>
        </w:rPr>
      </w:pPr>
      <w:r>
        <w:rPr>
          <w:rFonts w:eastAsiaTheme="minorEastAsia"/>
          <w:lang w:val="en-US"/>
        </w:rPr>
        <w:t>P</w:t>
      </w:r>
      <w:r>
        <w:rPr>
          <w:rFonts w:eastAsiaTheme="minorEastAsia"/>
          <w:vertAlign w:val="subscript"/>
          <w:lang w:val="en-US"/>
        </w:rPr>
        <w:t>WTG,</w:t>
      </w:r>
      <w:r w:rsidR="00133549">
        <w:rPr>
          <w:rFonts w:eastAsiaTheme="minorEastAsia"/>
          <w:vertAlign w:val="subscript"/>
          <w:lang w:val="en-US"/>
        </w:rPr>
        <w:t xml:space="preserve"> </w:t>
      </w:r>
      <w:r>
        <w:rPr>
          <w:rFonts w:eastAsiaTheme="minorEastAsia"/>
          <w:vertAlign w:val="subscript"/>
          <w:lang w:val="en-US"/>
        </w:rPr>
        <w:t>STP</w:t>
      </w:r>
      <w:r>
        <w:rPr>
          <w:rFonts w:eastAsiaTheme="minorEastAsia"/>
          <w:lang w:val="en-US"/>
        </w:rPr>
        <w:t xml:space="preserve"> is the wind turbine power output at standard temperature and pressure [STP] (kW)</w:t>
      </w:r>
    </w:p>
    <w:p w14:paraId="519FDE07" w14:textId="56D9470A" w:rsidR="004131CE" w:rsidRDefault="004131CE" w:rsidP="00C45B1A">
      <w:pPr>
        <w:rPr>
          <w:rFonts w:eastAsiaTheme="minorEastAsia" w:cs="Times New Roman"/>
          <w:lang w:val="en-US"/>
        </w:rPr>
      </w:pPr>
      <w:r>
        <w:rPr>
          <w:rFonts w:eastAsiaTheme="minorEastAsia" w:cs="Times New Roman"/>
          <w:lang w:val="en-US"/>
        </w:rPr>
        <w:t>ρ is the true air density in (kg/m</w:t>
      </w:r>
      <w:r>
        <w:rPr>
          <w:rFonts w:eastAsiaTheme="minorEastAsia" w:cs="Times New Roman"/>
          <w:vertAlign w:val="superscript"/>
          <w:lang w:val="en-US"/>
        </w:rPr>
        <w:t>3</w:t>
      </w:r>
      <w:r>
        <w:rPr>
          <w:rFonts w:eastAsiaTheme="minorEastAsia" w:cs="Times New Roman"/>
          <w:lang w:val="en-US"/>
        </w:rPr>
        <w:t>)</w:t>
      </w:r>
    </w:p>
    <w:p w14:paraId="0503853F" w14:textId="06B1A7FA" w:rsidR="004131CE" w:rsidRPr="004131CE" w:rsidRDefault="004131CE" w:rsidP="00C45B1A">
      <w:pPr>
        <w:rPr>
          <w:lang w:val="en-US"/>
        </w:rPr>
      </w:pPr>
      <w:r>
        <w:rPr>
          <w:rFonts w:eastAsiaTheme="minorEastAsia" w:cs="Times New Roman"/>
          <w:lang w:val="en-US"/>
        </w:rPr>
        <w:t>ρ</w:t>
      </w:r>
      <w:r>
        <w:rPr>
          <w:rFonts w:eastAsiaTheme="minorEastAsia" w:cs="Times New Roman"/>
          <w:vertAlign w:val="subscript"/>
          <w:lang w:val="en-US"/>
        </w:rPr>
        <w:t>0</w:t>
      </w:r>
      <w:r>
        <w:rPr>
          <w:rFonts w:eastAsiaTheme="minorEastAsia" w:cs="Times New Roman"/>
          <w:lang w:val="en-US"/>
        </w:rPr>
        <w:t xml:space="preserve"> is the air density at STP (1.225 kg/m</w:t>
      </w:r>
      <w:r>
        <w:rPr>
          <w:rFonts w:eastAsiaTheme="minorEastAsia" w:cs="Times New Roman"/>
          <w:vertAlign w:val="superscript"/>
          <w:lang w:val="en-US"/>
        </w:rPr>
        <w:t>3</w:t>
      </w:r>
      <w:r>
        <w:rPr>
          <w:rFonts w:eastAsiaTheme="minorEastAsia" w:cs="Times New Roman"/>
          <w:lang w:val="en-US"/>
        </w:rPr>
        <w:t>)</w:t>
      </w:r>
    </w:p>
    <w:p w14:paraId="4E02A1C9" w14:textId="77777777" w:rsidR="00D54FAA" w:rsidRPr="008314A6" w:rsidRDefault="00D54FAA" w:rsidP="008314A6">
      <w:pPr>
        <w:spacing w:line="276" w:lineRule="auto"/>
        <w:jc w:val="center"/>
        <w:rPr>
          <w:lang w:val="en-US"/>
        </w:rPr>
      </w:pPr>
    </w:p>
    <w:p w14:paraId="50ACFDAC" w14:textId="7C05CDB7" w:rsidR="004B7FDA" w:rsidRDefault="00270E58" w:rsidP="00F03645">
      <w:pPr>
        <w:pStyle w:val="Heading3"/>
        <w:spacing w:line="480" w:lineRule="auto"/>
      </w:pPr>
      <w:bookmarkStart w:id="51" w:name="_Toc110502589"/>
      <w:r>
        <w:t>3.4</w:t>
      </w:r>
      <w:r w:rsidR="004B7FDA">
        <w:t xml:space="preserve"> PROBABILISTIC TECHNIQUES IN THE STUDY.</w:t>
      </w:r>
      <w:bookmarkEnd w:id="51"/>
    </w:p>
    <w:p w14:paraId="5AE02689" w14:textId="748504A8" w:rsidR="001B0818" w:rsidRDefault="00270E58" w:rsidP="00F03645">
      <w:pPr>
        <w:pStyle w:val="Heading3"/>
        <w:spacing w:line="480" w:lineRule="auto"/>
      </w:pPr>
      <w:bookmarkStart w:id="52" w:name="_Toc110502590"/>
      <w:r>
        <w:t>3.4</w:t>
      </w:r>
      <w:r w:rsidR="001B0818">
        <w:t>.1 Weibull Distribution</w:t>
      </w:r>
      <w:bookmarkEnd w:id="52"/>
    </w:p>
    <w:p w14:paraId="64333813" w14:textId="6E52F59E" w:rsidR="001B0818" w:rsidRDefault="001B0818" w:rsidP="00F03645">
      <w:pPr>
        <w:spacing w:line="480" w:lineRule="auto"/>
        <w:rPr>
          <w:lang w:val="en-US"/>
        </w:rPr>
      </w:pPr>
      <w:r>
        <w:rPr>
          <w:lang w:val="en-US"/>
        </w:rPr>
        <w:t xml:space="preserve">Available power in the wind is known to be highly variable, being related to wind speed </w:t>
      </w:r>
      <w:r>
        <w:rPr>
          <w:lang w:val="en-US"/>
        </w:rPr>
        <w:fldChar w:fldCharType="begin" w:fldLock="1"/>
      </w:r>
      <w:r>
        <w:rPr>
          <w:lang w:val="en-US"/>
        </w:rPr>
        <w:instrText>ADDIN CSL_CITATION {"citationItems":[{"id":"ITEM-1","itemData":{"DOI":"10.1016/B978-0-12-820491-7.01001-X","ISBN":"9780128204917","author":[{"dropping-particle":"","family":"Zobaa","given":"Ahmed F","non-dropping-particle":"","parse-names":false,"suffix":""},{"dropping-particle":"","family":"Aleem","given":"Shady H E Abdel","non-dropping-particle":"","parse-names":false,"suffix":""}],"id":"ITEM-1","issued":{"date-parts":[["2021"]]},"publisher":"Academic Press","publisher-place":"London","title":"Uncertainties in Modern Power Systems","type":"book"},"uris":["http://www.mendeley.com/documents/?uuid=34f6a0c0-9759-47b0-98f7-69df1648ef4c"]}],"mendeley":{"formattedCitation":"(Zobaa &amp; Aleem, 2021)","plainTextFormattedCitation":"(Zobaa &amp; Aleem, 2021)","previouslyFormattedCitation":"(Zobaa &amp; Aleem, 2021)"},"properties":{"noteIndex":0},"schema":"https://github.com/citation-style-language/schema/raw/master/csl-citation.json"}</w:instrText>
      </w:r>
      <w:r>
        <w:rPr>
          <w:lang w:val="en-US"/>
        </w:rPr>
        <w:fldChar w:fldCharType="separate"/>
      </w:r>
      <w:r w:rsidRPr="00D636FF">
        <w:rPr>
          <w:noProof/>
          <w:lang w:val="en-US"/>
        </w:rPr>
        <w:t>(Zobaa &amp; Aleem, 2021)</w:t>
      </w:r>
      <w:r>
        <w:rPr>
          <w:lang w:val="en-US"/>
        </w:rPr>
        <w:fldChar w:fldCharType="end"/>
      </w:r>
      <w:r w:rsidR="00E54863">
        <w:rPr>
          <w:lang w:val="en-US"/>
        </w:rPr>
        <w:t>. The wind speed was</w:t>
      </w:r>
      <w:r>
        <w:rPr>
          <w:lang w:val="en-US"/>
        </w:rPr>
        <w:t xml:space="preserve"> modelled using the Weibull distribution</w:t>
      </w:r>
      <w:r w:rsidR="000A36DE">
        <w:rPr>
          <w:lang w:val="en-US"/>
        </w:rPr>
        <w:t xml:space="preserve"> which is well-established in literature for this purpose</w:t>
      </w:r>
      <w:r>
        <w:rPr>
          <w:lang w:val="en-US"/>
        </w:rPr>
        <w:t>.</w:t>
      </w:r>
      <w:r w:rsidR="002817F7">
        <w:rPr>
          <w:lang w:val="en-US"/>
        </w:rPr>
        <w:t xml:space="preserve"> The equation for this is given in Equation 3.26</w:t>
      </w:r>
    </w:p>
    <w:p w14:paraId="1BFB16BB" w14:textId="73DB795B" w:rsidR="001B0818" w:rsidRPr="00C966A2" w:rsidRDefault="001B0818" w:rsidP="00F03645">
      <w:pPr>
        <w:spacing w:line="480" w:lineRule="auto"/>
        <w:rPr>
          <w:rFonts w:eastAsiaTheme="minorEastAsia"/>
          <w:lang w:val="en-US"/>
        </w:rPr>
      </w:pPr>
      <m:oMath>
        <m:r>
          <w:rPr>
            <w:rFonts w:ascii="Cambria Math" w:hAnsi="Cambria Math"/>
            <w:lang w:val="en-US"/>
          </w:rPr>
          <m:t>r=</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σ</m:t>
                    </m:r>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mean</m:t>
                        </m:r>
                      </m:sub>
                    </m:sSub>
                  </m:den>
                </m:f>
              </m:e>
            </m:d>
          </m:e>
          <m:sup>
            <m:r>
              <w:rPr>
                <w:rFonts w:ascii="Cambria Math" w:hAnsi="Cambria Math"/>
                <w:lang w:val="en-US"/>
              </w:rPr>
              <m:t>-1.086</m:t>
            </m:r>
          </m:sup>
        </m:sSup>
        <m:r>
          <w:rPr>
            <w:rFonts w:ascii="Cambria Math" w:hAnsi="Cambria Math"/>
            <w:lang w:val="en-US"/>
          </w:rPr>
          <m:t xml:space="preserve">, c=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mean</m:t>
                </m:r>
              </m:sub>
            </m:sSub>
          </m:num>
          <m:den>
            <m:r>
              <m:rPr>
                <m:sty m:val="p"/>
              </m:rPr>
              <w:rPr>
                <w:rFonts w:ascii="Cambria Math" w:hAnsi="Cambria Math"/>
                <w:lang w:val="en-US"/>
              </w:rPr>
              <m:t>Γ</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r</m:t>
                    </m:r>
                  </m:den>
                </m:f>
              </m:e>
            </m:d>
          </m:den>
        </m:f>
      </m:oMath>
      <w:r w:rsidR="0043577C">
        <w:rPr>
          <w:rFonts w:eastAsiaTheme="minorEastAsia"/>
          <w:lang w:val="en-US"/>
        </w:rPr>
        <w:tab/>
      </w:r>
      <w:r w:rsidR="0043577C">
        <w:rPr>
          <w:rFonts w:eastAsiaTheme="minorEastAsia"/>
          <w:lang w:val="en-US"/>
        </w:rPr>
        <w:tab/>
      </w:r>
      <w:r w:rsidR="0043577C">
        <w:rPr>
          <w:rFonts w:eastAsiaTheme="minorEastAsia"/>
          <w:lang w:val="en-US"/>
        </w:rPr>
        <w:tab/>
      </w:r>
      <w:r w:rsidR="0043577C">
        <w:rPr>
          <w:rFonts w:eastAsiaTheme="minorEastAsia"/>
          <w:lang w:val="en-US"/>
        </w:rPr>
        <w:tab/>
      </w:r>
      <w:r w:rsidR="0043577C">
        <w:rPr>
          <w:rFonts w:eastAsiaTheme="minorEastAsia"/>
          <w:lang w:val="en-US"/>
        </w:rPr>
        <w:tab/>
        <w:t xml:space="preserve">  </w:t>
      </w:r>
      <w:r w:rsidR="0043577C">
        <w:rPr>
          <w:rFonts w:eastAsiaTheme="minorEastAsia"/>
          <w:lang w:val="en-US"/>
        </w:rPr>
        <w:tab/>
        <w:t xml:space="preserve">   </w:t>
      </w:r>
      <w:r w:rsidR="0043577C">
        <w:rPr>
          <w:rFonts w:eastAsiaTheme="minorEastAsia"/>
          <w:lang w:val="en-US"/>
        </w:rPr>
        <w:tab/>
        <w:t xml:space="preserve">  </w:t>
      </w:r>
      <w:r w:rsidR="008E777D">
        <w:rPr>
          <w:rFonts w:eastAsiaTheme="minorEastAsia"/>
          <w:lang w:val="en-US"/>
        </w:rPr>
        <w:t>(3.26</w:t>
      </w:r>
      <w:r>
        <w:rPr>
          <w:rFonts w:eastAsiaTheme="minorEastAsia"/>
          <w:lang w:val="en-US"/>
        </w:rPr>
        <w:t>)</w:t>
      </w:r>
      <w:r>
        <w:rPr>
          <w:rFonts w:eastAsiaTheme="minorEastAsia"/>
          <w:lang w:val="en-US"/>
        </w:rPr>
        <w:tab/>
      </w:r>
    </w:p>
    <w:p w14:paraId="0AA3D802" w14:textId="12418A1F" w:rsidR="001B0818" w:rsidRDefault="001B0818" w:rsidP="00F03645">
      <w:pPr>
        <w:spacing w:line="480" w:lineRule="auto"/>
        <w:rPr>
          <w:rFonts w:eastAsiaTheme="minorEastAsia"/>
          <w:lang w:val="en-US"/>
        </w:rPr>
      </w:pPr>
      <w:r>
        <w:rPr>
          <w:rFonts w:eastAsiaTheme="minorEastAsia"/>
          <w:lang w:val="en-US"/>
        </w:rPr>
        <w:t>Where the parameters V</w:t>
      </w:r>
      <w:r>
        <w:rPr>
          <w:rFonts w:eastAsiaTheme="minorEastAsia"/>
          <w:vertAlign w:val="subscript"/>
          <w:lang w:val="en-US"/>
        </w:rPr>
        <w:t>mean</w:t>
      </w:r>
      <w:r>
        <w:rPr>
          <w:rFonts w:eastAsiaTheme="minorEastAsia"/>
          <w:lang w:val="en-US"/>
        </w:rPr>
        <w:t xml:space="preserve"> and </w:t>
      </w:r>
      <w:r>
        <w:rPr>
          <w:rFonts w:eastAsiaTheme="minorEastAsia" w:cs="Times New Roman"/>
          <w:lang w:val="en-US"/>
        </w:rPr>
        <w:t>σ</w:t>
      </w:r>
      <w:r>
        <w:rPr>
          <w:rFonts w:eastAsiaTheme="minorEastAsia"/>
          <w:lang w:val="en-US"/>
        </w:rPr>
        <w:t xml:space="preserve"> are the mean and standard deviations of the wind speed and r and c are the Weibull parameters </w:t>
      </w:r>
      <w:r w:rsidR="000529B4">
        <w:rPr>
          <w:rFonts w:eastAsiaTheme="minorEastAsia"/>
          <w:lang w:val="en-US"/>
        </w:rPr>
        <w:t>as</w:t>
      </w:r>
      <w:r>
        <w:rPr>
          <w:rFonts w:eastAsiaTheme="minorEastAsia"/>
          <w:lang w:val="en-US"/>
        </w:rPr>
        <w:t xml:space="preserve"> obtained from wind data. The probability distribution function (PDF) is given as</w:t>
      </w:r>
    </w:p>
    <w:p w14:paraId="4AA2708F" w14:textId="6C935A5F" w:rsidR="001B0818" w:rsidRDefault="001B0818" w:rsidP="00F03645">
      <w:pPr>
        <w:spacing w:line="480" w:lineRule="auto"/>
        <w:rPr>
          <w:rFonts w:eastAsiaTheme="minorEastAsia"/>
          <w:lang w:val="en-US"/>
        </w:rPr>
      </w:pPr>
      <m:oMath>
        <m:r>
          <w:rPr>
            <w:rFonts w:ascii="Cambria Math" w:hAnsi="Cambria Math"/>
            <w:lang w:val="en-US"/>
          </w:rPr>
          <m:t>f</m:t>
        </m:r>
        <m:d>
          <m:dPr>
            <m:ctrlPr>
              <w:rPr>
                <w:rFonts w:ascii="Cambria Math" w:hAnsi="Cambria Math"/>
                <w:i/>
                <w:lang w:val="en-US"/>
              </w:rPr>
            </m:ctrlPr>
          </m:dPr>
          <m:e>
            <m:r>
              <w:rPr>
                <w:rFonts w:ascii="Cambria Math" w:hAnsi="Cambria Math"/>
                <w:lang w:val="en-US"/>
              </w:rPr>
              <m:t>V</m:t>
            </m:r>
          </m:e>
        </m:d>
        <m:r>
          <w:rPr>
            <w:rFonts w:ascii="Cambria Math" w:hAnsi="Cambria Math"/>
            <w:lang w:val="en-US"/>
          </w:rPr>
          <m:t>=</m:t>
        </m:r>
        <m:f>
          <m:fPr>
            <m:ctrlPr>
              <w:rPr>
                <w:rFonts w:ascii="Cambria Math" w:hAnsi="Cambria Math"/>
                <w:i/>
                <w:lang w:val="en-US"/>
              </w:rPr>
            </m:ctrlPr>
          </m:fPr>
          <m:num>
            <m:r>
              <w:rPr>
                <w:rFonts w:ascii="Cambria Math" w:hAnsi="Cambria Math"/>
                <w:lang w:val="en-US"/>
              </w:rPr>
              <m:t>r</m:t>
            </m:r>
          </m:num>
          <m:den>
            <m:r>
              <w:rPr>
                <w:rFonts w:ascii="Cambria Math" w:hAnsi="Cambria Math"/>
                <w:lang w:val="en-US"/>
              </w:rPr>
              <m:t>c</m:t>
            </m:r>
          </m:den>
        </m:f>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V</m:t>
                    </m:r>
                  </m:num>
                  <m:den>
                    <m:r>
                      <w:rPr>
                        <w:rFonts w:ascii="Cambria Math" w:hAnsi="Cambria Math"/>
                        <w:lang w:val="en-US"/>
                      </w:rPr>
                      <m:t>c</m:t>
                    </m:r>
                  </m:den>
                </m:f>
              </m:e>
            </m:d>
          </m:e>
          <m:sup>
            <m:r>
              <w:rPr>
                <w:rFonts w:ascii="Cambria Math" w:hAnsi="Cambria Math"/>
                <w:lang w:val="en-US"/>
              </w:rPr>
              <m:t>r-1</m:t>
            </m:r>
          </m:sup>
        </m:sSup>
        <m:r>
          <w:rPr>
            <w:rFonts w:ascii="Cambria Math" w:hAnsi="Cambria Math"/>
            <w:lang w:val="en-US"/>
          </w:rPr>
          <m:t xml:space="preserve"> </m:t>
        </m:r>
        <m:r>
          <m:rPr>
            <m:sty m:val="p"/>
          </m:rPr>
          <w:rPr>
            <w:rFonts w:ascii="Cambria Math" w:hAnsi="Cambria Math"/>
            <w:lang w:val="en-US"/>
          </w:rPr>
          <m:t>exp⁡</m:t>
        </m:r>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V</m:t>
                    </m:r>
                  </m:num>
                  <m:den>
                    <m:r>
                      <w:rPr>
                        <w:rFonts w:ascii="Cambria Math" w:hAnsi="Cambria Math"/>
                        <w:lang w:val="en-US"/>
                      </w:rPr>
                      <m:t>c</m:t>
                    </m:r>
                  </m:den>
                </m:f>
              </m:e>
            </m:d>
          </m:e>
          <m:sup>
            <m:r>
              <w:rPr>
                <w:rFonts w:ascii="Cambria Math" w:hAnsi="Cambria Math"/>
                <w:lang w:val="en-US"/>
              </w:rPr>
              <m:t>r</m:t>
            </m:r>
          </m:sup>
        </m:sSup>
      </m:oMath>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t xml:space="preserve">   </w:t>
      </w:r>
      <w:r w:rsidR="008E777D">
        <w:rPr>
          <w:rFonts w:eastAsiaTheme="minorEastAsia"/>
          <w:lang w:val="en-US"/>
        </w:rPr>
        <w:tab/>
        <w:t xml:space="preserve">              (3.27</w:t>
      </w:r>
      <w:r>
        <w:rPr>
          <w:rFonts w:eastAsiaTheme="minorEastAsia"/>
          <w:lang w:val="en-US"/>
        </w:rPr>
        <w:t>)</w:t>
      </w:r>
    </w:p>
    <w:p w14:paraId="2A4EACD6" w14:textId="77777777" w:rsidR="008314A6" w:rsidRPr="00D636FF" w:rsidRDefault="008314A6" w:rsidP="00F03645">
      <w:pPr>
        <w:spacing w:line="480" w:lineRule="auto"/>
        <w:rPr>
          <w:rFonts w:eastAsiaTheme="minorEastAsia"/>
          <w:lang w:val="en-US"/>
        </w:rPr>
      </w:pPr>
    </w:p>
    <w:p w14:paraId="54C501C1" w14:textId="109A1301" w:rsidR="001B0818" w:rsidRDefault="00270E58" w:rsidP="00F03645">
      <w:pPr>
        <w:pStyle w:val="Heading3"/>
        <w:spacing w:line="480" w:lineRule="auto"/>
      </w:pPr>
      <w:bookmarkStart w:id="53" w:name="_Toc110502591"/>
      <w:r>
        <w:t>3.4</w:t>
      </w:r>
      <w:r w:rsidR="001B0818">
        <w:t>.2 Normal Distribution</w:t>
      </w:r>
      <w:bookmarkEnd w:id="53"/>
    </w:p>
    <w:p w14:paraId="24E120DB" w14:textId="6FA6BA91" w:rsidR="001B0818" w:rsidRDefault="00133549" w:rsidP="00F03645">
      <w:pPr>
        <w:spacing w:line="480" w:lineRule="auto"/>
        <w:rPr>
          <w:lang w:val="en-US"/>
        </w:rPr>
      </w:pPr>
      <w:r>
        <w:rPr>
          <w:lang w:val="en-US"/>
        </w:rPr>
        <w:t>The available s</w:t>
      </w:r>
      <w:r w:rsidR="001B0818">
        <w:rPr>
          <w:lang w:val="en-US"/>
        </w:rPr>
        <w:t>olar power is known to vary with the irradiance which is taken to follow a normal distribution.</w:t>
      </w:r>
    </w:p>
    <w:p w14:paraId="6BB63FEE" w14:textId="7CF815D1" w:rsidR="001B0818" w:rsidRPr="006A3492" w:rsidRDefault="001B0818" w:rsidP="00F03645">
      <w:pPr>
        <w:spacing w:line="480" w:lineRule="auto"/>
        <w:rPr>
          <w:rFonts w:eastAsiaTheme="minorEastAsia"/>
          <w:lang w:val="en-US"/>
        </w:rPr>
      </w:pPr>
      <m:oMath>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ing</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r</m:t>
                </m:r>
              </m:sub>
            </m:sSub>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2π</m:t>
                </m:r>
              </m:e>
            </m:rad>
            <m:r>
              <w:rPr>
                <w:rFonts w:ascii="Cambria Math" w:hAnsi="Cambria Math"/>
                <w:lang w:val="en-US"/>
              </w:rPr>
              <m:t>×σ</m:t>
            </m:r>
          </m:den>
        </m:f>
        <m:func>
          <m:funcPr>
            <m:ctrlPr>
              <w:rPr>
                <w:rFonts w:ascii="Cambria Math" w:hAnsi="Cambria Math"/>
                <w:i/>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ing</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r</m:t>
                                </m:r>
                              </m:sub>
                            </m:sSub>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μ</m:t>
                            </m:r>
                          </m:e>
                          <m:sup>
                            <m:r>
                              <w:rPr>
                                <w:rFonts w:ascii="Cambria Math" w:hAnsi="Cambria Math"/>
                                <w:lang w:val="en-US"/>
                              </w:rPr>
                              <m:t>2</m:t>
                            </m:r>
                          </m:sup>
                        </m:sSup>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den>
                    </m:f>
                  </m:e>
                </m:d>
              </m:e>
            </m:d>
          </m:e>
        </m:func>
      </m:oMath>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t xml:space="preserve">  (3.28</w:t>
      </w:r>
      <w:r>
        <w:rPr>
          <w:rFonts w:eastAsiaTheme="minorEastAsia"/>
          <w:lang w:val="en-US"/>
        </w:rPr>
        <w:t>)</w:t>
      </w:r>
    </w:p>
    <w:p w14:paraId="63181991" w14:textId="5447357C" w:rsidR="00D54FAA" w:rsidRDefault="001B0818" w:rsidP="00F03645">
      <w:pPr>
        <w:spacing w:line="480" w:lineRule="auto"/>
        <w:rPr>
          <w:rFonts w:eastAsiaTheme="minorEastAsia"/>
          <w:lang w:val="en-US"/>
        </w:rPr>
      </w:pPr>
      <w:r>
        <w:rPr>
          <w:rFonts w:eastAsiaTheme="minorEastAsia"/>
          <w:lang w:val="en-US"/>
        </w:rPr>
        <w:t>Where G</w:t>
      </w:r>
      <w:r>
        <w:rPr>
          <w:rFonts w:eastAsiaTheme="minorEastAsia"/>
          <w:vertAlign w:val="subscript"/>
          <w:lang w:val="en-US"/>
        </w:rPr>
        <w:t xml:space="preserve">ing </w:t>
      </w:r>
      <w:r>
        <w:rPr>
          <w:rFonts w:eastAsiaTheme="minorEastAsia"/>
          <w:lang w:val="en-US"/>
        </w:rPr>
        <w:t>is irradiation and T</w:t>
      </w:r>
      <w:r>
        <w:rPr>
          <w:rFonts w:eastAsiaTheme="minorEastAsia"/>
          <w:vertAlign w:val="subscript"/>
          <w:lang w:val="en-US"/>
        </w:rPr>
        <w:t>r</w:t>
      </w:r>
      <w:r>
        <w:rPr>
          <w:rFonts w:eastAsiaTheme="minorEastAsia"/>
          <w:lang w:val="en-US"/>
        </w:rPr>
        <w:t xml:space="preserve"> is the air temperature, with </w:t>
      </w:r>
      <w:r>
        <w:rPr>
          <w:rFonts w:eastAsiaTheme="minorEastAsia" w:cs="Times New Roman"/>
          <w:lang w:val="en-US"/>
        </w:rPr>
        <w:t>µ</w:t>
      </w:r>
      <w:r>
        <w:rPr>
          <w:rFonts w:eastAsiaTheme="minorEastAsia"/>
          <w:lang w:val="en-US"/>
        </w:rPr>
        <w:t xml:space="preserve"> and </w:t>
      </w:r>
      <w:r>
        <w:rPr>
          <w:rFonts w:eastAsiaTheme="minorEastAsia" w:cs="Times New Roman"/>
          <w:lang w:val="en-US"/>
        </w:rPr>
        <w:t>σ</w:t>
      </w:r>
      <w:r>
        <w:rPr>
          <w:rFonts w:eastAsiaTheme="minorEastAsia"/>
          <w:lang w:val="en-US"/>
        </w:rPr>
        <w:t xml:space="preserve"> being the mean and standard deviation of the irradiation </w:t>
      </w:r>
      <w:r w:rsidR="000529B4">
        <w:rPr>
          <w:rFonts w:eastAsiaTheme="minorEastAsia"/>
          <w:lang w:val="en-US"/>
        </w:rPr>
        <w:t>as obtained</w:t>
      </w:r>
      <w:r>
        <w:rPr>
          <w:rFonts w:eastAsiaTheme="minorEastAsia"/>
          <w:lang w:val="en-US"/>
        </w:rPr>
        <w:t xml:space="preserve"> from solar data </w:t>
      </w:r>
      <w:r>
        <w:rPr>
          <w:rFonts w:eastAsiaTheme="minorEastAsia"/>
          <w:lang w:val="en-US"/>
        </w:rPr>
        <w:fldChar w:fldCharType="begin" w:fldLock="1"/>
      </w:r>
      <w:r>
        <w:rPr>
          <w:rFonts w:eastAsiaTheme="minorEastAsia"/>
          <w:lang w:val="en-US"/>
        </w:rPr>
        <w:instrText>ADDIN CSL_CITATION {"citationItems":[{"id":"ITEM-1","itemData":{"DOI":"10.1016/B978-0-12-820491-7.01001-X","ISBN":"9780128204917","author":[{"dropping-particle":"","family":"Zobaa","given":"Ahmed F","non-dropping-particle":"","parse-names":false,"suffix":""},{"dropping-particle":"","family":"Aleem","given":"Shady H E Abdel","non-dropping-particle":"","parse-names":false,"suffix":""}],"id":"ITEM-1","issued":{"date-parts":[["2021"]]},"publisher":"Academic Press","publisher-place":"London","title":"Uncertainties in Modern Power Systems","type":"book"},"uris":["http://www.mendeley.com/documents/?uuid=34f6a0c0-9759-47b0-98f7-69df1648ef4c"]}],"mendeley":{"formattedCitation":"(Zobaa &amp; Aleem, 2021)","plainTextFormattedCitation":"(Zobaa &amp; Aleem, 2021)","previouslyFormattedCitation":"(Zobaa &amp; Aleem, 2021)"},"properties":{"noteIndex":0},"schema":"https://github.com/citation-style-language/schema/raw/master/csl-citation.json"}</w:instrText>
      </w:r>
      <w:r>
        <w:rPr>
          <w:rFonts w:eastAsiaTheme="minorEastAsia"/>
          <w:lang w:val="en-US"/>
        </w:rPr>
        <w:fldChar w:fldCharType="separate"/>
      </w:r>
      <w:r w:rsidRPr="007C1FF9">
        <w:rPr>
          <w:rFonts w:eastAsiaTheme="minorEastAsia"/>
          <w:noProof/>
          <w:lang w:val="en-US"/>
        </w:rPr>
        <w:t>(Zobaa &amp; Aleem, 2021)</w:t>
      </w:r>
      <w:r>
        <w:rPr>
          <w:rFonts w:eastAsiaTheme="minorEastAsia"/>
          <w:lang w:val="en-US"/>
        </w:rPr>
        <w:fldChar w:fldCharType="end"/>
      </w:r>
      <w:r w:rsidR="005F253C">
        <w:rPr>
          <w:rFonts w:eastAsiaTheme="minorEastAsia"/>
          <w:lang w:val="en-US"/>
        </w:rPr>
        <w:t>.</w:t>
      </w:r>
    </w:p>
    <w:p w14:paraId="54A4C4C3" w14:textId="00788A00" w:rsidR="001B0818" w:rsidRDefault="00270E58" w:rsidP="00F03645">
      <w:pPr>
        <w:pStyle w:val="Heading3"/>
        <w:spacing w:line="480" w:lineRule="auto"/>
      </w:pPr>
      <w:bookmarkStart w:id="54" w:name="_Toc110502592"/>
      <w:r>
        <w:t>3.4</w:t>
      </w:r>
      <w:r w:rsidR="001B0818">
        <w:t xml:space="preserve">.3 Gumbel </w:t>
      </w:r>
      <w:r w:rsidR="004B7FDA">
        <w:t xml:space="preserve">(Extreme-Value Type - 1) </w:t>
      </w:r>
      <w:r w:rsidR="001B0818">
        <w:t>Distribution</w:t>
      </w:r>
      <w:bookmarkEnd w:id="54"/>
    </w:p>
    <w:p w14:paraId="501D5570" w14:textId="1A4D395B" w:rsidR="001B0818" w:rsidRPr="005C7370" w:rsidRDefault="001B0818" w:rsidP="00F03645">
      <w:pPr>
        <w:spacing w:line="480" w:lineRule="auto"/>
        <w:rPr>
          <w:lang w:val="en-US"/>
        </w:rPr>
      </w:pPr>
      <w:r>
        <w:rPr>
          <w:lang w:val="en-US"/>
        </w:rPr>
        <w:t xml:space="preserve">The hydrological flow of water bodies fluctuates with the seasons during the year. It </w:t>
      </w:r>
      <w:r w:rsidR="00E54863">
        <w:rPr>
          <w:lang w:val="en-US"/>
        </w:rPr>
        <w:t>was</w:t>
      </w:r>
      <w:r>
        <w:rPr>
          <w:lang w:val="en-US"/>
        </w:rPr>
        <w:t xml:space="preserve"> modelled using the Gumbel distribution which is given.</w:t>
      </w:r>
    </w:p>
    <w:p w14:paraId="10639969" w14:textId="2850316F" w:rsidR="001B0818" w:rsidRPr="007C1FF9" w:rsidRDefault="00783427" w:rsidP="00F03645">
      <w:pPr>
        <w:spacing w:line="480" w:lineRule="auto"/>
        <w:rPr>
          <w:rFonts w:eastAsiaTheme="minorEastAsia"/>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d>
          <m:dPr>
            <m:ctrlPr>
              <w:rPr>
                <w:rFonts w:ascii="Cambria Math" w:hAnsi="Cambria Math"/>
                <w:i/>
                <w:lang w:val="en-US"/>
              </w:rPr>
            </m:ctrlPr>
          </m:dPr>
          <m:e>
            <m:r>
              <w:rPr>
                <w:rFonts w:ascii="Cambria Math" w:hAnsi="Cambria Math"/>
                <w:lang w:val="en-US"/>
              </w:rPr>
              <m:t>x</m:t>
            </m:r>
          </m:e>
        </m:d>
        <m:r>
          <w:rPr>
            <w:rFonts w:ascii="Cambria Math" w:hAnsi="Cambria Math"/>
            <w:lang w:val="en-US"/>
          </w:rPr>
          <m:t>=a</m:t>
        </m:r>
        <m:sSup>
          <m:sSupPr>
            <m:ctrlPr>
              <w:rPr>
                <w:rFonts w:ascii="Cambria Math" w:hAnsi="Cambria Math"/>
                <w:i/>
                <w:lang w:val="en-US"/>
              </w:rPr>
            </m:ctrlPr>
          </m:sSupPr>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-e</m:t>
                </m:r>
              </m:sup>
            </m:sSup>
          </m:e>
          <m:sup>
            <m:r>
              <w:rPr>
                <w:rFonts w:ascii="Cambria Math" w:hAnsi="Cambria Math"/>
                <w:lang w:val="en-US"/>
              </w:rPr>
              <m:t>-a(x-b)</m:t>
            </m:r>
          </m:sup>
        </m:sSup>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-a</m:t>
            </m:r>
            <m:d>
              <m:dPr>
                <m:ctrlPr>
                  <w:rPr>
                    <w:rFonts w:ascii="Cambria Math" w:hAnsi="Cambria Math"/>
                    <w:i/>
                    <w:lang w:val="en-US"/>
                  </w:rPr>
                </m:ctrlPr>
              </m:dPr>
              <m:e>
                <m:r>
                  <w:rPr>
                    <w:rFonts w:ascii="Cambria Math" w:hAnsi="Cambria Math"/>
                    <w:lang w:val="en-US"/>
                  </w:rPr>
                  <m:t>x-b</m:t>
                </m:r>
              </m:e>
            </m:d>
          </m:sup>
        </m:sSup>
        <m:r>
          <w:rPr>
            <w:rFonts w:ascii="Cambria Math" w:hAnsi="Cambria Math"/>
            <w:lang w:val="en-US"/>
          </w:rPr>
          <m:t>, -∞&lt;x&lt;∞, a&gt;0</m:t>
        </m:r>
      </m:oMath>
      <w:r w:rsidR="0043577C">
        <w:rPr>
          <w:rFonts w:eastAsiaTheme="minorEastAsia"/>
          <w:lang w:val="en-US"/>
        </w:rPr>
        <w:tab/>
      </w:r>
      <w:r w:rsidR="0043577C">
        <w:rPr>
          <w:rFonts w:eastAsiaTheme="minorEastAsia"/>
          <w:lang w:val="en-US"/>
        </w:rPr>
        <w:tab/>
      </w:r>
      <w:r w:rsidR="0043577C">
        <w:rPr>
          <w:rFonts w:eastAsiaTheme="minorEastAsia"/>
          <w:lang w:val="en-US"/>
        </w:rPr>
        <w:tab/>
      </w:r>
      <w:r w:rsidR="0043577C">
        <w:rPr>
          <w:rFonts w:eastAsiaTheme="minorEastAsia"/>
          <w:lang w:val="en-US"/>
        </w:rPr>
        <w:tab/>
        <w:t xml:space="preserve">  </w:t>
      </w:r>
      <w:r w:rsidR="001B0818">
        <w:rPr>
          <w:rFonts w:eastAsiaTheme="minorEastAsia"/>
          <w:lang w:val="en-US"/>
        </w:rPr>
        <w:t>(3</w:t>
      </w:r>
      <w:r w:rsidR="008E777D">
        <w:rPr>
          <w:rFonts w:eastAsiaTheme="minorEastAsia"/>
          <w:lang w:val="en-US"/>
        </w:rPr>
        <w:t>.29</w:t>
      </w:r>
      <w:r w:rsidR="001B0818">
        <w:rPr>
          <w:rFonts w:eastAsiaTheme="minorEastAsia"/>
          <w:lang w:val="en-US"/>
        </w:rPr>
        <w:t>)</w:t>
      </w:r>
    </w:p>
    <w:p w14:paraId="21DAAA32" w14:textId="77777777" w:rsidR="006A6A74" w:rsidRDefault="001B0818" w:rsidP="00F03645">
      <w:pPr>
        <w:spacing w:line="480" w:lineRule="auto"/>
        <w:rPr>
          <w:rFonts w:eastAsiaTheme="minorEastAsia"/>
          <w:lang w:val="en-US"/>
        </w:rPr>
      </w:pPr>
      <w:r>
        <w:rPr>
          <w:rFonts w:eastAsiaTheme="minorEastAsia"/>
          <w:lang w:val="en-US"/>
        </w:rPr>
        <w:t>Where a and b are the scale and position parameters</w:t>
      </w:r>
      <w:r w:rsidR="006A6A74">
        <w:rPr>
          <w:rFonts w:eastAsiaTheme="minorEastAsia"/>
          <w:lang w:val="en-US"/>
        </w:rPr>
        <w:t xml:space="preserve"> as obtained by the Matlab fit</w:t>
      </w:r>
      <w:r>
        <w:rPr>
          <w:rFonts w:eastAsiaTheme="minorEastAsia"/>
          <w:lang w:val="en-US"/>
        </w:rPr>
        <w:t xml:space="preserve">, and x is the variable (hydro flow) being considered </w:t>
      </w:r>
      <w:r>
        <w:rPr>
          <w:rFonts w:eastAsiaTheme="minorEastAsia"/>
          <w:lang w:val="en-US"/>
        </w:rPr>
        <w:fldChar w:fldCharType="begin" w:fldLock="1"/>
      </w:r>
      <w:r>
        <w:rPr>
          <w:rFonts w:eastAsiaTheme="minorEastAsia"/>
          <w:lang w:val="en-US"/>
        </w:rPr>
        <w:instrText>ADDIN CSL_CITATION {"citationItems":[{"id":"ITEM-1","itemData":{"DOI":"10.1016/J.HELIYON.2021.E06980","ISSN":"2405-8440","abstract":"The Pra river catchment in Ghana is adversely affected by perennial flooding from high-intensity rainfall events. To aid in flood management at the catchment, the Gumbel extreme value distribution has been used to estimate the return periods of maxima rainfall, flood, and consecutive dry and wet days (CDD and CWD) for a period of 5 to 100 years. The results revealed an expected increase in maxima rainfall, CDD and CWD. Maxima rainfall favours the south of the catchment while the CDD decreases northward. Furthermore, an increase in the magnitude of CWD observed at the centre of the catchment had a maximum of approximately 30 days for the 100 year return period, while lower flood volumes had a higher recurrence of 50% to 100% for 1 to 2 year return periods. The inclusion of a projected increase in anthropogenic activities and climate factors at the catchment will slightly affect the magnitude of these variables for the various return periods. Nonetheless, the findings in this study will be of essential input to policy implementation of the Integrated Water Resource Management Plan for river catchments in Ghana, West Africa.","author":[{"dropping-particle":"","family":"Osei","given":"Marian Amoakowaah","non-dropping-particle":"","parse-names":false,"suffix":""},{"dropping-particle":"","family":"Amekudzi","given":"Leonard Kofitse","non-dropping-particle":"","parse-names":false,"suffix":""},{"dropping-particle":"","family":"Omari-Sasu","given":"Akoto Yaw","non-dropping-particle":"","parse-names":false,"suffix":""},{"dropping-particle":"","family":"Yamba","given":"Edmund Ilimoan","non-dropping-particle":"","parse-names":false,"suffix":""},{"dropping-particle":"","family":"Quansah","given":"Emmanuel","non-dropping-particle":"","parse-names":false,"suffix":""},{"dropping-particle":"","family":"Aryee","given":"Jeffrey N.A.","non-dropping-particle":"","parse-names":false,"suffix":""},{"dropping-particle":"","family":"Preko","given":"Kwasi","non-dropping-particle":"","parse-names":false,"suffix":""}],"container-title":"Heliyon","id":"ITEM-1","issue":"5","issued":{"date-parts":[["2021","5","1"]]},"page":"e06980","publisher":"Elsevier","title":"Estimation of the return periods of maxima rainfall and floods at the Pra River Catchment, Ghana, West Africa using the Gumbel extreme value theory","type":"article-journal","volume":"7"},"uris":["http://www.mendeley.com/documents/?uuid=d48ffe18-6c07-3157-b8c6-38fcafbe187f"]}],"mendeley":{"formattedCitation":"(Osei et al., 2021)","plainTextFormattedCitation":"(Osei et al., 2021)","previouslyFormattedCitation":"(Osei et al., 2021)"},"properties":{"noteIndex":0},"schema":"https://github.com/citation-style-language/schema/raw/master/csl-citation.json"}</w:instrText>
      </w:r>
      <w:r>
        <w:rPr>
          <w:rFonts w:eastAsiaTheme="minorEastAsia"/>
          <w:lang w:val="en-US"/>
        </w:rPr>
        <w:fldChar w:fldCharType="separate"/>
      </w:r>
      <w:r w:rsidRPr="007C1FF9">
        <w:rPr>
          <w:rFonts w:eastAsiaTheme="minorEastAsia"/>
          <w:noProof/>
          <w:lang w:val="en-US"/>
        </w:rPr>
        <w:t>(Osei et al., 2021)</w:t>
      </w:r>
      <w:r>
        <w:rPr>
          <w:rFonts w:eastAsiaTheme="minorEastAsia"/>
          <w:lang w:val="en-US"/>
        </w:rPr>
        <w:fldChar w:fldCharType="end"/>
      </w:r>
      <w:r>
        <w:rPr>
          <w:rFonts w:eastAsiaTheme="minorEastAsia"/>
          <w:lang w:val="en-US"/>
        </w:rPr>
        <w:t>.</w:t>
      </w:r>
      <w:r w:rsidR="006A6A74">
        <w:rPr>
          <w:rFonts w:eastAsiaTheme="minorEastAsia"/>
          <w:lang w:val="en-US"/>
        </w:rPr>
        <w:t xml:space="preserve"> </w:t>
      </w:r>
    </w:p>
    <w:p w14:paraId="5800FDF3" w14:textId="69C74BB6" w:rsidR="001B0818" w:rsidRDefault="006A6A74" w:rsidP="00F03645">
      <w:pPr>
        <w:spacing w:line="480" w:lineRule="auto"/>
        <w:rPr>
          <w:rFonts w:eastAsiaTheme="minorEastAsia"/>
          <w:lang w:val="en-US"/>
        </w:rPr>
      </w:pPr>
      <w:r>
        <w:rPr>
          <w:rFonts w:eastAsiaTheme="minorEastAsia"/>
          <w:lang w:val="en-US"/>
        </w:rPr>
        <w:t xml:space="preserve">The Statistics and Machine Learning Toolbox as well as the Curve Fitting Toolbox of MATLAB R2020a were used to perform the </w:t>
      </w:r>
      <w:r w:rsidR="004B7FDA">
        <w:rPr>
          <w:rFonts w:eastAsiaTheme="minorEastAsia"/>
          <w:lang w:val="en-US"/>
        </w:rPr>
        <w:t>distribution</w:t>
      </w:r>
      <w:r>
        <w:rPr>
          <w:rFonts w:eastAsiaTheme="minorEastAsia"/>
          <w:lang w:val="en-US"/>
        </w:rPr>
        <w:t xml:space="preserve"> fitting tasks for the dynamic modelling of the microgrid</w:t>
      </w:r>
      <w:r w:rsidR="004B7FDA">
        <w:rPr>
          <w:rFonts w:eastAsiaTheme="minorEastAsia"/>
          <w:lang w:val="en-US"/>
        </w:rPr>
        <w:t xml:space="preserve"> using </w:t>
      </w:r>
      <w:r w:rsidR="000F0ABB">
        <w:rPr>
          <w:rFonts w:eastAsiaTheme="minorEastAsia"/>
          <w:lang w:val="en-US"/>
        </w:rPr>
        <w:t xml:space="preserve">the </w:t>
      </w:r>
      <w:r w:rsidR="004B7FDA">
        <w:rPr>
          <w:rFonts w:eastAsiaTheme="minorEastAsia"/>
          <w:lang w:val="en-US"/>
        </w:rPr>
        <w:t>Maximum-Likelihood Estimation (MLE) method</w:t>
      </w:r>
      <w:r>
        <w:rPr>
          <w:rFonts w:eastAsiaTheme="minorEastAsia"/>
          <w:lang w:val="en-US"/>
        </w:rPr>
        <w:t xml:space="preserve">. HOMER, on the other hand, for the feasibility study, accepted the </w:t>
      </w:r>
      <w:r w:rsidR="00A96F7B">
        <w:rPr>
          <w:rFonts w:eastAsiaTheme="minorEastAsia"/>
          <w:lang w:val="en-US"/>
        </w:rPr>
        <w:t xml:space="preserve">climatic </w:t>
      </w:r>
      <w:r>
        <w:rPr>
          <w:rFonts w:eastAsiaTheme="minorEastAsia"/>
          <w:lang w:val="en-US"/>
        </w:rPr>
        <w:t>data in time series format</w:t>
      </w:r>
      <w:r w:rsidR="00A96F7B">
        <w:rPr>
          <w:rFonts w:eastAsiaTheme="minorEastAsia"/>
          <w:lang w:val="en-US"/>
        </w:rPr>
        <w:t>.</w:t>
      </w:r>
      <w:r>
        <w:rPr>
          <w:rFonts w:eastAsiaTheme="minorEastAsia"/>
          <w:lang w:val="en-US"/>
        </w:rPr>
        <w:t xml:space="preserve"> </w:t>
      </w:r>
      <w:r w:rsidR="00A96F7B" w:rsidRPr="00A96F7B">
        <w:rPr>
          <w:rFonts w:eastAsiaTheme="minorEastAsia"/>
          <w:lang w:val="en-US"/>
        </w:rPr>
        <w:t xml:space="preserve">The data was obtained from the National Aeronautics and Space Administration (NASA) Langley Research Center (LaRC) Prediction of Worldwide Energy Resource (POWER) Project funded through the NASA Earth </w:t>
      </w:r>
      <w:r w:rsidR="00A96F7B">
        <w:rPr>
          <w:rFonts w:eastAsiaTheme="minorEastAsia"/>
          <w:lang w:val="en-US"/>
        </w:rPr>
        <w:t>Science/Applied Science Program</w:t>
      </w:r>
      <w:r w:rsidR="00CA7E0B">
        <w:rPr>
          <w:rFonts w:eastAsiaTheme="minorEastAsia"/>
          <w:lang w:val="en-US"/>
        </w:rPr>
        <w:t xml:space="preserve"> </w:t>
      </w:r>
      <w:r w:rsidR="00CA7E0B">
        <w:rPr>
          <w:rFonts w:eastAsiaTheme="minorEastAsia"/>
          <w:lang w:val="en-US"/>
        </w:rPr>
        <w:fldChar w:fldCharType="begin" w:fldLock="1"/>
      </w:r>
      <w:r w:rsidR="00D57920">
        <w:rPr>
          <w:rFonts w:eastAsiaTheme="minorEastAsia"/>
          <w:lang w:val="en-US"/>
        </w:rPr>
        <w:instrText>ADDIN CSL_CITATION {"citationItems":[{"id":"ITEM-1","itemData":{"author":[{"dropping-particle":"","family":"NASA","given":"","non-dropping-particle":"","parse-names":false,"suffix":""}],"id":"ITEM-1","issued":{"date-parts":[["2022"]]},"publisher-place":"Langley","title":"Prediction of Worldwide Energy Resources (POWER)","type":"article"},"uris":["http://www.mendeley.com/documents/?uuid=fdab889f-0412-4cc6-a1d7-8a9099be5858"]}],"mendeley":{"formattedCitation":"(NASA, 2022)","plainTextFormattedCitation":"(NASA, 2022)","previouslyFormattedCitation":"(NASA, 2022)"},"properties":{"noteIndex":0},"schema":"https://github.com/citation-style-language/schema/raw/master/csl-citation.json"}</w:instrText>
      </w:r>
      <w:r w:rsidR="00CA7E0B">
        <w:rPr>
          <w:rFonts w:eastAsiaTheme="minorEastAsia"/>
          <w:lang w:val="en-US"/>
        </w:rPr>
        <w:fldChar w:fldCharType="separate"/>
      </w:r>
      <w:r w:rsidR="00CA7E0B" w:rsidRPr="00CA7E0B">
        <w:rPr>
          <w:rFonts w:eastAsiaTheme="minorEastAsia"/>
          <w:noProof/>
          <w:lang w:val="en-US"/>
        </w:rPr>
        <w:t>(NASA, 2022)</w:t>
      </w:r>
      <w:r w:rsidR="00CA7E0B">
        <w:rPr>
          <w:rFonts w:eastAsiaTheme="minorEastAsia"/>
          <w:lang w:val="en-US"/>
        </w:rPr>
        <w:fldChar w:fldCharType="end"/>
      </w:r>
      <w:r w:rsidR="00A96F7B">
        <w:rPr>
          <w:rFonts w:eastAsiaTheme="minorEastAsia"/>
          <w:lang w:val="en-US"/>
        </w:rPr>
        <w:t>. H</w:t>
      </w:r>
      <w:r>
        <w:rPr>
          <w:rFonts w:eastAsiaTheme="minorEastAsia"/>
          <w:lang w:val="en-US"/>
        </w:rPr>
        <w:t xml:space="preserve">owever, much data cleaning was required in Microsoft excel to make the data amenable to HOMER use. The weather and hydrological data used in HOMER were </w:t>
      </w:r>
      <w:r w:rsidR="00F918B5">
        <w:rPr>
          <w:rFonts w:eastAsiaTheme="minorEastAsia"/>
          <w:lang w:val="en-US"/>
        </w:rPr>
        <w:t>scaled according to procedures detailed in the HOMER documentation.</w:t>
      </w:r>
    </w:p>
    <w:p w14:paraId="0A392696" w14:textId="77777777" w:rsidR="007B350E" w:rsidRDefault="007B350E" w:rsidP="00F03645">
      <w:pPr>
        <w:spacing w:line="480" w:lineRule="auto"/>
        <w:rPr>
          <w:lang w:val="en-US"/>
        </w:rPr>
      </w:pPr>
      <w:r>
        <w:rPr>
          <w:lang w:val="en-US"/>
        </w:rPr>
        <w:t>Using data-handling functions in MATLAB to process the contiguous time-series data from the NASA website, 48 different probability functions were developed. This was done in MATLAB. For each month of the year, the load, the solar irradiance, the wind speeds, and the expected streamflow were modelled using the Gaussian, Lognormal, Weibull, and Gumbel distributions respectively. This involved writing codes to extract and organize the data according to months of the year and then fit the appropriate distributions to each data subset for each of the variables in question. The data used was hourly data from 1981 to 2021, with over 184,000 hourly values for each variable over that period, hence the dataset size is adequate for the task, which would have been infeasible to extract and process by manual means. Outliers and missing values were also removed from the data before use for this purpose, which was also done programmatically. In addition, the probability distributions were sampled to derive the values of the renewable resources for each timestep.</w:t>
      </w:r>
    </w:p>
    <w:p w14:paraId="0C66DF11" w14:textId="60171CF4" w:rsidR="0094678E" w:rsidRPr="007B350E" w:rsidRDefault="007B350E" w:rsidP="00F03645">
      <w:pPr>
        <w:spacing w:line="480" w:lineRule="auto"/>
        <w:rPr>
          <w:lang w:val="en-US"/>
        </w:rPr>
      </w:pPr>
      <w:r>
        <w:rPr>
          <w:lang w:val="en-US"/>
        </w:rPr>
        <w:t xml:space="preserve">Using the dynamic models presented earlier, the values of the electrical parameters for each system component (i.e active and reactive power, or in some cases, apparent power) were computed for each timestep, which was done programmatically in MATLAB but had to be meticulously entered (defined, selected, copied, pasted, and reformatted) in 168 separate batches in Powerfactory, to prepare for the Quasi-Dynamic simulation for each month of the year. A Digsilent Language Script may have been able to speed up this task, however, the time for </w:t>
      </w:r>
      <w:r w:rsidR="000F0ABB">
        <w:rPr>
          <w:lang w:val="en-US"/>
        </w:rPr>
        <w:t xml:space="preserve">the </w:t>
      </w:r>
      <w:r>
        <w:rPr>
          <w:lang w:val="en-US"/>
        </w:rPr>
        <w:t>development of the script would have exceeded the timeline for this work itself. In addition, the version and restricted license of Powerfactory available for the research had limitations i</w:t>
      </w:r>
      <w:r w:rsidR="008158D8">
        <w:rPr>
          <w:lang w:val="en-US"/>
        </w:rPr>
        <w:t>n terms of scripting abilities.</w:t>
      </w:r>
    </w:p>
    <w:p w14:paraId="31697047" w14:textId="0B54D314" w:rsidR="00516D9F" w:rsidRDefault="00516D9F" w:rsidP="00F03645">
      <w:pPr>
        <w:pStyle w:val="Heading3"/>
        <w:spacing w:line="480" w:lineRule="auto"/>
        <w:rPr>
          <w:rFonts w:eastAsiaTheme="minorEastAsia"/>
        </w:rPr>
      </w:pPr>
      <w:bookmarkStart w:id="55" w:name="_Toc110502593"/>
      <w:r>
        <w:rPr>
          <w:rFonts w:eastAsiaTheme="minorEastAsia"/>
        </w:rPr>
        <w:t>3.</w:t>
      </w:r>
      <w:r w:rsidR="00270E58">
        <w:rPr>
          <w:rFonts w:eastAsiaTheme="minorEastAsia"/>
        </w:rPr>
        <w:t>5</w:t>
      </w:r>
      <w:r>
        <w:rPr>
          <w:rFonts w:eastAsiaTheme="minorEastAsia"/>
        </w:rPr>
        <w:t xml:space="preserve"> </w:t>
      </w:r>
      <w:r w:rsidR="004B7FDA">
        <w:rPr>
          <w:rFonts w:eastAsiaTheme="minorEastAsia"/>
        </w:rPr>
        <w:t xml:space="preserve">VOLTAGE PROFILE STABILITY: </w:t>
      </w:r>
      <w:r w:rsidR="007065CE">
        <w:rPr>
          <w:rFonts w:eastAsiaTheme="minorEastAsia"/>
        </w:rPr>
        <w:t>VOLTAGE DEVIATION INDEX (IVD)</w:t>
      </w:r>
      <w:bookmarkEnd w:id="55"/>
    </w:p>
    <w:p w14:paraId="582C408F" w14:textId="5F7CE4B1" w:rsidR="00007930" w:rsidRDefault="001B0818" w:rsidP="00F03645">
      <w:pPr>
        <w:spacing w:line="480" w:lineRule="auto"/>
        <w:rPr>
          <w:lang w:val="en-US"/>
        </w:rPr>
      </w:pPr>
      <w:r>
        <w:rPr>
          <w:lang w:val="en-US"/>
        </w:rPr>
        <w:t xml:space="preserve">The voltage </w:t>
      </w:r>
      <w:r w:rsidR="00516D9F">
        <w:rPr>
          <w:lang w:val="en-US"/>
        </w:rPr>
        <w:t xml:space="preserve">profile </w:t>
      </w:r>
      <w:r>
        <w:rPr>
          <w:lang w:val="en-US"/>
        </w:rPr>
        <w:t>stability</w:t>
      </w:r>
      <w:r w:rsidR="00516D9F">
        <w:rPr>
          <w:lang w:val="en-US"/>
        </w:rPr>
        <w:t xml:space="preserve"> (which is the focus of the final objective)</w:t>
      </w:r>
      <w:r>
        <w:rPr>
          <w:lang w:val="en-US"/>
        </w:rPr>
        <w:t xml:space="preserve"> in the multi-energy standalone low-voltage microgrid with renewable</w:t>
      </w:r>
      <w:r w:rsidR="000F0ABB">
        <w:rPr>
          <w:lang w:val="en-US"/>
        </w:rPr>
        <w:t>-energy</w:t>
      </w:r>
      <w:r>
        <w:rPr>
          <w:lang w:val="en-US"/>
        </w:rPr>
        <w:t xml:space="preserve"> component</w:t>
      </w:r>
      <w:r w:rsidR="000F0ABB">
        <w:rPr>
          <w:lang w:val="en-US"/>
        </w:rPr>
        <w:t>s</w:t>
      </w:r>
      <w:r>
        <w:rPr>
          <w:lang w:val="en-US"/>
        </w:rPr>
        <w:t xml:space="preserve">, which is more of a distribution network than a transmission network, is measured </w:t>
      </w:r>
      <w:r w:rsidR="00516D9F">
        <w:rPr>
          <w:lang w:val="en-US"/>
        </w:rPr>
        <w:t xml:space="preserve">in this work </w:t>
      </w:r>
      <w:r>
        <w:rPr>
          <w:lang w:val="en-US"/>
        </w:rPr>
        <w:t>using the Index of Voltage Deviation, abbreviated as IVD</w:t>
      </w:r>
      <w:r w:rsidR="001357C8">
        <w:rPr>
          <w:lang w:val="en-US"/>
        </w:rPr>
        <w:t xml:space="preserve"> or VDI</w:t>
      </w:r>
      <w:r>
        <w:rPr>
          <w:lang w:val="en-US"/>
        </w:rPr>
        <w:t xml:space="preserve"> </w:t>
      </w:r>
      <w:r>
        <w:rPr>
          <w:lang w:val="en-US"/>
        </w:rPr>
        <w:fldChar w:fldCharType="begin" w:fldLock="1"/>
      </w:r>
      <w:r w:rsidR="0000421B">
        <w:rPr>
          <w:lang w:val="en-US"/>
        </w:rPr>
        <w:instrText>ADDIN CSL_CITATION {"citationItems":[{"id":"ITEM-1","itemData":{"ISBN":"978-3-319-12957-0","abstract":"The life expectancy of dialysis patients depends, to a large extent, on blood access which provides uninterrupted and efficient treatment. Dialysis access created by a direct anastomosis between artery and vein usually allows normal dialysis for many years. Blood access by a bridge graft between artery and vein functions for a much shorter time and occludes chiefly because of endothelial hyperplasia at the graft vein anastomosis. This type of fistula is created when the veins of the patient are small. During the last few years the dialysis population is increasingly composed of adult and elderly patients suffering from diabetes mellitus, hypertension, dyslipidemias and atheromatous vascular disease so that a relatively large proportion of dialysis accesses are created using a bridge graft. Since we currently do not have the knowledge of how to arrest or delay the processes which lead to access occlusion, attempts are made to implement prophylactic strategies, find stenoses and dilate them before the access fails. Up to date, controlled trials have not succeeded in proving that this method prolongs access use. These trials did not describe the use of stents following dilatation. Materials and methods: Between July 2002 and May 2005, 238 angiographies were performed on blood accesses including 179 angioplasties of stenoses. In sixteen patients a stent was deployed during the angioplasty. Results: In ten patients dialysis was performed using the same access up to the end of the study period, an average of 43 months from the creation of the access. Three patients died with a functioning access and in three the access occluded during the period of follow-up. Discussion: This study shows that the use of stents following angioplasty of dialysis access stenoses can improve the duration of use of accesses created throuqh grafts.","author":[{"dropping-particle":"","family":"Gonzalez-Longatt","given":"F","non-dropping-particle":"","parse-names":false,"suffix":""},{"dropping-particle":"","family":"Rueda","given":"J","non-dropping-particle":"","parse-names":false,"suffix":""}],"container-title":"Power Systems","id":"ITEM-1","issued":{"date-parts":[["2014"]]},"title":"PowerFactory Applications for Power System Analysis","type":"book"},"uris":["http://www.mendeley.com/documents/?uuid=bc96e592-d804-446f-b521-515263bb012b"]},{"id":"ITEM-2","itemData":{"DOI":"10.1016/j.ijepes.2011.12.003","ISSN":"01420615","abstract":"Voltage stability improvement is an important issue in power system planning and operation. Voltage stability of a system depends on the network topology and settings of reactive compensation devices. This research first proposes an improved voltage stability index (IVSI) for network systems, and then presents an optimization method for reactive compensation devices settings. To solve the optimization problem, this work introduces the hybrid differential evolution (HDE) to determine tap settings of on-load tap changing (OLTC) transformers, excitation settings of generators or synchronous condensers (SCs), and locations with sizes of static var compensators (SVCs). The performance of this technique is verified using the IEEE 30-bus power flow test system. The results show that the proposed method using the improved voltage stability index and the optimization method is able to effectively enhance voltage stability of a system and reduce line losses. © 2011 Elsevier Ltd. All rights reserved.","author":[{"dropping-particle":"","family":"Yang","given":"Chien Feng","non-dropping-particle":"","parse-names":false,"suffix":""},{"dropping-particle":"","family":"Lai","given":"Gordon G.","non-dropping-particle":"","parse-names":false,"suffix":""},{"dropping-particle":"","family":"Lee","given":"Chia Hau","non-dropping-particle":"","parse-names":false,"suffix":""},{"dropping-particle":"","family":"Su","given":"Ching Tzong","non-dropping-particle":"","parse-names":false,"suffix":""},{"dropping-particle":"","family":"Chang","given":"Gary W.","non-dropping-particle":"","parse-names":false,"suffix":""}],"container-title":"International Journal of Electrical Power and Energy Systems","id":"ITEM-2","issue":"1","issued":{"date-parts":[["2012"]]},"page":"50-57","publisher":"Elsevier Ltd","title":"Optimal setting of reactive compensation devices with an improved voltage stability index for voltage stability enhancement","type":"article-journal","volume":"37"},"uris":["http://www.mendeley.com/documents/?uuid=3b838835-772c-45ff-930c-8a17df374ed8"]}],"mendeley":{"formattedCitation":"(Gonzalez-Longatt &amp; Rueda, 2014; Yang et al., 2012)","plainTextFormattedCitation":"(Gonzalez-Longatt &amp; Rueda, 2014; Yang et al., 2012)","previouslyFormattedCitation":"(Gonzalez-Longatt &amp; Rueda, 2014; Yang et al., 2012)"},"properties":{"noteIndex":0},"schema":"https://github.com/citation-style-language/schema/raw/master/csl-citation.json"}</w:instrText>
      </w:r>
      <w:r>
        <w:rPr>
          <w:lang w:val="en-US"/>
        </w:rPr>
        <w:fldChar w:fldCharType="separate"/>
      </w:r>
      <w:r w:rsidR="001357C8" w:rsidRPr="001357C8">
        <w:rPr>
          <w:noProof/>
          <w:lang w:val="en-US"/>
        </w:rPr>
        <w:t>(Gonzalez-Longatt &amp; Rueda, 2014; Yang et al., 2012)</w:t>
      </w:r>
      <w:r>
        <w:rPr>
          <w:lang w:val="en-US"/>
        </w:rPr>
        <w:fldChar w:fldCharType="end"/>
      </w:r>
      <w:r>
        <w:rPr>
          <w:lang w:val="en-US"/>
        </w:rPr>
        <w:t xml:space="preserve">. This refers to a measure of the maximum obtained deviation of the network voltages between the network’s buses that takes into account the impact of the renewable sources. </w:t>
      </w:r>
    </w:p>
    <w:p w14:paraId="1D7CAEF3" w14:textId="278E6D45" w:rsidR="001357C8" w:rsidRDefault="00516D9F" w:rsidP="00F03645">
      <w:pPr>
        <w:spacing w:line="480" w:lineRule="auto"/>
        <w:rPr>
          <w:lang w:val="en-US"/>
        </w:rPr>
      </w:pPr>
      <w:r>
        <w:rPr>
          <w:lang w:val="en-US"/>
        </w:rPr>
        <w:t>There are a number of voltage stability metrics that have been reviewed, however</w:t>
      </w:r>
      <w:r w:rsidR="000F0ABB">
        <w:rPr>
          <w:lang w:val="en-US"/>
        </w:rPr>
        <w:t>,</w:t>
      </w:r>
      <w:r>
        <w:rPr>
          <w:lang w:val="en-US"/>
        </w:rPr>
        <w:t xml:space="preserve"> the IVD index is </w:t>
      </w:r>
      <w:r w:rsidR="001B0818">
        <w:rPr>
          <w:lang w:val="en-US"/>
        </w:rPr>
        <w:t>specifically designed for microgrids with renewable penetration</w:t>
      </w:r>
      <w:r w:rsidR="004F3551">
        <w:rPr>
          <w:lang w:val="en-US"/>
        </w:rPr>
        <w:t xml:space="preserve"> and the coding involved is only of moderate difficulty where it is used in literature</w:t>
      </w:r>
      <w:r w:rsidR="00232773">
        <w:rPr>
          <w:lang w:val="en-US"/>
        </w:rPr>
        <w:t xml:space="preserve"> </w:t>
      </w:r>
      <w:r w:rsidR="00232773">
        <w:rPr>
          <w:lang w:val="en-US"/>
        </w:rPr>
        <w:fldChar w:fldCharType="begin" w:fldLock="1"/>
      </w:r>
      <w:r w:rsidR="001357C8">
        <w:rPr>
          <w:lang w:val="en-US"/>
        </w:rPr>
        <w:instrText>ADDIN CSL_CITATION {"citationItems":[{"id":"ITEM-1","itemData":{"DOI":"10.1016/j.segan.2021.100482","ISSN":"23524677","abstract":"This paper proposes a novel sequential optimization strategy (SOS) for optimal allocation of both active and reactive power among dispatchable distributed generator (DDG) units present in a droop controlled islanded AC microgrid. Active power is optimally dispatched based on the simultaneous satisfaction of an economic objective of total operational cost (TOC) minimization, along with an environmental objective of total operational emission (TOE) minimization, as well as a network-related objective of total active power loss (Ploss) minimization. A fuzzy-embedded multi-objective particle swarm optimization (FMOPSO) technique is used to solve this optimization problem. Reactive power is optimally allocated depending on the objective of capacity based reactive power sharing, which is solved using the conventional particle swarm optimization (PSO) algorithm. Node voltage deviation index (NVDI) and total active power loss in the network (Ploss) are used as two main attributes to quantitatively measure the improvement in node voltage profile as a result of optimal sharing of reactive power among the dispatchable distributed generator units. The presence of local heat demand and uncertainties inherent in weather dependent load demand and renewable generation are taken into consideration. A novel mixed probabilistic–possibilistic scenario based approach (MPPSBA) is put forward to model the uncertainties associated with both the electrical and heat load demand and renewable distributed generator (RDG) output. The effectiveness of the proposed methods is demonstrated on a 33-node droop controlled islanded microgrid (DCIMG) test network.","author":[{"dropping-particle":"","family":"Roy","given":"Nibir Baran","non-dropping-particle":"","parse-names":false,"suffix":""},{"dropping-particle":"","family":"Das","given":"Debapriya","non-dropping-particle":"","parse-names":false,"suffix":""}],"container-title":"Sustainable Energy, Grids and Networks","id":"ITEM-1","issued":{"date-parts":[["2021"]]},"page":"100482","publisher":"Elsevier Ltd","title":"Optimal allocation of active and reactive power of dispatchable distributed generators in a droop controlled islanded microgrid considering renewable generation and load demand uncertainties","type":"article-journal","volume":"27"},"uris":["http://www.mendeley.com/documents/?uuid=8c26748d-9e25-426b-a7a7-8ebe25011227"]},{"id":"ITEM-2","itemData":{"DOI":"10.1109/PECON.2018.8684177","ISBN":"9781538654316","abstract":"Distribution system is the crucial part of the power system which needs to be monitored for quality since it is the last stage in delivering electricity to consumers. The main aim of suppliers is therefore to maintain excellent quality of supply with minimal support at the network level. This includes dealing with issues around voltage regulation and minimization of real power losses on the network which are reflected in a uniform voltage profile through various load points on the feeders. However, with increase in decentralization, Distributed Generation (DG) becomes the focal point of distribution networks and can be used to achieve the above mentioned objectives. DGs are used in this paper to minimize the losses along with an improvement in the voltage profile. The location of these DG units on the network is addressed as an optimization problem using the loss sensitivity index and voltage deviation index. The size of power injected by DG units is obtained with using an intelligent approach that combines Genetic Algorithm (GA) with neural networks. Different cases of DG in terms of real and reactive power injected are considered resulting in an improvement in voltage profile. The loss sensitivity and voltage deviation indices show the best result for the location of DG needed to minimize the power loss along with improvement in voltage regulation. This approach is tested on a 13-bus distribution network with different types of loads placed throughout the feeder.","author":[{"dropping-particle":"V.","family":"Bhatt","given":"Dhruvkumar","non-dropping-particle":"","parse-names":false,"suffix":""},{"dropping-particle":"","family":"Bhatt","given":"Yagnesh H.","non-dropping-particle":"","parse-names":false,"suffix":""},{"dropping-particle":"","family":"Pakka","given":"Vijayanarasimha H.","non-dropping-particle":"","parse-names":false,"suffix":""}],"container-title":"2018 IEEE 7th International Conference on Power and Energy, PECon 2018","id":"ITEM-2","issued":{"date-parts":[["2018"]]},"page":"310-315","publisher":"IEEE","title":"Loss Sensitivity and Voltage Deviation Index Based Intelligent Technique for Optimal Placement and Operation of Distributed Generators","type":"article-journal"},"uris":["http://www.mendeley.com/documents/?uuid=0e8b7c4d-b8a4-4149-aa8a-6536399f5071"]},{"id":"ITEM-3","itemData":{"DOI":"10.17485/ijst/2016/v9i38/101930","ISSN":"09745645","abstract":"Objectives: In Modern world power production and its efficient usage defines the development of the country. In distribution system of an electrical network due to the influence of loads, voltage profile and losses are to be focussed a lot. In order to avoid the maximum losses and to maintain the voltage profile usage of Distribution Generator (DG) plays a major role in the network. Statistical Analysis: Since we have to use an appropriate place and size of DG, a measuring technique based with index through which optimal size and place can be identified and is implemented in the work. Findings: This Paper focuses on reducing power losses by accurately giving the location and size of DG based on two indices (a) Voltage Deviation Index (VDI) (b) Voltage Stability Index (VSI). Results such as power losses, location, size and cost of DG are obtained for both initial configuration and Feeder reconfigured state for IEEE 33 and 69 bus systems were listed. Applications: These analysis help us in installation of Different types of DG to present network where demand side management has to be followed.","author":[{"dropping-particle":"","family":"Vidyasagar","given":"S.","non-dropping-particle":"","parse-names":false,"suffix":""},{"dropping-particle":"","family":"Vijayakumar","given":"K.","non-dropping-particle":"","parse-names":false,"suffix":""},{"dropping-particle":"","family":"Sattianadan","given":"D.","non-dropping-particle":"","parse-names":false,"suffix":""},{"dropping-particle":"","family":"George Fernandez","given":"S.","non-dropping-particle":"","parse-names":false,"suffix":""}],"container-title":"Indian Journal of Science and Technology","id":"ITEM-3","issue":"38","issued":{"date-parts":[["2016"]]},"title":"Optimal placement of DG based on voltage stability index and voltage deviation index","type":"article-journal","volume":"9"},"uris":["http://www.mendeley.com/documents/?uuid=08376ec7-b2f8-451d-ad89-34e9609a3f00"]}],"mendeley":{"formattedCitation":"(Bhatt et al., 2018; Roy &amp; Das, 2021; Vidyasagar et al., 2016)","plainTextFormattedCitation":"(Bhatt et al., 2018; Roy &amp; Das, 2021; Vidyasagar et al., 2016)","previouslyFormattedCitation":"(Bhatt et al., 2018; Roy &amp; Das, 2021; Vidyasagar et al., 2016)"},"properties":{"noteIndex":0},"schema":"https://github.com/citation-style-language/schema/raw/master/csl-citation.json"}</w:instrText>
      </w:r>
      <w:r w:rsidR="00232773">
        <w:rPr>
          <w:lang w:val="en-US"/>
        </w:rPr>
        <w:fldChar w:fldCharType="separate"/>
      </w:r>
      <w:r w:rsidR="00232773" w:rsidRPr="00232773">
        <w:rPr>
          <w:noProof/>
          <w:lang w:val="en-US"/>
        </w:rPr>
        <w:t>(Bhatt et al., 2018; Roy &amp; Das, 2021; Vidyasagar et al., 2016)</w:t>
      </w:r>
      <w:r w:rsidR="00232773">
        <w:rPr>
          <w:lang w:val="en-US"/>
        </w:rPr>
        <w:fldChar w:fldCharType="end"/>
      </w:r>
      <w:r w:rsidR="001B0818">
        <w:rPr>
          <w:lang w:val="en-US"/>
        </w:rPr>
        <w:t>.</w:t>
      </w:r>
      <w:r w:rsidR="00D9049C">
        <w:rPr>
          <w:lang w:val="en-US"/>
        </w:rPr>
        <w:t xml:space="preserve"> </w:t>
      </w:r>
    </w:p>
    <w:p w14:paraId="44F9BBDC" w14:textId="2650B502" w:rsidR="00072952" w:rsidRDefault="00072952" w:rsidP="00F03645">
      <w:pPr>
        <w:spacing w:line="480" w:lineRule="auto"/>
        <w:rPr>
          <w:rFonts w:eastAsiaTheme="minorEastAsia"/>
          <w:lang w:val="en-US"/>
        </w:rPr>
      </w:pPr>
      <m:oMath>
        <m:r>
          <w:rPr>
            <w:rFonts w:ascii="Cambria Math" w:hAnsi="Cambria Math"/>
            <w:lang w:val="en-US"/>
          </w:rPr>
          <m:t xml:space="preserve">VDI= </m:t>
        </m:r>
        <m:nary>
          <m:naryPr>
            <m:chr m:val="∑"/>
            <m:limLoc m:val="undOvr"/>
            <m:ctrlPr>
              <w:rPr>
                <w:rFonts w:ascii="Cambria Math" w:hAnsi="Cambria Math"/>
                <w:i/>
                <w:lang w:val="en-US"/>
              </w:rPr>
            </m:ctrlPr>
          </m:naryPr>
          <m:sub>
            <m:r>
              <w:rPr>
                <w:rFonts w:ascii="Cambria Math" w:hAnsi="Cambria Math"/>
                <w:lang w:val="en-US"/>
              </w:rPr>
              <m:t>i</m:t>
            </m:r>
          </m:sub>
          <m:sup>
            <m:r>
              <w:rPr>
                <w:rFonts w:ascii="Cambria Math" w:hAnsi="Cambria Math"/>
                <w:lang w:val="en-US"/>
              </w:rPr>
              <m:t>NB</m:t>
            </m:r>
          </m:sup>
          <m:e>
            <m:f>
              <m:fPr>
                <m:ctrlPr>
                  <w:rPr>
                    <w:rFonts w:ascii="Cambria Math" w:hAnsi="Cambria Math"/>
                    <w:i/>
                    <w:lang w:val="en-US"/>
                  </w:rPr>
                </m:ctrlPr>
              </m:fPr>
              <m:num>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rated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e>
                </m:d>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rated</m:t>
                    </m:r>
                  </m:sub>
                </m:sSub>
              </m:den>
            </m:f>
          </m:e>
        </m:nary>
      </m:oMath>
      <w:r w:rsidR="008E777D">
        <w:rPr>
          <w:rFonts w:eastAsiaTheme="minorEastAsia"/>
          <w:lang w:val="en-US"/>
        </w:rPr>
        <w:t xml:space="preserve"> </w:t>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t>(3.30</w:t>
      </w:r>
      <w:r>
        <w:rPr>
          <w:rFonts w:eastAsiaTheme="minorEastAsia"/>
          <w:lang w:val="en-US"/>
        </w:rPr>
        <w:t>)</w:t>
      </w:r>
    </w:p>
    <w:p w14:paraId="2BE23B74" w14:textId="461CFEB1" w:rsidR="00113117" w:rsidRPr="00113117" w:rsidRDefault="00113117" w:rsidP="00F03645">
      <w:pPr>
        <w:spacing w:line="480" w:lineRule="auto"/>
        <w:rPr>
          <w:lang w:val="en-US"/>
        </w:rPr>
      </w:pPr>
      <w:r>
        <w:rPr>
          <w:rFonts w:eastAsiaTheme="minorEastAsia"/>
          <w:lang w:val="en-US"/>
        </w:rPr>
        <w:t>Where V</w:t>
      </w:r>
      <w:r>
        <w:rPr>
          <w:rFonts w:eastAsiaTheme="minorEastAsia"/>
          <w:vertAlign w:val="subscript"/>
          <w:lang w:val="en-US"/>
        </w:rPr>
        <w:t>rated</w:t>
      </w:r>
      <w:r>
        <w:rPr>
          <w:rFonts w:eastAsiaTheme="minorEastAsia"/>
          <w:lang w:val="en-US"/>
        </w:rPr>
        <w:t xml:space="preserve"> would be 1</w:t>
      </w:r>
      <w:r w:rsidR="000F0ABB">
        <w:rPr>
          <w:rFonts w:eastAsiaTheme="minorEastAsia"/>
          <w:lang w:val="en-US"/>
        </w:rPr>
        <w:t xml:space="preserve"> </w:t>
      </w:r>
      <w:r>
        <w:rPr>
          <w:rFonts w:eastAsiaTheme="minorEastAsia"/>
          <w:lang w:val="en-US"/>
        </w:rPr>
        <w:t>per unit of system voltage and V</w:t>
      </w:r>
      <w:r>
        <w:rPr>
          <w:rFonts w:eastAsiaTheme="minorEastAsia"/>
          <w:vertAlign w:val="subscript"/>
          <w:lang w:val="en-US"/>
        </w:rPr>
        <w:t>i</w:t>
      </w:r>
      <w:r>
        <w:rPr>
          <w:rFonts w:eastAsiaTheme="minorEastAsia"/>
          <w:lang w:val="en-US"/>
        </w:rPr>
        <w:t xml:space="preserve"> would be the voltage at the ith bus in per-unit. NB is the number of buses.</w:t>
      </w:r>
    </w:p>
    <w:p w14:paraId="5E894F46" w14:textId="515062F2" w:rsidR="00201044" w:rsidRDefault="001357C8" w:rsidP="00F03645">
      <w:pPr>
        <w:spacing w:line="480" w:lineRule="auto"/>
        <w:rPr>
          <w:lang w:val="en-US"/>
        </w:rPr>
      </w:pPr>
      <w:r>
        <w:rPr>
          <w:lang w:val="en-US"/>
        </w:rPr>
        <w:t>The IVD as used in DG systems exists in both an absolute formulation and a relative formulation</w:t>
      </w:r>
      <w:r w:rsidR="0000421B">
        <w:rPr>
          <w:lang w:val="en-US"/>
        </w:rPr>
        <w:fldChar w:fldCharType="begin" w:fldLock="1"/>
      </w:r>
      <w:r w:rsidR="00046467">
        <w:rPr>
          <w:lang w:val="en-US"/>
        </w:rPr>
        <w:instrText>ADDIN CSL_CITATION {"citationItems":[{"id":"ITEM-1","itemData":{"DOI":"10.1016/j.segan.2021.100482","ISSN":"23524677","abstract":"This paper proposes a novel sequential optimization strategy (SOS) for optimal allocation of both active and reactive power among dispatchable distributed generator (DDG) units present in a droop controlled islanded AC microgrid. Active power is optimally dispatched based on the simultaneous satisfaction of an economic objective of total operational cost (TOC) minimization, along with an environmental objective of total operational emission (TOE) minimization, as well as a network-related objective of total active power loss (Ploss) minimization. A fuzzy-embedded multi-objective particle swarm optimization (FMOPSO) technique is used to solve this optimization problem. Reactive power is optimally allocated depending on the objective of capacity based reactive power sharing, which is solved using the conventional particle swarm optimization (PSO) algorithm. Node voltage deviation index (NVDI) and total active power loss in the network (Ploss) are used as two main attributes to quantitatively measure the improvement in node voltage profile as a result of optimal sharing of reactive power among the dispatchable distributed generator units. The presence of local heat demand and uncertainties inherent in weather dependent load demand and renewable generation are taken into consideration. A novel mixed probabilistic–possibilistic scenario based approach (MPPSBA) is put forward to model the uncertainties associated with both the electrical and heat load demand and renewable distributed generator (RDG) output. The effectiveness of the proposed methods is demonstrated on a 33-node droop controlled islanded microgrid (DCIMG) test network.","author":[{"dropping-particle":"","family":"Roy","given":"Nibir Baran","non-dropping-particle":"","parse-names":false,"suffix":""},{"dropping-particle":"","family":"Das","given":"Debapriya","non-dropping-particle":"","parse-names":false,"suffix":""}],"container-title":"Sustainable Energy, Grids and Networks","id":"ITEM-1","issued":{"date-parts":[["2021"]]},"page":"100482","publisher":"Elsevier Ltd","title":"Optimal allocation of active and reactive power of dispatchable distributed generators in a droop controlled islanded microgrid considering renewable generation and load demand uncertainties","type":"article-journal","volume":"27"},"uris":["http://www.mendeley.com/documents/?uuid=8c26748d-9e25-426b-a7a7-8ebe25011227"]},{"id":"ITEM-2","itemData":{"ISBN":"978-3-319-12957-0","abstract":"The life expectancy of dialysis patients depends, to a large extent, on blood access which provides uninterrupted and efficient treatment. Dialysis access created by a direct anastomosis between artery and vein usually allows normal dialysis for many years. Blood access by a bridge graft between artery and vein functions for a much shorter time and occludes chiefly because of endothelial hyperplasia at the graft vein anastomosis. This type of fistula is created when the veins of the patient are small. During the last few years the dialysis population is increasingly composed of adult and elderly patients suffering from diabetes mellitus, hypertension, dyslipidemias and atheromatous vascular disease so that a relatively large proportion of dialysis accesses are created using a bridge graft. Since we currently do not have the knowledge of how to arrest or delay the processes which lead to access occlusion, attempts are made to implement prophylactic strategies, find stenoses and dilate them before the access fails. Up to date, controlled trials have not succeeded in proving that this method prolongs access use. These trials did not describe the use of stents following dilatation. Materials and methods: Between July 2002 and May 2005, 238 angiographies were performed on blood accesses including 179 angioplasties of stenoses. In sixteen patients a stent was deployed during the angioplasty. Results: In ten patients dialysis was performed using the same access up to the end of the study period, an average of 43 months from the creation of the access. Three patients died with a functioning access and in three the access occluded during the period of follow-up. Discussion: This study shows that the use of stents following angioplasty of dialysis access stenoses can improve the duration of use of accesses created throuqh grafts.","author":[{"dropping-particle":"","family":"Gonzalez-Longatt","given":"F","non-dropping-particle":"","parse-names":false,"suffix":""},{"dropping-particle":"","family":"Rueda","given":"J","non-dropping-particle":"","parse-names":false,"suffix":""}],"container-title":"Power Systems","id":"ITEM-2","issued":{"date-parts":[["2014"]]},"title":"PowerFactory Applications for Power System Analysis","type":"book"},"uris":["http://www.mendeley.com/documents/?uuid=bc96e592-d804-446f-b521-515263bb012b"]}],"mendeley":{"formattedCitation":"(Gonzalez-Longatt &amp; Rueda, 2014; Roy &amp; Das, 2021)","plainTextFormattedCitation":"(Gonzalez-Longatt &amp; Rueda, 2014; Roy &amp; Das, 2021)","previouslyFormattedCitation":"(Gonzalez-Longatt &amp; Rueda, 2014; Roy &amp; Das, 2021)"},"properties":{"noteIndex":0},"schema":"https://github.com/citation-style-language/schema/raw/master/csl-citation.json"}</w:instrText>
      </w:r>
      <w:r w:rsidR="0000421B">
        <w:rPr>
          <w:lang w:val="en-US"/>
        </w:rPr>
        <w:fldChar w:fldCharType="separate"/>
      </w:r>
      <w:r w:rsidR="0000421B" w:rsidRPr="0000421B">
        <w:rPr>
          <w:noProof/>
          <w:lang w:val="en-US"/>
        </w:rPr>
        <w:t>(Gonzalez-Longatt &amp; Rueda, 2014; Roy &amp; Das, 2021)</w:t>
      </w:r>
      <w:r w:rsidR="0000421B">
        <w:rPr>
          <w:lang w:val="en-US"/>
        </w:rPr>
        <w:fldChar w:fldCharType="end"/>
      </w:r>
      <w:r>
        <w:rPr>
          <w:lang w:val="en-US"/>
        </w:rPr>
        <w:t xml:space="preserve">. In the absolute formulation, </w:t>
      </w:r>
      <w:r w:rsidR="0000421B">
        <w:rPr>
          <w:lang w:val="en-US"/>
        </w:rPr>
        <w:t xml:space="preserve">the normalized deviation of the relevant nodes from their nominal voltage </w:t>
      </w:r>
      <w:r w:rsidR="000F0ABB">
        <w:rPr>
          <w:lang w:val="en-US"/>
        </w:rPr>
        <w:t>is</w:t>
      </w:r>
      <w:r w:rsidR="0000421B">
        <w:rPr>
          <w:lang w:val="en-US"/>
        </w:rPr>
        <w:t xml:space="preserve"> considered. However, in the relative formulation, which </w:t>
      </w:r>
      <w:r w:rsidR="00587629">
        <w:rPr>
          <w:lang w:val="en-US"/>
        </w:rPr>
        <w:t>was</w:t>
      </w:r>
      <w:r w:rsidR="0000421B">
        <w:rPr>
          <w:lang w:val="en-US"/>
        </w:rPr>
        <w:t xml:space="preserve"> used in this study, the renewable and diesel</w:t>
      </w:r>
      <w:r w:rsidR="000F0ABB">
        <w:rPr>
          <w:lang w:val="en-US"/>
        </w:rPr>
        <w:t>-</w:t>
      </w:r>
      <w:r w:rsidR="0000421B">
        <w:rPr>
          <w:lang w:val="en-US"/>
        </w:rPr>
        <w:t>based scenario</w:t>
      </w:r>
      <w:r w:rsidR="000F0ABB">
        <w:rPr>
          <w:lang w:val="en-US"/>
        </w:rPr>
        <w:t>s</w:t>
      </w:r>
      <w:r w:rsidR="0000421B">
        <w:rPr>
          <w:lang w:val="en-US"/>
        </w:rPr>
        <w:t xml:space="preserve"> are inherently compared.</w:t>
      </w:r>
    </w:p>
    <w:p w14:paraId="391B44F2" w14:textId="4A3C224F" w:rsidR="001B0818" w:rsidRDefault="0000421B" w:rsidP="00F03645">
      <w:pPr>
        <w:spacing w:line="480" w:lineRule="auto"/>
        <w:rPr>
          <w:lang w:val="en-US"/>
        </w:rPr>
      </w:pPr>
      <w:r>
        <w:rPr>
          <w:lang w:val="en-US"/>
        </w:rPr>
        <w:t>I</w:t>
      </w:r>
      <w:r w:rsidR="00D9049C">
        <w:rPr>
          <w:lang w:val="en-US"/>
        </w:rPr>
        <w:t>n</w:t>
      </w:r>
      <w:r>
        <w:rPr>
          <w:lang w:val="en-US"/>
        </w:rPr>
        <w:t xml:space="preserve"> both formulations,</w:t>
      </w:r>
      <w:r w:rsidR="00D9049C">
        <w:rPr>
          <w:lang w:val="en-US"/>
        </w:rPr>
        <w:t xml:space="preserve"> IVD of 10%  or less is considered satisfactory in the surveyed literature</w:t>
      </w:r>
      <w:r w:rsidR="00D73FD5">
        <w:rPr>
          <w:lang w:val="en-US"/>
        </w:rPr>
        <w:t xml:space="preserve"> </w:t>
      </w:r>
      <w:r w:rsidR="00D73FD5">
        <w:rPr>
          <w:lang w:val="en-US"/>
        </w:rPr>
        <w:fldChar w:fldCharType="begin" w:fldLock="1"/>
      </w:r>
      <w:r w:rsidR="00AC5C84">
        <w:rPr>
          <w:lang w:val="en-US"/>
        </w:rPr>
        <w:instrText>ADDIN CSL_CITATION {"citationItems":[{"id":"ITEM-1","itemData":{"ISBN":"978-3-319-12957-0","abstract":"The life expectancy of dialysis patients depends, to a large extent, on blood access which provides uninterrupted and efficient treatment. Dialysis access created by a direct anastomosis between artery and vein usually allows normal dialysis for many years. Blood access by a bridge graft between artery and vein functions for a much shorter time and occludes chiefly because of endothelial hyperplasia at the graft vein anastomosis. This type of fistula is created when the veins of the patient are small. During the last few years the dialysis population is increasingly composed of adult and elderly patients suffering from diabetes mellitus, hypertension, dyslipidemias and atheromatous vascular disease so that a relatively large proportion of dialysis accesses are created using a bridge graft. Since we currently do not have the knowledge of how to arrest or delay the processes which lead to access occlusion, attempts are made to implement prophylactic strategies, find stenoses and dilate them before the access fails. Up to date, controlled trials have not succeeded in proving that this method prolongs access use. These trials did not describe the use of stents following dilatation. Materials and methods: Between July 2002 and May 2005, 238 angiographies were performed on blood accesses including 179 angioplasties of stenoses. In sixteen patients a stent was deployed during the angioplasty. Results: In ten patients dialysis was performed using the same access up to the end of the study period, an average of 43 months from the creation of the access. Three patients died with a functioning access and in three the access occluded during the period of follow-up. Discussion: This study shows that the use of stents following angioplasty of dialysis access stenoses can improve the duration of use of accesses created throuqh grafts.","author":[{"dropping-particle":"","family":"Gonzalez-Longatt","given":"F","non-dropping-particle":"","parse-names":false,"suffix":""},{"dropping-particle":"","family":"Rueda","given":"J","non-dropping-particle":"","parse-names":false,"suffix":""}],"container-title":"Power Systems","id":"ITEM-1","issued":{"date-parts":[["2014"]]},"title":"PowerFactory Applications for Power System Analysis","type":"book"},"uris":["http://www.mendeley.com/documents/?uuid=bc96e592-d804-446f-b521-515263bb012b"]}],"mendeley":{"formattedCitation":"(Gonzalez-Longatt &amp; Rueda, 2014)","plainTextFormattedCitation":"(Gonzalez-Longatt &amp; Rueda, 2014)","previouslyFormattedCitation":"(Gonzalez-Longatt &amp; Rueda, 2014)"},"properties":{"noteIndex":0},"schema":"https://github.com/citation-style-language/schema/raw/master/csl-citation.json"}</w:instrText>
      </w:r>
      <w:r w:rsidR="00D73FD5">
        <w:rPr>
          <w:lang w:val="en-US"/>
        </w:rPr>
        <w:fldChar w:fldCharType="separate"/>
      </w:r>
      <w:r w:rsidR="00D73FD5" w:rsidRPr="00D73FD5">
        <w:rPr>
          <w:noProof/>
          <w:lang w:val="en-US"/>
        </w:rPr>
        <w:t>(Gonzalez-Longatt &amp; Rueda, 2014)</w:t>
      </w:r>
      <w:r w:rsidR="00D73FD5">
        <w:rPr>
          <w:lang w:val="en-US"/>
        </w:rPr>
        <w:fldChar w:fldCharType="end"/>
      </w:r>
      <w:r w:rsidR="00D9049C">
        <w:rPr>
          <w:lang w:val="en-US"/>
        </w:rPr>
        <w:t>.</w:t>
      </w:r>
      <w:r w:rsidR="001357C8">
        <w:rPr>
          <w:lang w:val="en-US"/>
        </w:rPr>
        <w:t xml:space="preserve"> An IVD of zero would mean, for example</w:t>
      </w:r>
      <w:r w:rsidR="00201044">
        <w:rPr>
          <w:lang w:val="en-US"/>
        </w:rPr>
        <w:t>,</w:t>
      </w:r>
      <w:r w:rsidR="001357C8">
        <w:rPr>
          <w:lang w:val="en-US"/>
        </w:rPr>
        <w:t xml:space="preserve"> that the voltage stability of the system under renewable generation and conventional generation are identical and there is no instability introduced by using renewable sources.</w:t>
      </w:r>
      <w:r w:rsidR="00A74E10">
        <w:rPr>
          <w:lang w:val="en-US"/>
        </w:rPr>
        <w:t xml:space="preserve"> The lower the value of the IVD, the more stable the system is, and </w:t>
      </w:r>
      <w:r w:rsidR="000F0ABB">
        <w:rPr>
          <w:lang w:val="en-US"/>
        </w:rPr>
        <w:t xml:space="preserve">an </w:t>
      </w:r>
      <w:r w:rsidR="00A74E10">
        <w:rPr>
          <w:lang w:val="en-US"/>
        </w:rPr>
        <w:t>IVD of 10% or more is considered unstable. IVD is mostly computed for an entire system of buses, however, it can be computed for individual buses as well to localize problems on the grid.</w:t>
      </w:r>
    </w:p>
    <w:p w14:paraId="6630C071" w14:textId="3B2D3C92" w:rsidR="001B0818" w:rsidRDefault="001B0818" w:rsidP="00F03645">
      <w:pPr>
        <w:spacing w:line="480" w:lineRule="auto"/>
        <w:rPr>
          <w:lang w:val="en-US"/>
        </w:rPr>
      </w:pPr>
      <w:r>
        <w:rPr>
          <w:lang w:val="en-US"/>
        </w:rPr>
        <w:t xml:space="preserve">For </w:t>
      </w:r>
      <w:r w:rsidR="000F0ABB">
        <w:rPr>
          <w:lang w:val="en-US"/>
        </w:rPr>
        <w:t xml:space="preserve">the </w:t>
      </w:r>
      <w:r>
        <w:rPr>
          <w:lang w:val="en-US"/>
        </w:rPr>
        <w:t>computation of IVD, the voltage profile assuming that the generation is strictly from constant renewable s</w:t>
      </w:r>
      <w:r w:rsidR="00322F56">
        <w:rPr>
          <w:lang w:val="en-US"/>
        </w:rPr>
        <w:t>ources is computed, with rated</w:t>
      </w:r>
      <w:r>
        <w:rPr>
          <w:lang w:val="en-US"/>
        </w:rPr>
        <w:t xml:space="preserve"> and minimum levels being recorded as V</w:t>
      </w:r>
      <w:r>
        <w:rPr>
          <w:vertAlign w:val="superscript"/>
          <w:lang w:val="en-US"/>
        </w:rPr>
        <w:t>0</w:t>
      </w:r>
      <w:r>
        <w:rPr>
          <w:vertAlign w:val="subscript"/>
          <w:lang w:val="en-US"/>
        </w:rPr>
        <w:t xml:space="preserve">max </w:t>
      </w:r>
      <w:r>
        <w:rPr>
          <w:lang w:val="en-US"/>
        </w:rPr>
        <w:t xml:space="preserve">and </w:t>
      </w:r>
      <w:r w:rsidRPr="00D228E1">
        <w:rPr>
          <w:vertAlign w:val="superscript"/>
          <w:lang w:val="en-US"/>
        </w:rPr>
        <w:t>V</w:t>
      </w:r>
      <w:r>
        <w:rPr>
          <w:vertAlign w:val="superscript"/>
          <w:lang w:val="en-US"/>
        </w:rPr>
        <w:t>0</w:t>
      </w:r>
      <w:r>
        <w:rPr>
          <w:vertAlign w:val="subscript"/>
          <w:lang w:val="en-US"/>
        </w:rPr>
        <w:t>min</w:t>
      </w:r>
      <w:r>
        <w:rPr>
          <w:lang w:val="en-US"/>
        </w:rPr>
        <w:t>.</w:t>
      </w:r>
    </w:p>
    <w:p w14:paraId="7753A8A8" w14:textId="30C7A249" w:rsidR="001B0818" w:rsidRDefault="001B0818" w:rsidP="00F03645">
      <w:pPr>
        <w:spacing w:line="480" w:lineRule="auto"/>
        <w:rPr>
          <w:lang w:val="en-US"/>
        </w:rPr>
      </w:pPr>
      <w:r>
        <w:rPr>
          <w:lang w:val="en-US"/>
        </w:rPr>
        <w:t>Then, the voltage profile with the renewable components is computed similarly and recorded as V</w:t>
      </w:r>
      <w:r>
        <w:rPr>
          <w:vertAlign w:val="subscript"/>
          <w:lang w:val="en-US"/>
        </w:rPr>
        <w:t>max</w:t>
      </w:r>
      <w:r>
        <w:rPr>
          <w:lang w:val="en-US"/>
        </w:rPr>
        <w:t xml:space="preserve"> and V</w:t>
      </w:r>
      <w:r>
        <w:rPr>
          <w:vertAlign w:val="subscript"/>
          <w:lang w:val="en-US"/>
        </w:rPr>
        <w:t>min</w:t>
      </w:r>
      <w:r>
        <w:rPr>
          <w:lang w:val="en-US"/>
        </w:rPr>
        <w:t xml:space="preserve">. The IVD is </w:t>
      </w:r>
      <w:r w:rsidR="0043577C">
        <w:rPr>
          <w:lang w:val="en-US"/>
        </w:rPr>
        <w:t xml:space="preserve">using per unit voltages is </w:t>
      </w:r>
      <w:r>
        <w:rPr>
          <w:lang w:val="en-US"/>
        </w:rPr>
        <w:t>then computed</w:t>
      </w:r>
      <w:r w:rsidR="00F3161B">
        <w:rPr>
          <w:lang w:val="en-US"/>
        </w:rPr>
        <w:t xml:space="preserve"> according to the relative formulation</w:t>
      </w:r>
      <w:r w:rsidR="003E2379">
        <w:rPr>
          <w:lang w:val="en-US"/>
        </w:rPr>
        <w:t xml:space="preserve"> replacin</w:t>
      </w:r>
      <w:r w:rsidR="008E777D">
        <w:rPr>
          <w:lang w:val="en-US"/>
        </w:rPr>
        <w:t>g the numerator in equation 3.30</w:t>
      </w:r>
      <w:r w:rsidR="003E2379">
        <w:rPr>
          <w:lang w:val="en-US"/>
        </w:rPr>
        <w:t xml:space="preserve">  with</w:t>
      </w:r>
      <w:r>
        <w:rPr>
          <w:lang w:val="en-US"/>
        </w:rPr>
        <w:t>:</w:t>
      </w:r>
    </w:p>
    <w:p w14:paraId="5F7A2DAA" w14:textId="596EA069" w:rsidR="001B0818" w:rsidRPr="00D75485" w:rsidRDefault="001B0818" w:rsidP="00F03645">
      <w:pPr>
        <w:spacing w:line="480" w:lineRule="auto"/>
        <w:jc w:val="center"/>
        <w:rPr>
          <w:rFonts w:eastAsiaTheme="minorEastAsia"/>
          <w:lang w:val="en-US"/>
        </w:rPr>
      </w:pPr>
      <m:oMath>
        <m:r>
          <w:rPr>
            <w:rFonts w:ascii="Cambria Math" w:hAnsi="Cambria Math"/>
            <w:lang w:val="en-US"/>
          </w:rPr>
          <m:t>IVD=|</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max</m:t>
                </m:r>
              </m:sub>
              <m:sup>
                <m:r>
                  <w:rPr>
                    <w:rFonts w:ascii="Cambria Math" w:hAnsi="Cambria Math"/>
                    <w:lang w:val="en-US"/>
                  </w:rPr>
                  <m:t>o</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V</m:t>
                </m:r>
              </m:e>
              <m:sub>
                <m:r>
                  <m:rPr>
                    <m:sty m:val="p"/>
                  </m:rPr>
                  <w:rPr>
                    <w:rFonts w:ascii="Cambria Math" w:eastAsiaTheme="minorEastAsia" w:hAnsi="Cambria Math"/>
                    <w:lang w:val="en-US"/>
                  </w:rPr>
                  <m:t>min</m:t>
                </m:r>
              </m:sub>
              <m:sup>
                <m:r>
                  <w:rPr>
                    <w:rFonts w:ascii="Cambria Math" w:eastAsiaTheme="minorEastAsia" w:hAnsi="Cambria Math"/>
                    <w:lang w:val="en-US"/>
                  </w:rPr>
                  <m:t>o</m:t>
                </m:r>
              </m:sup>
            </m:sSubSup>
            <m:ctrlPr>
              <w:rPr>
                <w:rFonts w:ascii="Cambria Math" w:eastAsiaTheme="minorEastAsia" w:hAnsi="Cambria Math"/>
                <w:i/>
                <w:lang w:val="en-US"/>
              </w:rPr>
            </m:ctrlP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max</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m:rPr>
                <m:sty m:val="p"/>
              </m:rPr>
              <w:rPr>
                <w:rFonts w:ascii="Cambria Math" w:eastAsiaTheme="minorEastAsia" w:hAnsi="Cambria Math"/>
                <w:lang w:val="en-US"/>
              </w:rPr>
              <m:t>min⁡</m:t>
            </m:r>
          </m:sub>
        </m:sSub>
        <m:r>
          <w:rPr>
            <w:rFonts w:ascii="Cambria Math" w:eastAsiaTheme="minorEastAsia" w:hAnsi="Cambria Math"/>
            <w:lang w:val="en-US"/>
          </w:rPr>
          <m:t>)</m:t>
        </m:r>
      </m:oMath>
      <w:r w:rsidR="004E2E44">
        <w:rPr>
          <w:rFonts w:eastAsiaTheme="minorEastAsia"/>
          <w:lang w:val="en-US"/>
        </w:rPr>
        <w:t>|</w:t>
      </w:r>
      <w:r w:rsidR="008E777D">
        <w:rPr>
          <w:rFonts w:eastAsiaTheme="minorEastAsia"/>
          <w:lang w:val="en-US"/>
        </w:rPr>
        <w:t xml:space="preserve">    </w:t>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r>
      <w:r w:rsidR="008E777D">
        <w:rPr>
          <w:rFonts w:eastAsiaTheme="minorEastAsia"/>
          <w:lang w:val="en-US"/>
        </w:rPr>
        <w:tab/>
        <w:t xml:space="preserve">  (3.31</w:t>
      </w:r>
      <w:r>
        <w:rPr>
          <w:rFonts w:eastAsiaTheme="minorEastAsia"/>
          <w:lang w:val="en-US"/>
        </w:rPr>
        <w:t>)</w:t>
      </w:r>
    </w:p>
    <w:p w14:paraId="651BE069" w14:textId="1D3342A4" w:rsidR="001C0942" w:rsidRDefault="001B0818" w:rsidP="00F03645">
      <w:pPr>
        <w:spacing w:line="480" w:lineRule="auto"/>
        <w:rPr>
          <w:rFonts w:eastAsiaTheme="minorEastAsia"/>
          <w:lang w:val="en-US"/>
        </w:rPr>
      </w:pPr>
      <w:r>
        <w:rPr>
          <w:rFonts w:eastAsiaTheme="minorEastAsia"/>
          <w:lang w:val="en-US"/>
        </w:rPr>
        <w:t xml:space="preserve">Thus, the system </w:t>
      </w:r>
      <w:r w:rsidR="00F3161B">
        <w:rPr>
          <w:rFonts w:eastAsiaTheme="minorEastAsia"/>
          <w:lang w:val="en-US"/>
        </w:rPr>
        <w:t>had to be</w:t>
      </w:r>
      <w:r>
        <w:rPr>
          <w:rFonts w:eastAsiaTheme="minorEastAsia"/>
          <w:lang w:val="en-US"/>
        </w:rPr>
        <w:t xml:space="preserve"> modelled and simulated both with </w:t>
      </w:r>
      <w:r w:rsidR="001357C8">
        <w:rPr>
          <w:rFonts w:eastAsiaTheme="minorEastAsia"/>
          <w:lang w:val="en-US"/>
        </w:rPr>
        <w:t>diesel generation</w:t>
      </w:r>
      <w:r>
        <w:rPr>
          <w:rFonts w:eastAsiaTheme="minorEastAsia"/>
          <w:lang w:val="en-US"/>
        </w:rPr>
        <w:t xml:space="preserve"> and with its standalone renewable generators to compute the voltage profile stability. The voltage </w:t>
      </w:r>
      <w:r w:rsidR="001357C8">
        <w:rPr>
          <w:rFonts w:eastAsiaTheme="minorEastAsia"/>
          <w:lang w:val="en-US"/>
        </w:rPr>
        <w:t>deviation index</w:t>
      </w:r>
      <w:r>
        <w:rPr>
          <w:rFonts w:eastAsiaTheme="minorEastAsia"/>
          <w:lang w:val="en-US"/>
        </w:rPr>
        <w:t xml:space="preserve"> </w:t>
      </w:r>
      <w:r w:rsidR="00F3161B">
        <w:rPr>
          <w:rFonts w:eastAsiaTheme="minorEastAsia"/>
          <w:lang w:val="en-US"/>
        </w:rPr>
        <w:t>was</w:t>
      </w:r>
      <w:r>
        <w:rPr>
          <w:rFonts w:eastAsiaTheme="minorEastAsia"/>
          <w:lang w:val="en-US"/>
        </w:rPr>
        <w:t xml:space="preserve"> evaluated for each month of the year and critical months </w:t>
      </w:r>
      <w:r w:rsidR="00F3161B">
        <w:rPr>
          <w:rFonts w:eastAsiaTheme="minorEastAsia"/>
          <w:lang w:val="en-US"/>
        </w:rPr>
        <w:t>were</w:t>
      </w:r>
      <w:r>
        <w:rPr>
          <w:rFonts w:eastAsiaTheme="minorEastAsia"/>
          <w:lang w:val="en-US"/>
        </w:rPr>
        <w:t xml:space="preserve"> identified. This is because both load and energy resource availability vary during the year.</w:t>
      </w:r>
    </w:p>
    <w:p w14:paraId="60FCCEB0" w14:textId="3FB32246" w:rsidR="00A02EC0" w:rsidRPr="00A02EC0" w:rsidRDefault="00A02EC0" w:rsidP="00E85D75">
      <w:pPr>
        <w:pStyle w:val="Heading3"/>
        <w:numPr>
          <w:ilvl w:val="1"/>
          <w:numId w:val="7"/>
        </w:numPr>
        <w:spacing w:line="480" w:lineRule="auto"/>
      </w:pPr>
      <w:bookmarkStart w:id="56" w:name="_Toc110502594"/>
      <w:r>
        <w:t>QUASI-DYNAMIC SIMULATION OF THE MICROGRID</w:t>
      </w:r>
      <w:bookmarkEnd w:id="56"/>
    </w:p>
    <w:p w14:paraId="5C150CA6" w14:textId="032A5748" w:rsidR="00A02EC0" w:rsidRDefault="005830D3" w:rsidP="00A02EC0">
      <w:pPr>
        <w:spacing w:line="480" w:lineRule="auto"/>
        <w:rPr>
          <w:lang w:val="en-US"/>
        </w:rPr>
      </w:pPr>
      <w:r>
        <w:rPr>
          <w:lang w:val="en-US"/>
        </w:rPr>
        <w:t>Quasi-Dynamic simulation is a simulation paradigm in PowerFactory that solve</w:t>
      </w:r>
      <w:r w:rsidR="00645D30">
        <w:rPr>
          <w:lang w:val="en-US"/>
        </w:rPr>
        <w:t>s</w:t>
      </w:r>
      <w:r>
        <w:rPr>
          <w:lang w:val="en-US"/>
        </w:rPr>
        <w:t xml:space="preserve"> the load flow problem for a time series of data. This is good for inspecting the behavio</w:t>
      </w:r>
      <w:r w:rsidR="000F0ABB">
        <w:rPr>
          <w:lang w:val="en-US"/>
        </w:rPr>
        <w:t>u</w:t>
      </w:r>
      <w:r>
        <w:rPr>
          <w:lang w:val="en-US"/>
        </w:rPr>
        <w:t xml:space="preserve">r of the system over a </w:t>
      </w:r>
      <w:r w:rsidR="000F0ABB">
        <w:rPr>
          <w:lang w:val="en-US"/>
        </w:rPr>
        <w:t xml:space="preserve">long </w:t>
      </w:r>
      <w:r>
        <w:rPr>
          <w:lang w:val="en-US"/>
        </w:rPr>
        <w:t xml:space="preserve">time as done in this study. The traditional power flow assumes a set of static constraints and parameters and solves the power flow equation. However, quasi-dynamic simulation in PowerFactory solves the power flow equation for each timestep within a period. The period considered in this study was hypothetically January 1st to December 31st of the year 2021, which contained 8760 hours. A timestep size of one hour (3600 seconds) was used for the study to match the </w:t>
      </w:r>
      <w:r w:rsidR="00645D30">
        <w:rPr>
          <w:lang w:val="en-US"/>
        </w:rPr>
        <w:t xml:space="preserve">time </w:t>
      </w:r>
      <w:r>
        <w:rPr>
          <w:lang w:val="en-US"/>
        </w:rPr>
        <w:t xml:space="preserve">resolution of the data used in the </w:t>
      </w:r>
      <w:r w:rsidR="00645D30">
        <w:rPr>
          <w:lang w:val="en-US"/>
        </w:rPr>
        <w:t>uncertainty modelling.</w:t>
      </w:r>
      <w:r w:rsidR="000F0ABB">
        <w:rPr>
          <w:lang w:val="en-US"/>
        </w:rPr>
        <w:t xml:space="preserve"> </w:t>
      </w:r>
      <w:r w:rsidR="00A02EC0">
        <w:rPr>
          <w:lang w:val="en-US"/>
        </w:rPr>
        <w:t xml:space="preserve">Two scenarios were considered for the microgrid using CSP, PV, battery storage bank with </w:t>
      </w:r>
      <w:r w:rsidR="000F0ABB">
        <w:rPr>
          <w:lang w:val="en-US"/>
        </w:rPr>
        <w:t xml:space="preserve">an </w:t>
      </w:r>
      <w:r w:rsidR="00A02EC0">
        <w:rPr>
          <w:lang w:val="en-US"/>
        </w:rPr>
        <w:t xml:space="preserve">inverter, and the hydropower plant. </w:t>
      </w:r>
    </w:p>
    <w:p w14:paraId="5F619D26" w14:textId="00E2FA33" w:rsidR="00A02EC0" w:rsidRDefault="00A02EC0" w:rsidP="00A02EC0">
      <w:pPr>
        <w:spacing w:line="480" w:lineRule="auto"/>
        <w:rPr>
          <w:lang w:val="en-US"/>
        </w:rPr>
      </w:pPr>
      <w:r>
        <w:rPr>
          <w:lang w:val="en-US"/>
        </w:rPr>
        <w:t xml:space="preserve">In the first scenario, the generators were all connected to bus 1 which served as the power injection point (feeder) for the entire microgrid, with its localized droop control. In this kind of system, the sources are harmonized together and controlled as a composite power source for the grid. This way, although the microgrid is still connected in </w:t>
      </w:r>
      <w:r w:rsidR="000F0ABB">
        <w:rPr>
          <w:lang w:val="en-US"/>
        </w:rPr>
        <w:t xml:space="preserve">a </w:t>
      </w:r>
      <w:r>
        <w:rPr>
          <w:lang w:val="en-US"/>
        </w:rPr>
        <w:t>ring topology with respect to the loads, the power flow goes from one bus having all the sources, to the other buses. A system of this nature could be selected for the relative ease of control.</w:t>
      </w:r>
    </w:p>
    <w:p w14:paraId="3ED6A9C6" w14:textId="7B522148" w:rsidR="00A02EC0" w:rsidRDefault="00A02EC0" w:rsidP="00A02EC0">
      <w:pPr>
        <w:spacing w:line="480" w:lineRule="auto"/>
        <w:rPr>
          <w:lang w:val="en-US"/>
        </w:rPr>
      </w:pPr>
      <w:r>
        <w:rPr>
          <w:lang w:val="en-US"/>
        </w:rPr>
        <w:t xml:space="preserve">In the second scenario, the microgrid had the CSP generator connected at a different bus from the hydro and PV generation. The CSP is the single largest generator set among all the sources, so it was the best candidate for isolating and moving to another end of the grid. This way, with the ability of the power </w:t>
      </w:r>
      <w:r w:rsidR="000F0ABB">
        <w:rPr>
          <w:lang w:val="en-US"/>
        </w:rPr>
        <w:t>to be</w:t>
      </w:r>
      <w:r>
        <w:rPr>
          <w:lang w:val="en-US"/>
        </w:rPr>
        <w:t xml:space="preserve"> supplied from more than one bus as one of the major advantages of distributed generation, the performance of the microgrid in this configuration was also investigated. This kind of system would need more sophisticated frequency control than the first scenario. However, </w:t>
      </w:r>
      <w:r w:rsidR="000F0ABB">
        <w:rPr>
          <w:lang w:val="en-US"/>
        </w:rPr>
        <w:t>assuming that</w:t>
      </w:r>
      <w:r>
        <w:rPr>
          <w:lang w:val="en-US"/>
        </w:rPr>
        <w:t xml:space="preserve"> such control is achieved, its performance in simulation is also presented in subsequent sections.</w:t>
      </w:r>
    </w:p>
    <w:p w14:paraId="4C3BEB25" w14:textId="7E0206BE" w:rsidR="00A02EC0" w:rsidRDefault="00270E58" w:rsidP="00A02EC0">
      <w:pPr>
        <w:pStyle w:val="Heading3"/>
      </w:pPr>
      <w:bookmarkStart w:id="57" w:name="_Toc110502595"/>
      <w:r>
        <w:t>3.6</w:t>
      </w:r>
      <w:r w:rsidR="00A02EC0">
        <w:t>.1 Single-Power-Point Microgrid Scenario</w:t>
      </w:r>
      <w:bookmarkEnd w:id="57"/>
    </w:p>
    <w:p w14:paraId="31B8B898" w14:textId="51B73134" w:rsidR="00A02EC0" w:rsidRPr="002A18EF" w:rsidRDefault="00A02EC0" w:rsidP="00A02EC0">
      <w:pPr>
        <w:spacing w:line="480" w:lineRule="auto"/>
        <w:rPr>
          <w:lang w:val="en-US"/>
        </w:rPr>
      </w:pPr>
      <w:r>
        <w:rPr>
          <w:lang w:val="en-US"/>
        </w:rPr>
        <w:t>A 6-bus, 51-lumped loads (eventually model-reduced into 5 loads on bus aggregation basis for computational reasons), 4-transformer, 4-line distribution network was used in the study after investigation of the load and according to the results of the feasibility study in HOMER and visual inspection of the community. The nominal voltages in the system were 11KV and 415V three-phase for source and consumer characteristics respectively. The generators were modelled according to the architecture presented in Table 4.1 with a model reduction being performed on the network in order to reduce the computational complexity. There were three generating components (PV, CSP, and Hydro) as well as one BESS in the microgrid connected to a  bus (Bus 1) and run with droop control with the battery-and-inverter system acting as the slack bus for the load flows. The lines were all 500m long with Aluminum 400mm</w:t>
      </w:r>
      <w:r>
        <w:rPr>
          <w:vertAlign w:val="superscript"/>
          <w:lang w:val="en-US"/>
        </w:rPr>
        <w:t>2</w:t>
      </w:r>
      <w:r>
        <w:rPr>
          <w:lang w:val="en-US"/>
        </w:rPr>
        <w:t xml:space="preserve"> cable</w:t>
      </w:r>
      <w:r w:rsidR="000F0ABB">
        <w:rPr>
          <w:lang w:val="en-US"/>
        </w:rPr>
        <w:t>s</w:t>
      </w:r>
      <w:r>
        <w:rPr>
          <w:lang w:val="en-US"/>
        </w:rPr>
        <w:t xml:space="preserve">. The relatively-big size of the cable is </w:t>
      </w:r>
      <w:r w:rsidR="000F0ABB">
        <w:rPr>
          <w:lang w:val="en-US"/>
        </w:rPr>
        <w:t>because</w:t>
      </w:r>
      <w:r>
        <w:rPr>
          <w:lang w:val="en-US"/>
        </w:rPr>
        <w:t xml:space="preserve"> the entire system with a capacity of several megawatts has been constrained to distribution level voltages. However, considering that these are not extremely-long transmission lines, the costs are not exactly prohibitive in this case compared to the rest of the system. The use of cables of this size also reduced reactive losses in the system and enabled the study to focus on the impact of renewable uncertainty in the microgrid.</w:t>
      </w:r>
    </w:p>
    <w:p w14:paraId="53EE13C9" w14:textId="4D641417" w:rsidR="00A02EC0" w:rsidRDefault="00A02EC0" w:rsidP="00A02EC0">
      <w:pPr>
        <w:spacing w:line="480" w:lineRule="auto"/>
        <w:rPr>
          <w:lang w:val="en-US"/>
        </w:rPr>
      </w:pPr>
      <w:r>
        <w:rPr>
          <w:lang w:val="en-US"/>
        </w:rPr>
        <w:t>Using quasi-dynamic simulation, each hour of a full non-leap year (for which the 2021 calendar was used) was simulated, month by month, and the Index of Voltage Deviation (IVD) was computed with each time step as the average of the voltage deviations on each bus in percentage for</w:t>
      </w:r>
      <w:r w:rsidR="00A34F9A">
        <w:rPr>
          <w:lang w:val="en-US"/>
        </w:rPr>
        <w:t xml:space="preserve"> that unique time step. Figure 3.15</w:t>
      </w:r>
      <w:r>
        <w:rPr>
          <w:lang w:val="en-US"/>
        </w:rPr>
        <w:t xml:space="preserve"> shows a representation of the simplified grid for the first scenario in PowerFactory.</w:t>
      </w:r>
    </w:p>
    <w:p w14:paraId="2298574B" w14:textId="77777777" w:rsidR="00356713" w:rsidRPr="00004A40" w:rsidRDefault="00356713" w:rsidP="00356713">
      <w:pPr>
        <w:spacing w:line="480" w:lineRule="auto"/>
        <w:rPr>
          <w:lang w:val="en-US"/>
        </w:rPr>
      </w:pPr>
      <w:r w:rsidRPr="00F24591">
        <w:rPr>
          <w:noProof/>
          <w:lang w:val="en-US"/>
        </w:rPr>
        <mc:AlternateContent>
          <mc:Choice Requires="wps">
            <w:drawing>
              <wp:anchor distT="0" distB="0" distL="114300" distR="114300" simplePos="0" relativeHeight="251737088" behindDoc="0" locked="0" layoutInCell="1" allowOverlap="1" wp14:anchorId="0E4053A1" wp14:editId="54D507C7">
                <wp:simplePos x="0" y="0"/>
                <wp:positionH relativeFrom="column">
                  <wp:posOffset>1950720</wp:posOffset>
                </wp:positionH>
                <wp:positionV relativeFrom="paragraph">
                  <wp:posOffset>1370330</wp:posOffset>
                </wp:positionV>
                <wp:extent cx="472440" cy="236220"/>
                <wp:effectExtent l="0" t="0" r="22860" b="11430"/>
                <wp:wrapNone/>
                <wp:docPr id="69" name="Text Box 69"/>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458CAF44" w14:textId="77777777" w:rsidR="00FC41BC" w:rsidRPr="007F4E51" w:rsidRDefault="00FC41BC" w:rsidP="00356713">
                            <w:pPr>
                              <w:rPr>
                                <w:sz w:val="18"/>
                                <w:szCs w:val="18"/>
                                <w:lang w:val="en-US"/>
                              </w:rPr>
                            </w:pPr>
                            <w:r>
                              <w:rPr>
                                <w:sz w:val="18"/>
                                <w:szCs w:val="18"/>
                                <w:lang w:val="en-US"/>
                              </w:rPr>
                              <w:t>BESS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E4053A1" id="_x0000_t202" coordsize="21600,21600" o:spt="202" path="m,l,21600r21600,l21600,xe">
                <v:stroke joinstyle="miter"/>
                <v:path gradientshapeok="t" o:connecttype="rect"/>
              </v:shapetype>
              <v:shape id="Text Box 69" o:spid="_x0000_s1026" type="#_x0000_t202" style="position:absolute;left:0;text-align:left;margin-left:153.6pt;margin-top:107.9pt;width:37.2pt;height:1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" fillcolor="window" strokeweight=".5pt">
                <v:textbox>
                  <w:txbxContent>
                    <w:p w14:paraId="458CAF44" w14:textId="77777777" w:rsidR="00FC41BC" w:rsidRPr="007F4E51" w:rsidRDefault="00FC41BC" w:rsidP="00356713">
                      <w:pPr>
                        <w:rPr>
                          <w:sz w:val="18"/>
                          <w:szCs w:val="18"/>
                          <w:lang w:val="en-US"/>
                        </w:rPr>
                      </w:pPr>
                      <w:r>
                        <w:rPr>
                          <w:sz w:val="18"/>
                          <w:szCs w:val="18"/>
                          <w:lang w:val="en-US"/>
                        </w:rPr>
                        <w:t>BESS</w:t>
                      </w:r>
                    </w:p>
                  </w:txbxContent>
                </v:textbox>
              </v:shape>
            </w:pict>
          </mc:Fallback>
        </mc:AlternateContent>
      </w:r>
      <w:r w:rsidRPr="00F24591">
        <w:rPr>
          <w:noProof/>
          <w:lang w:val="en-US"/>
        </w:rPr>
        <mc:AlternateContent>
          <mc:Choice Requires="wps">
            <w:drawing>
              <wp:anchor distT="0" distB="0" distL="114300" distR="114300" simplePos="0" relativeHeight="251734016" behindDoc="0" locked="0" layoutInCell="1" allowOverlap="1" wp14:anchorId="0B98314B" wp14:editId="68A7AF1C">
                <wp:simplePos x="0" y="0"/>
                <wp:positionH relativeFrom="column">
                  <wp:posOffset>1097280</wp:posOffset>
                </wp:positionH>
                <wp:positionV relativeFrom="paragraph">
                  <wp:posOffset>143510</wp:posOffset>
                </wp:positionV>
                <wp:extent cx="472440" cy="236220"/>
                <wp:effectExtent l="0" t="0" r="22860" b="11430"/>
                <wp:wrapNone/>
                <wp:docPr id="66" name="Text Box 66"/>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412C9659" w14:textId="77777777" w:rsidR="00FC41BC" w:rsidRPr="007F4E51" w:rsidRDefault="00FC41BC" w:rsidP="00356713">
                            <w:pPr>
                              <w:rPr>
                                <w:sz w:val="18"/>
                                <w:szCs w:val="18"/>
                                <w:lang w:val="en-US"/>
                              </w:rPr>
                            </w:pPr>
                            <w:r>
                              <w:rPr>
                                <w:sz w:val="18"/>
                                <w:szCs w:val="18"/>
                                <w:lang w:val="en-US"/>
                              </w:rPr>
                              <w:t>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B98314B" id="Text Box 66" o:spid="_x0000_s1027" type="#_x0000_t202" style="position:absolute;left:0;text-align:left;margin-left:86.4pt;margin-top:11.3pt;width:37.2pt;height:18.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" fillcolor="window" strokeweight=".5pt">
                <v:textbox>
                  <w:txbxContent>
                    <w:p w14:paraId="412C9659" w14:textId="77777777" w:rsidR="00FC41BC" w:rsidRPr="007F4E51" w:rsidRDefault="00FC41BC" w:rsidP="00356713">
                      <w:pPr>
                        <w:rPr>
                          <w:sz w:val="18"/>
                          <w:szCs w:val="18"/>
                          <w:lang w:val="en-US"/>
                        </w:rPr>
                      </w:pPr>
                      <w:r>
                        <w:rPr>
                          <w:sz w:val="18"/>
                          <w:szCs w:val="18"/>
                          <w:lang w:val="en-US"/>
                        </w:rPr>
                        <w:t>PV</w:t>
                      </w:r>
                    </w:p>
                  </w:txbxContent>
                </v:textbox>
              </v:shape>
            </w:pict>
          </mc:Fallback>
        </mc:AlternateContent>
      </w:r>
      <w:r w:rsidRPr="00F24591">
        <w:rPr>
          <w:noProof/>
          <w:lang w:val="en-US"/>
        </w:rPr>
        <mc:AlternateContent>
          <mc:Choice Requires="wps">
            <w:drawing>
              <wp:anchor distT="0" distB="0" distL="114300" distR="114300" simplePos="0" relativeHeight="251735040" behindDoc="0" locked="0" layoutInCell="1" allowOverlap="1" wp14:anchorId="03F5AD1A" wp14:editId="02FE6F74">
                <wp:simplePos x="0" y="0"/>
                <wp:positionH relativeFrom="page">
                  <wp:align>center</wp:align>
                </wp:positionH>
                <wp:positionV relativeFrom="paragraph">
                  <wp:posOffset>173990</wp:posOffset>
                </wp:positionV>
                <wp:extent cx="472440" cy="236220"/>
                <wp:effectExtent l="0" t="0" r="22860" b="11430"/>
                <wp:wrapNone/>
                <wp:docPr id="67" name="Text Box 67"/>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6690BB95" w14:textId="77777777" w:rsidR="00FC41BC" w:rsidRPr="007F4E51" w:rsidRDefault="00FC41BC" w:rsidP="00356713">
                            <w:pPr>
                              <w:rPr>
                                <w:sz w:val="18"/>
                                <w:szCs w:val="18"/>
                                <w:lang w:val="en-US"/>
                              </w:rPr>
                            </w:pPr>
                            <w:r>
                              <w:rPr>
                                <w:sz w:val="18"/>
                                <w:szCs w:val="18"/>
                                <w:lang w:val="en-US"/>
                              </w:rPr>
                              <w:t>CSP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F5AD1A" id="Text Box 67" o:spid="_x0000_s1028" type="#_x0000_t202" style="position:absolute;left:0;text-align:left;margin-left:0;margin-top:13.7pt;width:37.2pt;height:18.6pt;z-index:251735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" fillcolor="window" strokeweight=".5pt">
                <v:textbox>
                  <w:txbxContent>
                    <w:p w14:paraId="6690BB95" w14:textId="77777777" w:rsidR="00FC41BC" w:rsidRPr="007F4E51" w:rsidRDefault="00FC41BC" w:rsidP="00356713">
                      <w:pPr>
                        <w:rPr>
                          <w:sz w:val="18"/>
                          <w:szCs w:val="18"/>
                          <w:lang w:val="en-US"/>
                        </w:rPr>
                      </w:pPr>
                      <w:r>
                        <w:rPr>
                          <w:sz w:val="18"/>
                          <w:szCs w:val="18"/>
                          <w:lang w:val="en-US"/>
                        </w:rPr>
                        <w:t>CSP</w:t>
                      </w:r>
                    </w:p>
                  </w:txbxContent>
                </v:textbox>
                <w10:wrap anchorx="page"/>
              </v:shape>
            </w:pict>
          </mc:Fallback>
        </mc:AlternateContent>
      </w:r>
      <w:r w:rsidRPr="00F24591">
        <w:rPr>
          <w:noProof/>
          <w:lang w:val="en-US"/>
        </w:rPr>
        <mc:AlternateContent>
          <mc:Choice Requires="wps">
            <w:drawing>
              <wp:anchor distT="0" distB="0" distL="114300" distR="114300" simplePos="0" relativeHeight="251736064" behindDoc="0" locked="0" layoutInCell="1" allowOverlap="1" wp14:anchorId="760660AC" wp14:editId="6DB794C7">
                <wp:simplePos x="0" y="0"/>
                <wp:positionH relativeFrom="column">
                  <wp:posOffset>3558540</wp:posOffset>
                </wp:positionH>
                <wp:positionV relativeFrom="paragraph">
                  <wp:posOffset>181610</wp:posOffset>
                </wp:positionV>
                <wp:extent cx="495300" cy="251460"/>
                <wp:effectExtent l="0" t="0" r="19050" b="15240"/>
                <wp:wrapNone/>
                <wp:docPr id="68" name="Text Box 68"/>
                <wp:cNvGraphicFramePr/>
                <a:graphic xmlns:a="http://schemas.openxmlformats.org/drawingml/2006/main">
                  <a:graphicData uri="http://schemas.microsoft.com/office/word/2010/wordprocessingShape">
                    <wps:wsp>
                      <wps:cNvSpPr txBox="1"/>
                      <wps:spPr>
                        <a:xfrm>
                          <a:off x="0" y="0"/>
                          <a:ext cx="495300" cy="251460"/>
                        </a:xfrm>
                        <a:prstGeom prst="rect">
                          <a:avLst/>
                        </a:prstGeom>
                        <a:solidFill>
                          <a:sysClr val="window" lastClr="FFFFFF"/>
                        </a:solidFill>
                        <a:ln w="6350">
                          <a:solidFill>
                            <a:prstClr val="black"/>
                          </a:solidFill>
                        </a:ln>
                      </wps:spPr>
                      <wps:txbx>
                        <w:txbxContent>
                          <w:p w14:paraId="59792881" w14:textId="77777777" w:rsidR="00FC41BC" w:rsidRPr="007F4E51" w:rsidRDefault="00FC41BC" w:rsidP="00356713">
                            <w:pPr>
                              <w:rPr>
                                <w:sz w:val="18"/>
                                <w:szCs w:val="18"/>
                                <w:lang w:val="en-US"/>
                              </w:rPr>
                            </w:pPr>
                            <w:r>
                              <w:rPr>
                                <w:sz w:val="18"/>
                                <w:szCs w:val="18"/>
                                <w:lang w:val="en-US"/>
                              </w:rPr>
                              <w:t>Hydro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0660AC" id="Text Box 68" o:spid="_x0000_s1029" type="#_x0000_t202" style="position:absolute;left:0;text-align:left;margin-left:280.2pt;margin-top:14.3pt;width:39pt;height:1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" fillcolor="window" strokeweight=".5pt">
                <v:textbox>
                  <w:txbxContent>
                    <w:p w14:paraId="59792881" w14:textId="77777777" w:rsidR="00FC41BC" w:rsidRPr="007F4E51" w:rsidRDefault="00FC41BC" w:rsidP="00356713">
                      <w:pPr>
                        <w:rPr>
                          <w:sz w:val="18"/>
                          <w:szCs w:val="18"/>
                          <w:lang w:val="en-US"/>
                        </w:rPr>
                      </w:pPr>
                      <w:r>
                        <w:rPr>
                          <w:sz w:val="18"/>
                          <w:szCs w:val="18"/>
                          <w:lang w:val="en-US"/>
                        </w:rPr>
                        <w:t>Hydro</w:t>
                      </w:r>
                    </w:p>
                  </w:txbxContent>
                </v:textbox>
              </v:shape>
            </w:pict>
          </mc:Fallback>
        </mc:AlternateContent>
      </w:r>
      <w:r>
        <w:rPr>
          <w:noProof/>
          <w:lang w:val="en-US"/>
        </w:rPr>
        <mc:AlternateContent>
          <mc:Choice Requires="wps">
            <w:drawing>
              <wp:anchor distT="0" distB="0" distL="114300" distR="114300" simplePos="0" relativeHeight="251732992" behindDoc="0" locked="0" layoutInCell="1" allowOverlap="1" wp14:anchorId="36D39599" wp14:editId="6E1ED96F">
                <wp:simplePos x="0" y="0"/>
                <wp:positionH relativeFrom="column">
                  <wp:posOffset>1165860</wp:posOffset>
                </wp:positionH>
                <wp:positionV relativeFrom="paragraph">
                  <wp:posOffset>1263650</wp:posOffset>
                </wp:positionV>
                <wp:extent cx="365760" cy="205740"/>
                <wp:effectExtent l="0" t="0" r="15240" b="22860"/>
                <wp:wrapNone/>
                <wp:docPr id="65" name="Text Box 65"/>
                <wp:cNvGraphicFramePr/>
                <a:graphic xmlns:a="http://schemas.openxmlformats.org/drawingml/2006/main">
                  <a:graphicData uri="http://schemas.microsoft.com/office/word/2010/wordprocessingShape">
                    <wps:wsp>
                      <wps:cNvSpPr txBox="1"/>
                      <wps:spPr>
                        <a:xfrm>
                          <a:off x="0" y="0"/>
                          <a:ext cx="365760" cy="205740"/>
                        </a:xfrm>
                        <a:prstGeom prst="rect">
                          <a:avLst/>
                        </a:prstGeom>
                        <a:solidFill>
                          <a:schemeClr val="lt1"/>
                        </a:solidFill>
                        <a:ln w="6350">
                          <a:solidFill>
                            <a:prstClr val="black"/>
                          </a:solidFill>
                        </a:ln>
                      </wps:spPr>
                      <wps:txbx>
                        <w:txbxContent>
                          <w:p w14:paraId="1813D3DA" w14:textId="77777777" w:rsidR="00FC41BC" w:rsidRPr="007F4E51" w:rsidRDefault="00FC41BC" w:rsidP="00356713">
                            <w:pPr>
                              <w:rPr>
                                <w:sz w:val="18"/>
                                <w:szCs w:val="18"/>
                                <w:lang w:val="en-US"/>
                              </w:rPr>
                            </w:pPr>
                            <w:r>
                              <w:rPr>
                                <w:sz w:val="18"/>
                                <w:szCs w:val="18"/>
                                <w:lang w:val="en-US"/>
                              </w:rPr>
                              <w:t>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D39599" id="Text Box 65" o:spid="_x0000_s1030" type="#_x0000_t202" style="position:absolute;left:0;text-align:left;margin-left:91.8pt;margin-top:99.5pt;width:28.8pt;height:1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" fillcolor="white [3201]" strokeweight=".5pt">
                <v:textbox>
                  <w:txbxContent>
                    <w:p w14:paraId="1813D3DA" w14:textId="77777777" w:rsidR="00FC41BC" w:rsidRPr="007F4E51" w:rsidRDefault="00FC41BC" w:rsidP="00356713">
                      <w:pPr>
                        <w:rPr>
                          <w:sz w:val="18"/>
                          <w:szCs w:val="18"/>
                          <w:lang w:val="en-US"/>
                        </w:rPr>
                      </w:pPr>
                      <w:r>
                        <w:rPr>
                          <w:sz w:val="18"/>
                          <w:szCs w:val="18"/>
                          <w:lang w:val="en-US"/>
                        </w:rPr>
                        <w:t>T1</w:t>
                      </w:r>
                    </w:p>
                  </w:txbxContent>
                </v:textbox>
              </v:shape>
            </w:pict>
          </mc:Fallback>
        </mc:AlternateContent>
      </w:r>
      <w:r>
        <w:rPr>
          <w:noProof/>
          <w:lang w:val="en-US"/>
        </w:rPr>
        <mc:AlternateContent>
          <mc:Choice Requires="wps">
            <w:drawing>
              <wp:anchor distT="0" distB="0" distL="114300" distR="114300" simplePos="0" relativeHeight="251731968" behindDoc="0" locked="0" layoutInCell="1" allowOverlap="1" wp14:anchorId="308862C6" wp14:editId="7B420BAF">
                <wp:simplePos x="0" y="0"/>
                <wp:positionH relativeFrom="column">
                  <wp:posOffset>4671060</wp:posOffset>
                </wp:positionH>
                <wp:positionV relativeFrom="paragraph">
                  <wp:posOffset>1263650</wp:posOffset>
                </wp:positionV>
                <wp:extent cx="365760" cy="205740"/>
                <wp:effectExtent l="0" t="0" r="15240" b="22860"/>
                <wp:wrapNone/>
                <wp:docPr id="64" name="Text Box 64"/>
                <wp:cNvGraphicFramePr/>
                <a:graphic xmlns:a="http://schemas.openxmlformats.org/drawingml/2006/main">
                  <a:graphicData uri="http://schemas.microsoft.com/office/word/2010/wordprocessingShape">
                    <wps:wsp>
                      <wps:cNvSpPr txBox="1"/>
                      <wps:spPr>
                        <a:xfrm>
                          <a:off x="0" y="0"/>
                          <a:ext cx="365760" cy="205740"/>
                        </a:xfrm>
                        <a:prstGeom prst="rect">
                          <a:avLst/>
                        </a:prstGeom>
                        <a:solidFill>
                          <a:schemeClr val="lt1"/>
                        </a:solidFill>
                        <a:ln w="6350">
                          <a:solidFill>
                            <a:prstClr val="black"/>
                          </a:solidFill>
                        </a:ln>
                      </wps:spPr>
                      <wps:txbx>
                        <w:txbxContent>
                          <w:p w14:paraId="4BB316C1" w14:textId="77777777" w:rsidR="00FC41BC" w:rsidRPr="007F4E51" w:rsidRDefault="00FC41BC" w:rsidP="00356713">
                            <w:pPr>
                              <w:rPr>
                                <w:sz w:val="18"/>
                                <w:szCs w:val="18"/>
                                <w:lang w:val="en-US"/>
                              </w:rPr>
                            </w:pPr>
                            <w:r>
                              <w:rPr>
                                <w:sz w:val="18"/>
                                <w:szCs w:val="18"/>
                                <w:lang w:val="en-US"/>
                              </w:rPr>
                              <w:t>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8862C6" id="Text Box 64" o:spid="_x0000_s1031" type="#_x0000_t202" style="position:absolute;left:0;text-align:left;margin-left:367.8pt;margin-top:99.5pt;width:28.8pt;height:1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" fillcolor="white [3201]" strokeweight=".5pt">
                <v:textbox>
                  <w:txbxContent>
                    <w:p w14:paraId="4BB316C1" w14:textId="77777777" w:rsidR="00FC41BC" w:rsidRPr="007F4E51" w:rsidRDefault="00FC41BC" w:rsidP="00356713">
                      <w:pPr>
                        <w:rPr>
                          <w:sz w:val="18"/>
                          <w:szCs w:val="18"/>
                          <w:lang w:val="en-US"/>
                        </w:rPr>
                      </w:pPr>
                      <w:r>
                        <w:rPr>
                          <w:sz w:val="18"/>
                          <w:szCs w:val="18"/>
                          <w:lang w:val="en-US"/>
                        </w:rPr>
                        <w:t>T4</w:t>
                      </w:r>
                    </w:p>
                  </w:txbxContent>
                </v:textbox>
              </v:shape>
            </w:pict>
          </mc:Fallback>
        </mc:AlternateContent>
      </w:r>
      <w:r>
        <w:rPr>
          <w:noProof/>
          <w:lang w:val="en-US"/>
        </w:rPr>
        <mc:AlternateContent>
          <mc:Choice Requires="wps">
            <w:drawing>
              <wp:anchor distT="0" distB="0" distL="114300" distR="114300" simplePos="0" relativeHeight="251730944" behindDoc="0" locked="0" layoutInCell="1" allowOverlap="1" wp14:anchorId="2FC73CE6" wp14:editId="09781501">
                <wp:simplePos x="0" y="0"/>
                <wp:positionH relativeFrom="column">
                  <wp:posOffset>3215640</wp:posOffset>
                </wp:positionH>
                <wp:positionV relativeFrom="paragraph">
                  <wp:posOffset>1210310</wp:posOffset>
                </wp:positionV>
                <wp:extent cx="365760" cy="205740"/>
                <wp:effectExtent l="0" t="0" r="15240" b="22860"/>
                <wp:wrapNone/>
                <wp:docPr id="63" name="Text Box 63"/>
                <wp:cNvGraphicFramePr/>
                <a:graphic xmlns:a="http://schemas.openxmlformats.org/drawingml/2006/main">
                  <a:graphicData uri="http://schemas.microsoft.com/office/word/2010/wordprocessingShape">
                    <wps:wsp>
                      <wps:cNvSpPr txBox="1"/>
                      <wps:spPr>
                        <a:xfrm>
                          <a:off x="0" y="0"/>
                          <a:ext cx="365760" cy="205740"/>
                        </a:xfrm>
                        <a:prstGeom prst="rect">
                          <a:avLst/>
                        </a:prstGeom>
                        <a:solidFill>
                          <a:schemeClr val="lt1"/>
                        </a:solidFill>
                        <a:ln w="6350">
                          <a:solidFill>
                            <a:prstClr val="black"/>
                          </a:solidFill>
                        </a:ln>
                      </wps:spPr>
                      <wps:txbx>
                        <w:txbxContent>
                          <w:p w14:paraId="307CCBAC" w14:textId="77777777" w:rsidR="00FC41BC" w:rsidRPr="007F4E51" w:rsidRDefault="00FC41BC" w:rsidP="00356713">
                            <w:pPr>
                              <w:rPr>
                                <w:sz w:val="18"/>
                                <w:szCs w:val="18"/>
                                <w:lang w:val="en-US"/>
                              </w:rPr>
                            </w:pPr>
                            <w:r>
                              <w:rPr>
                                <w:sz w:val="18"/>
                                <w:szCs w:val="18"/>
                                <w:lang w:val="en-US"/>
                              </w:rPr>
                              <w:t>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C73CE6" id="Text Box 63" o:spid="_x0000_s1032" type="#_x0000_t202" style="position:absolute;left:0;text-align:left;margin-left:253.2pt;margin-top:95.3pt;width:28.8pt;height:1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" fillcolor="white [3201]" strokeweight=".5pt">
                <v:textbox>
                  <w:txbxContent>
                    <w:p w14:paraId="307CCBAC" w14:textId="77777777" w:rsidR="00FC41BC" w:rsidRPr="007F4E51" w:rsidRDefault="00FC41BC" w:rsidP="00356713">
                      <w:pPr>
                        <w:rPr>
                          <w:sz w:val="18"/>
                          <w:szCs w:val="18"/>
                          <w:lang w:val="en-US"/>
                        </w:rPr>
                      </w:pPr>
                      <w:r>
                        <w:rPr>
                          <w:sz w:val="18"/>
                          <w:szCs w:val="18"/>
                          <w:lang w:val="en-US"/>
                        </w:rPr>
                        <w:t>T3</w:t>
                      </w:r>
                    </w:p>
                  </w:txbxContent>
                </v:textbox>
              </v:shape>
            </w:pict>
          </mc:Fallback>
        </mc:AlternateContent>
      </w:r>
      <w:r>
        <w:rPr>
          <w:noProof/>
          <w:lang w:val="en-US"/>
        </w:rPr>
        <mc:AlternateContent>
          <mc:Choice Requires="wps">
            <w:drawing>
              <wp:anchor distT="0" distB="0" distL="114300" distR="114300" simplePos="0" relativeHeight="251729920" behindDoc="0" locked="0" layoutInCell="1" allowOverlap="1" wp14:anchorId="5ECA8BD9" wp14:editId="1B63DE6C">
                <wp:simplePos x="0" y="0"/>
                <wp:positionH relativeFrom="column">
                  <wp:posOffset>1798320</wp:posOffset>
                </wp:positionH>
                <wp:positionV relativeFrom="paragraph">
                  <wp:posOffset>1888490</wp:posOffset>
                </wp:positionV>
                <wp:extent cx="365760" cy="205740"/>
                <wp:effectExtent l="0" t="0" r="15240" b="22860"/>
                <wp:wrapNone/>
                <wp:docPr id="62" name="Text Box 62"/>
                <wp:cNvGraphicFramePr/>
                <a:graphic xmlns:a="http://schemas.openxmlformats.org/drawingml/2006/main">
                  <a:graphicData uri="http://schemas.microsoft.com/office/word/2010/wordprocessingShape">
                    <wps:wsp>
                      <wps:cNvSpPr txBox="1"/>
                      <wps:spPr>
                        <a:xfrm>
                          <a:off x="0" y="0"/>
                          <a:ext cx="365760" cy="205740"/>
                        </a:xfrm>
                        <a:prstGeom prst="rect">
                          <a:avLst/>
                        </a:prstGeom>
                        <a:solidFill>
                          <a:schemeClr val="lt1"/>
                        </a:solidFill>
                        <a:ln w="6350">
                          <a:solidFill>
                            <a:prstClr val="black"/>
                          </a:solidFill>
                        </a:ln>
                      </wps:spPr>
                      <wps:txbx>
                        <w:txbxContent>
                          <w:p w14:paraId="3E9E4BFE" w14:textId="77777777" w:rsidR="00FC41BC" w:rsidRPr="007F4E51" w:rsidRDefault="00FC41BC" w:rsidP="00356713">
                            <w:pPr>
                              <w:rPr>
                                <w:sz w:val="18"/>
                                <w:szCs w:val="18"/>
                                <w:lang w:val="en-US"/>
                              </w:rPr>
                            </w:pPr>
                            <w:r>
                              <w:rPr>
                                <w:sz w:val="18"/>
                                <w:szCs w:val="18"/>
                                <w:lang w:val="en-US"/>
                              </w:rPr>
                              <w:t>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CA8BD9" id="Text Box 62" o:spid="_x0000_s1033" type="#_x0000_t202" style="position:absolute;left:0;text-align:left;margin-left:141.6pt;margin-top:148.7pt;width:28.8pt;height:1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" fillcolor="white [3201]" strokeweight=".5pt">
                <v:textbox>
                  <w:txbxContent>
                    <w:p w14:paraId="3E9E4BFE" w14:textId="77777777" w:rsidR="00FC41BC" w:rsidRPr="007F4E51" w:rsidRDefault="00FC41BC" w:rsidP="00356713">
                      <w:pPr>
                        <w:rPr>
                          <w:sz w:val="18"/>
                          <w:szCs w:val="18"/>
                          <w:lang w:val="en-US"/>
                        </w:rPr>
                      </w:pPr>
                      <w:r>
                        <w:rPr>
                          <w:sz w:val="18"/>
                          <w:szCs w:val="18"/>
                          <w:lang w:val="en-US"/>
                        </w:rPr>
                        <w:t>T2</w:t>
                      </w:r>
                    </w:p>
                  </w:txbxContent>
                </v:textbox>
              </v:shape>
            </w:pict>
          </mc:Fallback>
        </mc:AlternateContent>
      </w:r>
      <w:r>
        <w:rPr>
          <w:noProof/>
          <w:lang w:val="en-US"/>
        </w:rPr>
        <mc:AlternateContent>
          <mc:Choice Requires="wps">
            <w:drawing>
              <wp:anchor distT="0" distB="0" distL="114300" distR="114300" simplePos="0" relativeHeight="251728896" behindDoc="0" locked="0" layoutInCell="1" allowOverlap="1" wp14:anchorId="61589FDC" wp14:editId="1FF9B7D4">
                <wp:simplePos x="0" y="0"/>
                <wp:positionH relativeFrom="margin">
                  <wp:posOffset>4343400</wp:posOffset>
                </wp:positionH>
                <wp:positionV relativeFrom="paragraph">
                  <wp:posOffset>2117090</wp:posOffset>
                </wp:positionV>
                <wp:extent cx="502920" cy="220980"/>
                <wp:effectExtent l="0" t="0" r="11430" b="26670"/>
                <wp:wrapNone/>
                <wp:docPr id="60" name="Text Box 60"/>
                <wp:cNvGraphicFramePr/>
                <a:graphic xmlns:a="http://schemas.openxmlformats.org/drawingml/2006/main">
                  <a:graphicData uri="http://schemas.microsoft.com/office/word/2010/wordprocessingShape">
                    <wps:wsp>
                      <wps:cNvSpPr txBox="1"/>
                      <wps:spPr>
                        <a:xfrm>
                          <a:off x="0" y="0"/>
                          <a:ext cx="502920" cy="220980"/>
                        </a:xfrm>
                        <a:prstGeom prst="rect">
                          <a:avLst/>
                        </a:prstGeom>
                        <a:solidFill>
                          <a:sysClr val="window" lastClr="FFFFFF"/>
                        </a:solidFill>
                        <a:ln w="6350">
                          <a:solidFill>
                            <a:prstClr val="black"/>
                          </a:solidFill>
                        </a:ln>
                      </wps:spPr>
                      <wps:txbx>
                        <w:txbxContent>
                          <w:p w14:paraId="59D62630" w14:textId="77777777" w:rsidR="00FC41BC" w:rsidRPr="00F724C9" w:rsidRDefault="00FC41BC" w:rsidP="00356713">
                            <w:pPr>
                              <w:rPr>
                                <w:lang w:val="en-US"/>
                              </w:rPr>
                            </w:pPr>
                            <w:r>
                              <w:rPr>
                                <w:sz w:val="18"/>
                                <w:szCs w:val="18"/>
                                <w:lang w:val="en-US"/>
                              </w:rPr>
                              <w:t>Line 4</w:t>
                            </w:r>
                            <w:r w:rsidRPr="007F4E51">
                              <w:rPr>
                                <w:noProof/>
                                <w:lang w:val="en-US"/>
                              </w:rPr>
                              <w:drawing>
                                <wp:inline distT="0" distB="0" distL="0" distR="0" wp14:anchorId="0783F441" wp14:editId="6C3E1BE8">
                                  <wp:extent cx="450850" cy="17931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850" cy="179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589FDC" id="Text Box 60" o:spid="_x0000_s1034" type="#_x0000_t202" style="position:absolute;left:0;text-align:left;margin-left:342pt;margin-top:166.7pt;width:39.6pt;height:17.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" fillcolor="window" strokeweight=".5pt">
                <v:textbox>
                  <w:txbxContent>
                    <w:p w14:paraId="59D62630" w14:textId="77777777" w:rsidR="00FC41BC" w:rsidRPr="00F724C9" w:rsidRDefault="00FC41BC" w:rsidP="00356713">
                      <w:pPr>
                        <w:rPr>
                          <w:lang w:val="en-US"/>
                        </w:rPr>
                      </w:pPr>
                      <w:r>
                        <w:rPr>
                          <w:sz w:val="18"/>
                          <w:szCs w:val="18"/>
                          <w:lang w:val="en-US"/>
                        </w:rPr>
                        <w:t>Line 4</w:t>
                      </w:r>
                      <w:r w:rsidRPr="007F4E51">
                        <w:rPr>
                          <w:noProof/>
                          <w:lang w:val="en-US"/>
                        </w:rPr>
                        <w:drawing>
                          <wp:inline distT="0" distB="0" distL="0" distR="0" wp14:anchorId="0783F441" wp14:editId="6C3E1BE8">
                            <wp:extent cx="450850" cy="17931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50" cy="17931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727872" behindDoc="0" locked="0" layoutInCell="1" allowOverlap="1" wp14:anchorId="4A0E11FD" wp14:editId="18D4E5D0">
                <wp:simplePos x="0" y="0"/>
                <wp:positionH relativeFrom="margin">
                  <wp:posOffset>2819400</wp:posOffset>
                </wp:positionH>
                <wp:positionV relativeFrom="paragraph">
                  <wp:posOffset>2802890</wp:posOffset>
                </wp:positionV>
                <wp:extent cx="502920" cy="220980"/>
                <wp:effectExtent l="0" t="0" r="11430" b="26670"/>
                <wp:wrapNone/>
                <wp:docPr id="58" name="Text Box 58"/>
                <wp:cNvGraphicFramePr/>
                <a:graphic xmlns:a="http://schemas.openxmlformats.org/drawingml/2006/main">
                  <a:graphicData uri="http://schemas.microsoft.com/office/word/2010/wordprocessingShape">
                    <wps:wsp>
                      <wps:cNvSpPr txBox="1"/>
                      <wps:spPr>
                        <a:xfrm>
                          <a:off x="0" y="0"/>
                          <a:ext cx="502920" cy="220980"/>
                        </a:xfrm>
                        <a:prstGeom prst="rect">
                          <a:avLst/>
                        </a:prstGeom>
                        <a:solidFill>
                          <a:sysClr val="window" lastClr="FFFFFF"/>
                        </a:solidFill>
                        <a:ln w="6350">
                          <a:solidFill>
                            <a:prstClr val="black"/>
                          </a:solidFill>
                        </a:ln>
                      </wps:spPr>
                      <wps:txbx>
                        <w:txbxContent>
                          <w:p w14:paraId="25C17943" w14:textId="77777777" w:rsidR="00FC41BC" w:rsidRPr="00F724C9" w:rsidRDefault="00FC41BC" w:rsidP="00356713">
                            <w:pPr>
                              <w:rPr>
                                <w:lang w:val="en-US"/>
                              </w:rPr>
                            </w:pPr>
                            <w:r>
                              <w:rPr>
                                <w:sz w:val="18"/>
                                <w:szCs w:val="18"/>
                                <w:lang w:val="en-US"/>
                              </w:rPr>
                              <w:t>Line 3</w:t>
                            </w:r>
                            <w:r w:rsidRPr="007F4E51">
                              <w:rPr>
                                <w:noProof/>
                                <w:lang w:val="en-US"/>
                              </w:rPr>
                              <w:drawing>
                                <wp:inline distT="0" distB="0" distL="0" distR="0" wp14:anchorId="0A55BB10" wp14:editId="15F5FF60">
                                  <wp:extent cx="450850" cy="17931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50" cy="179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0E11FD" id="Text Box 58" o:spid="_x0000_s1035" type="#_x0000_t202" style="position:absolute;left:0;text-align:left;margin-left:222pt;margin-top:220.7pt;width:39.6pt;height:1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" fillcolor="window" strokeweight=".5pt">
                <v:textbox>
                  <w:txbxContent>
                    <w:p w14:paraId="25C17943" w14:textId="77777777" w:rsidR="00FC41BC" w:rsidRPr="00F724C9" w:rsidRDefault="00FC41BC" w:rsidP="00356713">
                      <w:pPr>
                        <w:rPr>
                          <w:lang w:val="en-US"/>
                        </w:rPr>
                      </w:pPr>
                      <w:r>
                        <w:rPr>
                          <w:sz w:val="18"/>
                          <w:szCs w:val="18"/>
                          <w:lang w:val="en-US"/>
                        </w:rPr>
                        <w:t>Line 3</w:t>
                      </w:r>
                      <w:r w:rsidRPr="007F4E51">
                        <w:rPr>
                          <w:noProof/>
                          <w:lang w:val="en-US"/>
                        </w:rPr>
                        <w:drawing>
                          <wp:inline distT="0" distB="0" distL="0" distR="0" wp14:anchorId="0A55BB10" wp14:editId="15F5FF60">
                            <wp:extent cx="450850" cy="17931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50" cy="17931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725824" behindDoc="0" locked="0" layoutInCell="1" allowOverlap="1" wp14:anchorId="3A811A4E" wp14:editId="05DAEF97">
                <wp:simplePos x="0" y="0"/>
                <wp:positionH relativeFrom="margin">
                  <wp:posOffset>609600</wp:posOffset>
                </wp:positionH>
                <wp:positionV relativeFrom="paragraph">
                  <wp:posOffset>2124710</wp:posOffset>
                </wp:positionV>
                <wp:extent cx="502920" cy="220980"/>
                <wp:effectExtent l="0" t="0" r="11430" b="26670"/>
                <wp:wrapNone/>
                <wp:docPr id="36" name="Text Box 36"/>
                <wp:cNvGraphicFramePr/>
                <a:graphic xmlns:a="http://schemas.openxmlformats.org/drawingml/2006/main">
                  <a:graphicData uri="http://schemas.microsoft.com/office/word/2010/wordprocessingShape">
                    <wps:wsp>
                      <wps:cNvSpPr txBox="1"/>
                      <wps:spPr>
                        <a:xfrm>
                          <a:off x="0" y="0"/>
                          <a:ext cx="502920" cy="220980"/>
                        </a:xfrm>
                        <a:prstGeom prst="rect">
                          <a:avLst/>
                        </a:prstGeom>
                        <a:solidFill>
                          <a:sysClr val="window" lastClr="FFFFFF"/>
                        </a:solidFill>
                        <a:ln w="6350">
                          <a:solidFill>
                            <a:prstClr val="black"/>
                          </a:solidFill>
                        </a:ln>
                      </wps:spPr>
                      <wps:txbx>
                        <w:txbxContent>
                          <w:p w14:paraId="1952BFF2" w14:textId="77777777" w:rsidR="00FC41BC" w:rsidRPr="00F724C9" w:rsidRDefault="00FC41BC" w:rsidP="00356713">
                            <w:pPr>
                              <w:rPr>
                                <w:lang w:val="en-US"/>
                              </w:rPr>
                            </w:pPr>
                            <w:r w:rsidRPr="007F4E51">
                              <w:rPr>
                                <w:sz w:val="18"/>
                                <w:szCs w:val="18"/>
                                <w:lang w:val="en-US"/>
                              </w:rPr>
                              <w:t>Line 1</w:t>
                            </w:r>
                            <w:r w:rsidRPr="007F4E51">
                              <w:rPr>
                                <w:noProof/>
                                <w:lang w:val="en-US"/>
                              </w:rPr>
                              <w:drawing>
                                <wp:inline distT="0" distB="0" distL="0" distR="0" wp14:anchorId="169A77FD" wp14:editId="3EF9ECEB">
                                  <wp:extent cx="450850" cy="17931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50" cy="179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11A4E" id="Text Box 36" o:spid="_x0000_s1036" type="#_x0000_t202" style="position:absolute;left:0;text-align:left;margin-left:48pt;margin-top:167.3pt;width:39.6pt;height:17.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" fillcolor="window" strokeweight=".5pt">
                <v:textbox>
                  <w:txbxContent>
                    <w:p w14:paraId="1952BFF2" w14:textId="77777777" w:rsidR="00FC41BC" w:rsidRPr="00F724C9" w:rsidRDefault="00FC41BC" w:rsidP="00356713">
                      <w:pPr>
                        <w:rPr>
                          <w:lang w:val="en-US"/>
                        </w:rPr>
                      </w:pPr>
                      <w:r w:rsidRPr="007F4E51">
                        <w:rPr>
                          <w:sz w:val="18"/>
                          <w:szCs w:val="18"/>
                          <w:lang w:val="en-US"/>
                        </w:rPr>
                        <w:t>Line 1</w:t>
                      </w:r>
                      <w:r w:rsidRPr="007F4E51">
                        <w:rPr>
                          <w:noProof/>
                          <w:lang w:val="en-US"/>
                        </w:rPr>
                        <w:drawing>
                          <wp:inline distT="0" distB="0" distL="0" distR="0" wp14:anchorId="169A77FD" wp14:editId="3EF9ECEB">
                            <wp:extent cx="450850" cy="17931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850" cy="17931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726848" behindDoc="0" locked="0" layoutInCell="1" allowOverlap="1" wp14:anchorId="3B2631BF" wp14:editId="434F4793">
                <wp:simplePos x="0" y="0"/>
                <wp:positionH relativeFrom="margin">
                  <wp:posOffset>792480</wp:posOffset>
                </wp:positionH>
                <wp:positionV relativeFrom="paragraph">
                  <wp:posOffset>3001010</wp:posOffset>
                </wp:positionV>
                <wp:extent cx="525780" cy="198120"/>
                <wp:effectExtent l="0" t="0" r="26670" b="11430"/>
                <wp:wrapNone/>
                <wp:docPr id="57" name="Text Box 57"/>
                <wp:cNvGraphicFramePr/>
                <a:graphic xmlns:a="http://schemas.openxmlformats.org/drawingml/2006/main">
                  <a:graphicData uri="http://schemas.microsoft.com/office/word/2010/wordprocessingShape">
                    <wps:wsp>
                      <wps:cNvSpPr txBox="1"/>
                      <wps:spPr>
                        <a:xfrm>
                          <a:off x="0" y="0"/>
                          <a:ext cx="525780" cy="198120"/>
                        </a:xfrm>
                        <a:prstGeom prst="rect">
                          <a:avLst/>
                        </a:prstGeom>
                        <a:solidFill>
                          <a:sysClr val="window" lastClr="FFFFFF"/>
                        </a:solidFill>
                        <a:ln w="6350">
                          <a:solidFill>
                            <a:prstClr val="black"/>
                          </a:solidFill>
                        </a:ln>
                      </wps:spPr>
                      <wps:txbx>
                        <w:txbxContent>
                          <w:p w14:paraId="1502BC34" w14:textId="77777777" w:rsidR="00FC41BC" w:rsidRPr="007F4E51" w:rsidRDefault="00FC41BC" w:rsidP="00356713">
                            <w:pPr>
                              <w:rPr>
                                <w:sz w:val="18"/>
                                <w:szCs w:val="18"/>
                                <w:lang w:val="en-US"/>
                              </w:rPr>
                            </w:pPr>
                            <w:r w:rsidRPr="007F4E51">
                              <w:rPr>
                                <w:sz w:val="18"/>
                                <w:szCs w:val="18"/>
                                <w:lang w:val="en-US"/>
                              </w:rPr>
                              <w:t>Line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2631BF" id="Text Box 57" o:spid="_x0000_s1037" type="#_x0000_t202" style="position:absolute;left:0;text-align:left;margin-left:62.4pt;margin-top:236.3pt;width:41.4pt;height:15.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" fillcolor="window" strokeweight=".5pt">
                <v:textbox>
                  <w:txbxContent>
                    <w:p w14:paraId="1502BC34" w14:textId="77777777" w:rsidR="00FC41BC" w:rsidRPr="007F4E51" w:rsidRDefault="00FC41BC" w:rsidP="00356713">
                      <w:pPr>
                        <w:rPr>
                          <w:sz w:val="18"/>
                          <w:szCs w:val="18"/>
                          <w:lang w:val="en-US"/>
                        </w:rPr>
                      </w:pPr>
                      <w:r w:rsidRPr="007F4E51">
                        <w:rPr>
                          <w:sz w:val="18"/>
                          <w:szCs w:val="18"/>
                          <w:lang w:val="en-US"/>
                        </w:rPr>
                        <w:t>Line 2</w:t>
                      </w:r>
                    </w:p>
                  </w:txbxContent>
                </v:textbox>
                <w10:wrap anchorx="margin"/>
              </v:shape>
            </w:pict>
          </mc:Fallback>
        </mc:AlternateContent>
      </w:r>
      <w:r>
        <w:rPr>
          <w:noProof/>
          <w:lang w:val="en-US"/>
        </w:rPr>
        <mc:AlternateContent>
          <mc:Choice Requires="wps">
            <w:drawing>
              <wp:anchor distT="0" distB="0" distL="114300" distR="114300" simplePos="0" relativeHeight="251722752" behindDoc="0" locked="0" layoutInCell="1" allowOverlap="1" wp14:anchorId="5379AE6A" wp14:editId="7E24F471">
                <wp:simplePos x="0" y="0"/>
                <wp:positionH relativeFrom="column">
                  <wp:posOffset>3901440</wp:posOffset>
                </wp:positionH>
                <wp:positionV relativeFrom="paragraph">
                  <wp:posOffset>1819910</wp:posOffset>
                </wp:positionV>
                <wp:extent cx="449580" cy="220980"/>
                <wp:effectExtent l="0" t="0" r="26670" b="26670"/>
                <wp:wrapNone/>
                <wp:docPr id="18" name="Text Box 18"/>
                <wp:cNvGraphicFramePr/>
                <a:graphic xmlns:a="http://schemas.openxmlformats.org/drawingml/2006/main">
                  <a:graphicData uri="http://schemas.microsoft.com/office/word/2010/wordprocessingShape">
                    <wps:wsp>
                      <wps:cNvSpPr txBox="1"/>
                      <wps:spPr>
                        <a:xfrm>
                          <a:off x="0" y="0"/>
                          <a:ext cx="449580" cy="220980"/>
                        </a:xfrm>
                        <a:prstGeom prst="rect">
                          <a:avLst/>
                        </a:prstGeom>
                        <a:solidFill>
                          <a:sysClr val="window" lastClr="FFFFFF"/>
                        </a:solidFill>
                        <a:ln w="6350">
                          <a:solidFill>
                            <a:prstClr val="black"/>
                          </a:solidFill>
                        </a:ln>
                      </wps:spPr>
                      <wps:txbx>
                        <w:txbxContent>
                          <w:p w14:paraId="24FADFA6" w14:textId="77777777" w:rsidR="00FC41BC" w:rsidRPr="007F4E51" w:rsidRDefault="00FC41BC" w:rsidP="00356713">
                            <w:pPr>
                              <w:rPr>
                                <w:sz w:val="18"/>
                                <w:szCs w:val="18"/>
                                <w:lang w:val="en-US"/>
                              </w:rPr>
                            </w:pPr>
                            <w:r w:rsidRPr="007F4E51">
                              <w:rPr>
                                <w:sz w:val="18"/>
                                <w:szCs w:val="18"/>
                                <w:lang w:val="en-US"/>
                              </w:rPr>
                              <w:t>Bus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79AE6A" id="Text Box 18" o:spid="_x0000_s1038" type="#_x0000_t202" style="position:absolute;left:0;text-align:left;margin-left:307.2pt;margin-top:143.3pt;width:35.4pt;height:1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" fillcolor="window" strokeweight=".5pt">
                <v:textbox>
                  <w:txbxContent>
                    <w:p w14:paraId="24FADFA6" w14:textId="77777777" w:rsidR="00FC41BC" w:rsidRPr="007F4E51" w:rsidRDefault="00FC41BC" w:rsidP="00356713">
                      <w:pPr>
                        <w:rPr>
                          <w:sz w:val="18"/>
                          <w:szCs w:val="18"/>
                          <w:lang w:val="en-US"/>
                        </w:rPr>
                      </w:pPr>
                      <w:r w:rsidRPr="007F4E51">
                        <w:rPr>
                          <w:sz w:val="18"/>
                          <w:szCs w:val="18"/>
                          <w:lang w:val="en-US"/>
                        </w:rPr>
                        <w:t>Bus 4</w:t>
                      </w:r>
                    </w:p>
                  </w:txbxContent>
                </v:textbox>
              </v:shape>
            </w:pict>
          </mc:Fallback>
        </mc:AlternateContent>
      </w:r>
      <w:r>
        <w:rPr>
          <w:noProof/>
          <w:lang w:val="en-US"/>
        </w:rPr>
        <mc:AlternateContent>
          <mc:Choice Requires="wps">
            <w:drawing>
              <wp:anchor distT="0" distB="0" distL="114300" distR="114300" simplePos="0" relativeHeight="251721728" behindDoc="0" locked="0" layoutInCell="1" allowOverlap="1" wp14:anchorId="6AC28E61" wp14:editId="44DD1ED7">
                <wp:simplePos x="0" y="0"/>
                <wp:positionH relativeFrom="margin">
                  <wp:align>center</wp:align>
                </wp:positionH>
                <wp:positionV relativeFrom="paragraph">
                  <wp:posOffset>1804670</wp:posOffset>
                </wp:positionV>
                <wp:extent cx="472440" cy="2286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472440" cy="228600"/>
                        </a:xfrm>
                        <a:prstGeom prst="rect">
                          <a:avLst/>
                        </a:prstGeom>
                        <a:solidFill>
                          <a:sysClr val="window" lastClr="FFFFFF"/>
                        </a:solidFill>
                        <a:ln w="6350">
                          <a:solidFill>
                            <a:prstClr val="black"/>
                          </a:solidFill>
                        </a:ln>
                      </wps:spPr>
                      <wps:txbx>
                        <w:txbxContent>
                          <w:p w14:paraId="4762A517" w14:textId="77777777" w:rsidR="00FC41BC" w:rsidRPr="007F4E51" w:rsidRDefault="00FC41BC" w:rsidP="00356713">
                            <w:pPr>
                              <w:rPr>
                                <w:sz w:val="18"/>
                                <w:szCs w:val="18"/>
                                <w:lang w:val="en-US"/>
                              </w:rPr>
                            </w:pPr>
                            <w:r w:rsidRPr="007F4E51">
                              <w:rPr>
                                <w:sz w:val="18"/>
                                <w:szCs w:val="18"/>
                                <w:lang w:val="en-US"/>
                              </w:rPr>
                              <w:t>Bus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C28E61" id="Text Box 16" o:spid="_x0000_s1039" type="#_x0000_t202" style="position:absolute;left:0;text-align:left;margin-left:0;margin-top:142.1pt;width:37.2pt;height:18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" fillcolor="window" strokeweight=".5pt">
                <v:textbox>
                  <w:txbxContent>
                    <w:p w14:paraId="4762A517" w14:textId="77777777" w:rsidR="00FC41BC" w:rsidRPr="007F4E51" w:rsidRDefault="00FC41BC" w:rsidP="00356713">
                      <w:pPr>
                        <w:rPr>
                          <w:sz w:val="18"/>
                          <w:szCs w:val="18"/>
                          <w:lang w:val="en-US"/>
                        </w:rPr>
                      </w:pPr>
                      <w:r w:rsidRPr="007F4E51">
                        <w:rPr>
                          <w:sz w:val="18"/>
                          <w:szCs w:val="18"/>
                          <w:lang w:val="en-US"/>
                        </w:rPr>
                        <w:t>Bus 3</w:t>
                      </w:r>
                    </w:p>
                  </w:txbxContent>
                </v:textbox>
                <w10:wrap anchorx="margin"/>
              </v:shape>
            </w:pict>
          </mc:Fallback>
        </mc:AlternateContent>
      </w:r>
      <w:r>
        <w:rPr>
          <w:noProof/>
          <w:lang w:val="en-US"/>
        </w:rPr>
        <mc:AlternateContent>
          <mc:Choice Requires="wps">
            <w:drawing>
              <wp:anchor distT="0" distB="0" distL="114300" distR="114300" simplePos="0" relativeHeight="251720704" behindDoc="0" locked="0" layoutInCell="1" allowOverlap="1" wp14:anchorId="71F504C1" wp14:editId="5FC45A78">
                <wp:simplePos x="0" y="0"/>
                <wp:positionH relativeFrom="margin">
                  <wp:posOffset>434340</wp:posOffset>
                </wp:positionH>
                <wp:positionV relativeFrom="paragraph">
                  <wp:posOffset>1758950</wp:posOffset>
                </wp:positionV>
                <wp:extent cx="464820" cy="236220"/>
                <wp:effectExtent l="0" t="0" r="11430" b="11430"/>
                <wp:wrapNone/>
                <wp:docPr id="15" name="Text Box 15"/>
                <wp:cNvGraphicFramePr/>
                <a:graphic xmlns:a="http://schemas.openxmlformats.org/drawingml/2006/main">
                  <a:graphicData uri="http://schemas.microsoft.com/office/word/2010/wordprocessingShape">
                    <wps:wsp>
                      <wps:cNvSpPr txBox="1"/>
                      <wps:spPr>
                        <a:xfrm>
                          <a:off x="0" y="0"/>
                          <a:ext cx="464820" cy="236220"/>
                        </a:xfrm>
                        <a:prstGeom prst="rect">
                          <a:avLst/>
                        </a:prstGeom>
                        <a:solidFill>
                          <a:sysClr val="window" lastClr="FFFFFF"/>
                        </a:solidFill>
                        <a:ln w="6350">
                          <a:solidFill>
                            <a:prstClr val="black"/>
                          </a:solidFill>
                        </a:ln>
                      </wps:spPr>
                      <wps:txbx>
                        <w:txbxContent>
                          <w:p w14:paraId="2E644FA1" w14:textId="77777777" w:rsidR="00FC41BC" w:rsidRPr="007F4E51" w:rsidRDefault="00FC41BC" w:rsidP="00356713">
                            <w:pPr>
                              <w:rPr>
                                <w:sz w:val="18"/>
                                <w:szCs w:val="18"/>
                                <w:lang w:val="en-US"/>
                              </w:rPr>
                            </w:pPr>
                            <w:r w:rsidRPr="007F4E51">
                              <w:rPr>
                                <w:sz w:val="18"/>
                                <w:szCs w:val="18"/>
                                <w:lang w:val="en-US"/>
                              </w:rPr>
                              <w:t>Bus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F504C1" id="Text Box 15" o:spid="_x0000_s1040" type="#_x0000_t202" style="position:absolute;left:0;text-align:left;margin-left:34.2pt;margin-top:138.5pt;width:36.6pt;height:18.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" fillcolor="window" strokeweight=".5pt">
                <v:textbox>
                  <w:txbxContent>
                    <w:p w14:paraId="2E644FA1" w14:textId="77777777" w:rsidR="00FC41BC" w:rsidRPr="007F4E51" w:rsidRDefault="00FC41BC" w:rsidP="00356713">
                      <w:pPr>
                        <w:rPr>
                          <w:sz w:val="18"/>
                          <w:szCs w:val="18"/>
                          <w:lang w:val="en-US"/>
                        </w:rPr>
                      </w:pPr>
                      <w:r w:rsidRPr="007F4E51">
                        <w:rPr>
                          <w:sz w:val="18"/>
                          <w:szCs w:val="18"/>
                          <w:lang w:val="en-US"/>
                        </w:rPr>
                        <w:t>Bus 2</w:t>
                      </w:r>
                    </w:p>
                  </w:txbxContent>
                </v:textbox>
                <w10:wrap anchorx="margin"/>
              </v:shape>
            </w:pict>
          </mc:Fallback>
        </mc:AlternateContent>
      </w:r>
      <w:r>
        <w:rPr>
          <w:noProof/>
          <w:lang w:val="en-US"/>
        </w:rPr>
        <mc:AlternateContent>
          <mc:Choice Requires="wps">
            <w:drawing>
              <wp:anchor distT="0" distB="0" distL="114300" distR="114300" simplePos="0" relativeHeight="251719680" behindDoc="0" locked="0" layoutInCell="1" allowOverlap="1" wp14:anchorId="0ACF9F43" wp14:editId="5A1D95DF">
                <wp:simplePos x="0" y="0"/>
                <wp:positionH relativeFrom="column">
                  <wp:posOffset>441960</wp:posOffset>
                </wp:positionH>
                <wp:positionV relativeFrom="paragraph">
                  <wp:posOffset>836930</wp:posOffset>
                </wp:positionV>
                <wp:extent cx="472440" cy="236220"/>
                <wp:effectExtent l="0" t="0" r="22860" b="11430"/>
                <wp:wrapNone/>
                <wp:docPr id="9" name="Text Box 9"/>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chemeClr val="lt1"/>
                        </a:solidFill>
                        <a:ln w="6350">
                          <a:solidFill>
                            <a:prstClr val="black"/>
                          </a:solidFill>
                        </a:ln>
                      </wps:spPr>
                      <wps:txbx>
                        <w:txbxContent>
                          <w:p w14:paraId="594F9905" w14:textId="77777777" w:rsidR="00FC41BC" w:rsidRPr="007F4E51" w:rsidRDefault="00FC41BC" w:rsidP="00356713">
                            <w:pPr>
                              <w:rPr>
                                <w:sz w:val="18"/>
                                <w:szCs w:val="18"/>
                                <w:lang w:val="en-US"/>
                              </w:rPr>
                            </w:pPr>
                            <w:r w:rsidRPr="007F4E51">
                              <w:rPr>
                                <w:sz w:val="18"/>
                                <w:szCs w:val="18"/>
                                <w:lang w:val="en-US"/>
                              </w:rPr>
                              <w:t>Bus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CF9F43" id="Text Box 9" o:spid="_x0000_s1041" type="#_x0000_t202" style="position:absolute;left:0;text-align:left;margin-left:34.8pt;margin-top:65.9pt;width:37.2pt;height:1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" fillcolor="white [3201]" strokeweight=".5pt">
                <v:textbox>
                  <w:txbxContent>
                    <w:p w14:paraId="594F9905" w14:textId="77777777" w:rsidR="00FC41BC" w:rsidRPr="007F4E51" w:rsidRDefault="00FC41BC" w:rsidP="00356713">
                      <w:pPr>
                        <w:rPr>
                          <w:sz w:val="18"/>
                          <w:szCs w:val="18"/>
                          <w:lang w:val="en-US"/>
                        </w:rPr>
                      </w:pPr>
                      <w:r w:rsidRPr="007F4E51">
                        <w:rPr>
                          <w:sz w:val="18"/>
                          <w:szCs w:val="18"/>
                          <w:lang w:val="en-US"/>
                        </w:rPr>
                        <w:t>Bus 1</w:t>
                      </w:r>
                    </w:p>
                  </w:txbxContent>
                </v:textbox>
              </v:shape>
            </w:pict>
          </mc:Fallback>
        </mc:AlternateContent>
      </w:r>
      <w:r>
        <w:rPr>
          <w:noProof/>
          <w:lang w:val="en-US"/>
        </w:rPr>
        <mc:AlternateContent>
          <mc:Choice Requires="wps">
            <w:drawing>
              <wp:anchor distT="0" distB="0" distL="114300" distR="114300" simplePos="0" relativeHeight="251723776" behindDoc="0" locked="0" layoutInCell="1" allowOverlap="1" wp14:anchorId="3C0B5F42" wp14:editId="1B523940">
                <wp:simplePos x="0" y="0"/>
                <wp:positionH relativeFrom="margin">
                  <wp:posOffset>45720</wp:posOffset>
                </wp:positionH>
                <wp:positionV relativeFrom="paragraph">
                  <wp:posOffset>2635250</wp:posOffset>
                </wp:positionV>
                <wp:extent cx="487680" cy="220980"/>
                <wp:effectExtent l="0" t="0" r="26670" b="26670"/>
                <wp:wrapNone/>
                <wp:docPr id="20" name="Text Box 20"/>
                <wp:cNvGraphicFramePr/>
                <a:graphic xmlns:a="http://schemas.openxmlformats.org/drawingml/2006/main">
                  <a:graphicData uri="http://schemas.microsoft.com/office/word/2010/wordprocessingShape">
                    <wps:wsp>
                      <wps:cNvSpPr txBox="1"/>
                      <wps:spPr>
                        <a:xfrm>
                          <a:off x="0" y="0"/>
                          <a:ext cx="487680" cy="220980"/>
                        </a:xfrm>
                        <a:prstGeom prst="rect">
                          <a:avLst/>
                        </a:prstGeom>
                        <a:solidFill>
                          <a:sysClr val="window" lastClr="FFFFFF"/>
                        </a:solidFill>
                        <a:ln w="6350">
                          <a:solidFill>
                            <a:prstClr val="black"/>
                          </a:solidFill>
                        </a:ln>
                      </wps:spPr>
                      <wps:txbx>
                        <w:txbxContent>
                          <w:p w14:paraId="5DAE443C" w14:textId="77777777" w:rsidR="00FC41BC" w:rsidRPr="007F4E51" w:rsidRDefault="00FC41BC" w:rsidP="00356713">
                            <w:pPr>
                              <w:rPr>
                                <w:sz w:val="18"/>
                                <w:szCs w:val="18"/>
                                <w:lang w:val="en-US"/>
                              </w:rPr>
                            </w:pPr>
                            <w:r w:rsidRPr="007F4E51">
                              <w:rPr>
                                <w:sz w:val="18"/>
                                <w:szCs w:val="18"/>
                                <w:lang w:val="en-US"/>
                              </w:rPr>
                              <w:t>Bus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0B5F42" id="Text Box 20" o:spid="_x0000_s1042" type="#_x0000_t202" style="position:absolute;left:0;text-align:left;margin-left:3.6pt;margin-top:207.5pt;width:38.4pt;height:17.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" fillcolor="window" strokeweight=".5pt">
                <v:textbox>
                  <w:txbxContent>
                    <w:p w14:paraId="5DAE443C" w14:textId="77777777" w:rsidR="00FC41BC" w:rsidRPr="007F4E51" w:rsidRDefault="00FC41BC" w:rsidP="00356713">
                      <w:pPr>
                        <w:rPr>
                          <w:sz w:val="18"/>
                          <w:szCs w:val="18"/>
                          <w:lang w:val="en-US"/>
                        </w:rPr>
                      </w:pPr>
                      <w:r w:rsidRPr="007F4E51">
                        <w:rPr>
                          <w:sz w:val="18"/>
                          <w:szCs w:val="18"/>
                          <w:lang w:val="en-US"/>
                        </w:rPr>
                        <w:t>Bus 5</w:t>
                      </w:r>
                    </w:p>
                  </w:txbxContent>
                </v:textbox>
                <w10:wrap anchorx="margin"/>
              </v:shape>
            </w:pict>
          </mc:Fallback>
        </mc:AlternateContent>
      </w:r>
      <w:r>
        <w:rPr>
          <w:noProof/>
          <w:lang w:val="en-US"/>
        </w:rPr>
        <mc:AlternateContent>
          <mc:Choice Requires="wps">
            <w:drawing>
              <wp:anchor distT="0" distB="0" distL="114300" distR="114300" simplePos="0" relativeHeight="251724800" behindDoc="0" locked="0" layoutInCell="1" allowOverlap="1" wp14:anchorId="3C6B10A9" wp14:editId="726AF703">
                <wp:simplePos x="0" y="0"/>
                <wp:positionH relativeFrom="margin">
                  <wp:posOffset>312420</wp:posOffset>
                </wp:positionH>
                <wp:positionV relativeFrom="paragraph">
                  <wp:posOffset>3488690</wp:posOffset>
                </wp:positionV>
                <wp:extent cx="510540" cy="220980"/>
                <wp:effectExtent l="0" t="0" r="22860" b="26670"/>
                <wp:wrapNone/>
                <wp:docPr id="21" name="Text Box 21"/>
                <wp:cNvGraphicFramePr/>
                <a:graphic xmlns:a="http://schemas.openxmlformats.org/drawingml/2006/main">
                  <a:graphicData uri="http://schemas.microsoft.com/office/word/2010/wordprocessingShape">
                    <wps:wsp>
                      <wps:cNvSpPr txBox="1"/>
                      <wps:spPr>
                        <a:xfrm>
                          <a:off x="0" y="0"/>
                          <a:ext cx="510540" cy="220980"/>
                        </a:xfrm>
                        <a:prstGeom prst="rect">
                          <a:avLst/>
                        </a:prstGeom>
                        <a:solidFill>
                          <a:sysClr val="window" lastClr="FFFFFF"/>
                        </a:solidFill>
                        <a:ln w="6350">
                          <a:solidFill>
                            <a:prstClr val="black"/>
                          </a:solidFill>
                        </a:ln>
                      </wps:spPr>
                      <wps:txbx>
                        <w:txbxContent>
                          <w:p w14:paraId="017C8F76" w14:textId="77777777" w:rsidR="00FC41BC" w:rsidRPr="007F4E51" w:rsidRDefault="00FC41BC" w:rsidP="00356713">
                            <w:pPr>
                              <w:rPr>
                                <w:sz w:val="18"/>
                                <w:szCs w:val="18"/>
                                <w:lang w:val="en-US"/>
                              </w:rPr>
                            </w:pPr>
                            <w:r w:rsidRPr="007F4E51">
                              <w:rPr>
                                <w:sz w:val="18"/>
                                <w:szCs w:val="18"/>
                                <w:lang w:val="en-US"/>
                              </w:rPr>
                              <w:t>Bus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6B10A9" id="Text Box 21" o:spid="_x0000_s1043" type="#_x0000_t202" style="position:absolute;left:0;text-align:left;margin-left:24.6pt;margin-top:274.7pt;width:40.2pt;height:17.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" fillcolor="window" strokeweight=".5pt">
                <v:textbox>
                  <w:txbxContent>
                    <w:p w14:paraId="017C8F76" w14:textId="77777777" w:rsidR="00FC41BC" w:rsidRPr="007F4E51" w:rsidRDefault="00FC41BC" w:rsidP="00356713">
                      <w:pPr>
                        <w:rPr>
                          <w:sz w:val="18"/>
                          <w:szCs w:val="18"/>
                          <w:lang w:val="en-US"/>
                        </w:rPr>
                      </w:pPr>
                      <w:r w:rsidRPr="007F4E51">
                        <w:rPr>
                          <w:sz w:val="18"/>
                          <w:szCs w:val="18"/>
                          <w:lang w:val="en-US"/>
                        </w:rPr>
                        <w:t>Bus 6</w:t>
                      </w:r>
                    </w:p>
                  </w:txbxContent>
                </v:textbox>
                <w10:wrap anchorx="margin"/>
              </v:shape>
            </w:pict>
          </mc:Fallback>
        </mc:AlternateContent>
      </w:r>
      <w:r>
        <w:rPr>
          <w:noProof/>
          <w:lang w:val="en-US"/>
        </w:rPr>
        <w:drawing>
          <wp:inline distT="0" distB="0" distL="0" distR="0" wp14:anchorId="0C932335" wp14:editId="03BA5823">
            <wp:extent cx="5448300" cy="416553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ndun grid.bmp"/>
                    <pic:cNvPicPr/>
                  </pic:nvPicPr>
                  <pic:blipFill rotWithShape="1">
                    <a:blip r:embed="rId28">
                      <a:extLst>
                        <a:ext uri="{28A0092B-C50C-407E-A947-70E740481C1C}">
                          <a14:useLocalDpi xmlns:a14="http://schemas.microsoft.com/office/drawing/2010/main" val="0"/>
                        </a:ext>
                      </a:extLst>
                    </a:blip>
                    <a:srcRect l="1250" r="43889" b="10915"/>
                    <a:stretch/>
                  </pic:blipFill>
                  <pic:spPr bwMode="auto">
                    <a:xfrm>
                      <a:off x="0" y="0"/>
                      <a:ext cx="5461688" cy="4175772"/>
                    </a:xfrm>
                    <a:prstGeom prst="rect">
                      <a:avLst/>
                    </a:prstGeom>
                    <a:ln>
                      <a:noFill/>
                    </a:ln>
                    <a:extLst>
                      <a:ext uri="{53640926-AAD7-44D8-BBD7-CCE9431645EC}">
                        <a14:shadowObscured xmlns:a14="http://schemas.microsoft.com/office/drawing/2010/main"/>
                      </a:ext>
                    </a:extLst>
                  </pic:spPr>
                </pic:pic>
              </a:graphicData>
            </a:graphic>
          </wp:inline>
        </w:drawing>
      </w:r>
    </w:p>
    <w:p w14:paraId="49599F47" w14:textId="6BEFCD2C" w:rsidR="00356713" w:rsidRDefault="00356713" w:rsidP="00356713">
      <w:pPr>
        <w:spacing w:line="480" w:lineRule="auto"/>
        <w:jc w:val="center"/>
        <w:rPr>
          <w:b/>
          <w:sz w:val="20"/>
          <w:szCs w:val="20"/>
          <w:lang w:val="en-US"/>
        </w:rPr>
      </w:pPr>
      <w:r>
        <w:rPr>
          <w:b/>
          <w:sz w:val="20"/>
          <w:szCs w:val="20"/>
          <w:lang w:val="en-US"/>
        </w:rPr>
        <w:t xml:space="preserve">Figure </w:t>
      </w:r>
      <w:r w:rsidR="00A34F9A">
        <w:rPr>
          <w:b/>
          <w:sz w:val="20"/>
          <w:szCs w:val="20"/>
          <w:lang w:val="en-US"/>
        </w:rPr>
        <w:t>3.15</w:t>
      </w:r>
      <w:r>
        <w:rPr>
          <w:b/>
          <w:sz w:val="20"/>
          <w:szCs w:val="20"/>
          <w:lang w:val="en-US"/>
        </w:rPr>
        <w:t xml:space="preserve"> – Representation of the first scenario of the microgrid in PowerFactory.</w:t>
      </w:r>
    </w:p>
    <w:p w14:paraId="5E662552" w14:textId="4A6ACB36" w:rsidR="00356713" w:rsidRDefault="00270E58" w:rsidP="00270E58">
      <w:pPr>
        <w:pStyle w:val="Heading3"/>
      </w:pPr>
      <w:bookmarkStart w:id="58" w:name="_Toc110502596"/>
      <w:r>
        <w:t>3.6.2</w:t>
      </w:r>
      <w:r>
        <w:tab/>
      </w:r>
      <w:r w:rsidR="00356713">
        <w:t>Multiple-Power-Point Microgrid Scenario</w:t>
      </w:r>
      <w:bookmarkEnd w:id="58"/>
    </w:p>
    <w:p w14:paraId="0FB2A351" w14:textId="4C26382E" w:rsidR="00356713" w:rsidRDefault="00356713" w:rsidP="00356713">
      <w:pPr>
        <w:spacing w:line="480" w:lineRule="auto"/>
        <w:rPr>
          <w:lang w:val="en-US"/>
        </w:rPr>
      </w:pPr>
      <w:r>
        <w:rPr>
          <w:lang w:val="en-US"/>
        </w:rPr>
        <w:t xml:space="preserve">Figure </w:t>
      </w:r>
      <w:r w:rsidR="00A34F9A">
        <w:rPr>
          <w:lang w:val="en-US"/>
        </w:rPr>
        <w:t xml:space="preserve">3.16 </w:t>
      </w:r>
      <w:r>
        <w:rPr>
          <w:lang w:val="en-US"/>
        </w:rPr>
        <w:t>shows the schematic of the second scenario of the microgrid with the CSP plant now connected through an additional 2 MVA transformer with tap changing enabled, with power being injected to the microgrid on bus 6, which was the weak point of the first scenario. The two microgrid configurations are identical except for the change of location of the CSP point-of-coupling from bus 1 in the first scenario to bus 6 in the second scenario.</w:t>
      </w:r>
    </w:p>
    <w:p w14:paraId="53301CD0" w14:textId="77777777" w:rsidR="00356713" w:rsidRDefault="00356713" w:rsidP="00356713">
      <w:pPr>
        <w:spacing w:line="480" w:lineRule="auto"/>
        <w:rPr>
          <w:lang w:val="en-US"/>
        </w:rPr>
      </w:pPr>
      <w:r w:rsidRPr="007127F4">
        <w:rPr>
          <w:noProof/>
          <w:lang w:val="en-US"/>
        </w:rPr>
        <mc:AlternateContent>
          <mc:Choice Requires="wps">
            <w:drawing>
              <wp:anchor distT="0" distB="0" distL="114300" distR="114300" simplePos="0" relativeHeight="251739136" behindDoc="0" locked="0" layoutInCell="1" allowOverlap="1" wp14:anchorId="3BE8527D" wp14:editId="5AB15176">
                <wp:simplePos x="0" y="0"/>
                <wp:positionH relativeFrom="column">
                  <wp:posOffset>2865120</wp:posOffset>
                </wp:positionH>
                <wp:positionV relativeFrom="paragraph">
                  <wp:posOffset>3990340</wp:posOffset>
                </wp:positionV>
                <wp:extent cx="906780" cy="297180"/>
                <wp:effectExtent l="0" t="0" r="26670" b="26670"/>
                <wp:wrapNone/>
                <wp:docPr id="71" name="Text Box 71"/>
                <wp:cNvGraphicFramePr/>
                <a:graphic xmlns:a="http://schemas.openxmlformats.org/drawingml/2006/main">
                  <a:graphicData uri="http://schemas.microsoft.com/office/word/2010/wordprocessingShape">
                    <wps:wsp>
                      <wps:cNvSpPr txBox="1"/>
                      <wps:spPr>
                        <a:xfrm>
                          <a:off x="0" y="0"/>
                          <a:ext cx="906780" cy="297180"/>
                        </a:xfrm>
                        <a:prstGeom prst="rect">
                          <a:avLst/>
                        </a:prstGeom>
                        <a:solidFill>
                          <a:sysClr val="window" lastClr="FFFFFF"/>
                        </a:solidFill>
                        <a:ln w="6350">
                          <a:solidFill>
                            <a:prstClr val="black"/>
                          </a:solidFill>
                        </a:ln>
                      </wps:spPr>
                      <wps:txbx>
                        <w:txbxContent>
                          <w:p w14:paraId="247187BA" w14:textId="77777777" w:rsidR="00FC41BC" w:rsidRPr="007127F4" w:rsidRDefault="00FC41BC" w:rsidP="00356713">
                            <w:pPr>
                              <w:jc w:val="center"/>
                              <w:rPr>
                                <w:szCs w:val="24"/>
                                <w:lang w:val="en-US"/>
                              </w:rPr>
                            </w:pPr>
                            <w:r w:rsidRPr="007127F4">
                              <w:rPr>
                                <w:szCs w:val="24"/>
                                <w:lang w:val="en-US"/>
                              </w:rPr>
                              <w:t>CSP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E8527D" id="Text Box 71" o:spid="_x0000_s1044" type="#_x0000_t202" style="position:absolute;left:0;text-align:left;margin-left:225.6pt;margin-top:314.2pt;width:71.4pt;height:2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" fillcolor="window" strokeweight=".5pt">
                <v:textbox>
                  <w:txbxContent>
                    <w:p w14:paraId="247187BA" w14:textId="77777777" w:rsidR="00FC41BC" w:rsidRPr="007127F4" w:rsidRDefault="00FC41BC" w:rsidP="00356713">
                      <w:pPr>
                        <w:jc w:val="center"/>
                        <w:rPr>
                          <w:szCs w:val="24"/>
                          <w:lang w:val="en-US"/>
                        </w:rPr>
                      </w:pPr>
                      <w:r w:rsidRPr="007127F4">
                        <w:rPr>
                          <w:szCs w:val="24"/>
                          <w:lang w:val="en-US"/>
                        </w:rPr>
                        <w:t>CSP</w:t>
                      </w:r>
                    </w:p>
                  </w:txbxContent>
                </v:textbox>
              </v:shape>
            </w:pict>
          </mc:Fallback>
        </mc:AlternateContent>
      </w:r>
      <w:r w:rsidRPr="00F24591">
        <w:rPr>
          <w:noProof/>
          <w:lang w:val="en-US"/>
        </w:rPr>
        <mc:AlternateContent>
          <mc:Choice Requires="wps">
            <w:drawing>
              <wp:anchor distT="0" distB="0" distL="114300" distR="114300" simplePos="0" relativeHeight="251747328" behindDoc="0" locked="0" layoutInCell="1" allowOverlap="1" wp14:anchorId="5F8F03B7" wp14:editId="0C8E7A3F">
                <wp:simplePos x="0" y="0"/>
                <wp:positionH relativeFrom="column">
                  <wp:posOffset>3855720</wp:posOffset>
                </wp:positionH>
                <wp:positionV relativeFrom="paragraph">
                  <wp:posOffset>1605280</wp:posOffset>
                </wp:positionV>
                <wp:extent cx="472440" cy="236220"/>
                <wp:effectExtent l="0" t="0" r="22860" b="11430"/>
                <wp:wrapNone/>
                <wp:docPr id="79" name="Text Box 79"/>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32709FD8" w14:textId="77777777" w:rsidR="00FC41BC" w:rsidRPr="007F4E51" w:rsidRDefault="00FC41BC" w:rsidP="00356713">
                            <w:pPr>
                              <w:rPr>
                                <w:sz w:val="18"/>
                                <w:szCs w:val="18"/>
                                <w:lang w:val="en-US"/>
                              </w:rPr>
                            </w:pPr>
                            <w:r>
                              <w:rPr>
                                <w:sz w:val="18"/>
                                <w:szCs w:val="18"/>
                                <w:lang w:val="en-US"/>
                              </w:rPr>
                              <w:t>Bus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8F03B7" id="Text Box 79" o:spid="_x0000_s1045" type="#_x0000_t202" style="position:absolute;left:0;text-align:left;margin-left:303.6pt;margin-top:126.4pt;width:37.2pt;height:1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" fillcolor="window" strokeweight=".5pt">
                <v:textbox>
                  <w:txbxContent>
                    <w:p w14:paraId="32709FD8" w14:textId="77777777" w:rsidR="00FC41BC" w:rsidRPr="007F4E51" w:rsidRDefault="00FC41BC" w:rsidP="00356713">
                      <w:pPr>
                        <w:rPr>
                          <w:sz w:val="18"/>
                          <w:szCs w:val="18"/>
                          <w:lang w:val="en-US"/>
                        </w:rPr>
                      </w:pPr>
                      <w:r>
                        <w:rPr>
                          <w:sz w:val="18"/>
                          <w:szCs w:val="18"/>
                          <w:lang w:val="en-US"/>
                        </w:rPr>
                        <w:t>Bus 4</w:t>
                      </w:r>
                    </w:p>
                  </w:txbxContent>
                </v:textbox>
              </v:shape>
            </w:pict>
          </mc:Fallback>
        </mc:AlternateContent>
      </w:r>
      <w:r w:rsidRPr="00F24591">
        <w:rPr>
          <w:noProof/>
          <w:lang w:val="en-US"/>
        </w:rPr>
        <mc:AlternateContent>
          <mc:Choice Requires="wps">
            <w:drawing>
              <wp:anchor distT="0" distB="0" distL="114300" distR="114300" simplePos="0" relativeHeight="251743232" behindDoc="0" locked="0" layoutInCell="1" allowOverlap="1" wp14:anchorId="50F4728A" wp14:editId="4CDB060D">
                <wp:simplePos x="0" y="0"/>
                <wp:positionH relativeFrom="margin">
                  <wp:align>center</wp:align>
                </wp:positionH>
                <wp:positionV relativeFrom="paragraph">
                  <wp:posOffset>1628140</wp:posOffset>
                </wp:positionV>
                <wp:extent cx="472440" cy="236220"/>
                <wp:effectExtent l="0" t="0" r="22860" b="11430"/>
                <wp:wrapNone/>
                <wp:docPr id="75" name="Text Box 75"/>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25B100EE" w14:textId="77777777" w:rsidR="00FC41BC" w:rsidRPr="007F4E51" w:rsidRDefault="00FC41BC" w:rsidP="00356713">
                            <w:pPr>
                              <w:rPr>
                                <w:sz w:val="18"/>
                                <w:szCs w:val="18"/>
                                <w:lang w:val="en-US"/>
                              </w:rPr>
                            </w:pPr>
                            <w:r>
                              <w:rPr>
                                <w:sz w:val="18"/>
                                <w:szCs w:val="18"/>
                                <w:lang w:val="en-US"/>
                              </w:rPr>
                              <w:t>Bus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F4728A" id="Text Box 75" o:spid="_x0000_s1046" type="#_x0000_t202" style="position:absolute;left:0;text-align:left;margin-left:0;margin-top:128.2pt;width:37.2pt;height:18.6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" fillcolor="window" strokeweight=".5pt">
                <v:textbox>
                  <w:txbxContent>
                    <w:p w14:paraId="25B100EE" w14:textId="77777777" w:rsidR="00FC41BC" w:rsidRPr="007F4E51" w:rsidRDefault="00FC41BC" w:rsidP="00356713">
                      <w:pPr>
                        <w:rPr>
                          <w:sz w:val="18"/>
                          <w:szCs w:val="18"/>
                          <w:lang w:val="en-US"/>
                        </w:rPr>
                      </w:pPr>
                      <w:r>
                        <w:rPr>
                          <w:sz w:val="18"/>
                          <w:szCs w:val="18"/>
                          <w:lang w:val="en-US"/>
                        </w:rPr>
                        <w:t>Bus 3</w:t>
                      </w:r>
                    </w:p>
                  </w:txbxContent>
                </v:textbox>
                <w10:wrap anchorx="margin"/>
              </v:shape>
            </w:pict>
          </mc:Fallback>
        </mc:AlternateContent>
      </w:r>
      <w:r w:rsidRPr="00F24591">
        <w:rPr>
          <w:noProof/>
          <w:lang w:val="en-US"/>
        </w:rPr>
        <mc:AlternateContent>
          <mc:Choice Requires="wps">
            <w:drawing>
              <wp:anchor distT="0" distB="0" distL="114300" distR="114300" simplePos="0" relativeHeight="251744256" behindDoc="0" locked="0" layoutInCell="1" allowOverlap="1" wp14:anchorId="09840C79" wp14:editId="29DF3914">
                <wp:simplePos x="0" y="0"/>
                <wp:positionH relativeFrom="column">
                  <wp:posOffset>495300</wp:posOffset>
                </wp:positionH>
                <wp:positionV relativeFrom="paragraph">
                  <wp:posOffset>1597660</wp:posOffset>
                </wp:positionV>
                <wp:extent cx="472440" cy="236220"/>
                <wp:effectExtent l="0" t="0" r="22860" b="11430"/>
                <wp:wrapNone/>
                <wp:docPr id="76" name="Text Box 76"/>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127D6DAD" w14:textId="77777777" w:rsidR="00FC41BC" w:rsidRPr="007F4E51" w:rsidRDefault="00FC41BC" w:rsidP="00356713">
                            <w:pPr>
                              <w:rPr>
                                <w:sz w:val="18"/>
                                <w:szCs w:val="18"/>
                                <w:lang w:val="en-US"/>
                              </w:rPr>
                            </w:pPr>
                            <w:r>
                              <w:rPr>
                                <w:sz w:val="18"/>
                                <w:szCs w:val="18"/>
                                <w:lang w:val="en-US"/>
                              </w:rPr>
                              <w:t>Bus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840C79" id="Text Box 76" o:spid="_x0000_s1047" type="#_x0000_t202" style="position:absolute;left:0;text-align:left;margin-left:39pt;margin-top:125.8pt;width:37.2pt;height:18.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" fillcolor="window" strokeweight=".5pt">
                <v:textbox>
                  <w:txbxContent>
                    <w:p w14:paraId="127D6DAD" w14:textId="77777777" w:rsidR="00FC41BC" w:rsidRPr="007F4E51" w:rsidRDefault="00FC41BC" w:rsidP="00356713">
                      <w:pPr>
                        <w:rPr>
                          <w:sz w:val="18"/>
                          <w:szCs w:val="18"/>
                          <w:lang w:val="en-US"/>
                        </w:rPr>
                      </w:pPr>
                      <w:r>
                        <w:rPr>
                          <w:sz w:val="18"/>
                          <w:szCs w:val="18"/>
                          <w:lang w:val="en-US"/>
                        </w:rPr>
                        <w:t>Bus 2</w:t>
                      </w:r>
                    </w:p>
                  </w:txbxContent>
                </v:textbox>
              </v:shape>
            </w:pict>
          </mc:Fallback>
        </mc:AlternateContent>
      </w:r>
      <w:r w:rsidRPr="00F24591">
        <w:rPr>
          <w:noProof/>
          <w:lang w:val="en-US"/>
        </w:rPr>
        <mc:AlternateContent>
          <mc:Choice Requires="wps">
            <w:drawing>
              <wp:anchor distT="0" distB="0" distL="114300" distR="114300" simplePos="0" relativeHeight="251745280" behindDoc="0" locked="0" layoutInCell="1" allowOverlap="1" wp14:anchorId="739D73CD" wp14:editId="7A7080DF">
                <wp:simplePos x="0" y="0"/>
                <wp:positionH relativeFrom="column">
                  <wp:posOffset>53340</wp:posOffset>
                </wp:positionH>
                <wp:positionV relativeFrom="paragraph">
                  <wp:posOffset>2374900</wp:posOffset>
                </wp:positionV>
                <wp:extent cx="472440" cy="236220"/>
                <wp:effectExtent l="0" t="0" r="22860" b="11430"/>
                <wp:wrapNone/>
                <wp:docPr id="77" name="Text Box 77"/>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70E536B3" w14:textId="77777777" w:rsidR="00FC41BC" w:rsidRPr="007F4E51" w:rsidRDefault="00FC41BC" w:rsidP="00356713">
                            <w:pPr>
                              <w:rPr>
                                <w:sz w:val="18"/>
                                <w:szCs w:val="18"/>
                                <w:lang w:val="en-US"/>
                              </w:rPr>
                            </w:pPr>
                            <w:r>
                              <w:rPr>
                                <w:sz w:val="18"/>
                                <w:szCs w:val="18"/>
                                <w:lang w:val="en-US"/>
                              </w:rPr>
                              <w:t>Bus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D73CD" id="Text Box 77" o:spid="_x0000_s1048" type="#_x0000_t202" style="position:absolute;left:0;text-align:left;margin-left:4.2pt;margin-top:187pt;width:37.2pt;height:18.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" fillcolor="window" strokeweight=".5pt">
                <v:textbox>
                  <w:txbxContent>
                    <w:p w14:paraId="70E536B3" w14:textId="77777777" w:rsidR="00FC41BC" w:rsidRPr="007F4E51" w:rsidRDefault="00FC41BC" w:rsidP="00356713">
                      <w:pPr>
                        <w:rPr>
                          <w:sz w:val="18"/>
                          <w:szCs w:val="18"/>
                          <w:lang w:val="en-US"/>
                        </w:rPr>
                      </w:pPr>
                      <w:r>
                        <w:rPr>
                          <w:sz w:val="18"/>
                          <w:szCs w:val="18"/>
                          <w:lang w:val="en-US"/>
                        </w:rPr>
                        <w:t>Bus 5</w:t>
                      </w:r>
                    </w:p>
                  </w:txbxContent>
                </v:textbox>
              </v:shape>
            </w:pict>
          </mc:Fallback>
        </mc:AlternateContent>
      </w:r>
      <w:r w:rsidRPr="00F24591">
        <w:rPr>
          <w:noProof/>
          <w:lang w:val="en-US"/>
        </w:rPr>
        <mc:AlternateContent>
          <mc:Choice Requires="wps">
            <w:drawing>
              <wp:anchor distT="0" distB="0" distL="114300" distR="114300" simplePos="0" relativeHeight="251746304" behindDoc="0" locked="0" layoutInCell="1" allowOverlap="1" wp14:anchorId="490CDF86" wp14:editId="0DE802E8">
                <wp:simplePos x="0" y="0"/>
                <wp:positionH relativeFrom="column">
                  <wp:posOffset>457200</wp:posOffset>
                </wp:positionH>
                <wp:positionV relativeFrom="paragraph">
                  <wp:posOffset>675640</wp:posOffset>
                </wp:positionV>
                <wp:extent cx="472440" cy="236220"/>
                <wp:effectExtent l="0" t="0" r="22860" b="11430"/>
                <wp:wrapNone/>
                <wp:docPr id="78" name="Text Box 78"/>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24705B5A" w14:textId="77777777" w:rsidR="00FC41BC" w:rsidRPr="007F4E51" w:rsidRDefault="00FC41BC" w:rsidP="00356713">
                            <w:pPr>
                              <w:rPr>
                                <w:sz w:val="18"/>
                                <w:szCs w:val="18"/>
                                <w:lang w:val="en-US"/>
                              </w:rPr>
                            </w:pPr>
                            <w:r>
                              <w:rPr>
                                <w:sz w:val="18"/>
                                <w:szCs w:val="18"/>
                                <w:lang w:val="en-US"/>
                              </w:rPr>
                              <w:t>Bus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0CDF86" id="Text Box 78" o:spid="_x0000_s1049" type="#_x0000_t202" style="position:absolute;left:0;text-align:left;margin-left:36pt;margin-top:53.2pt;width:37.2pt;height:18.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" fillcolor="window" strokeweight=".5pt">
                <v:textbox>
                  <w:txbxContent>
                    <w:p w14:paraId="24705B5A" w14:textId="77777777" w:rsidR="00FC41BC" w:rsidRPr="007F4E51" w:rsidRDefault="00FC41BC" w:rsidP="00356713">
                      <w:pPr>
                        <w:rPr>
                          <w:sz w:val="18"/>
                          <w:szCs w:val="18"/>
                          <w:lang w:val="en-US"/>
                        </w:rPr>
                      </w:pPr>
                      <w:r>
                        <w:rPr>
                          <w:sz w:val="18"/>
                          <w:szCs w:val="18"/>
                          <w:lang w:val="en-US"/>
                        </w:rPr>
                        <w:t>Bus 1</w:t>
                      </w:r>
                    </w:p>
                  </w:txbxContent>
                </v:textbox>
              </v:shape>
            </w:pict>
          </mc:Fallback>
        </mc:AlternateContent>
      </w:r>
      <w:r w:rsidRPr="00F24591">
        <w:rPr>
          <w:noProof/>
          <w:lang w:val="en-US"/>
        </w:rPr>
        <mc:AlternateContent>
          <mc:Choice Requires="wps">
            <w:drawing>
              <wp:anchor distT="0" distB="0" distL="114300" distR="114300" simplePos="0" relativeHeight="251742208" behindDoc="0" locked="0" layoutInCell="1" allowOverlap="1" wp14:anchorId="18C42EFD" wp14:editId="394B55EF">
                <wp:simplePos x="0" y="0"/>
                <wp:positionH relativeFrom="column">
                  <wp:posOffset>495300</wp:posOffset>
                </wp:positionH>
                <wp:positionV relativeFrom="paragraph">
                  <wp:posOffset>3319780</wp:posOffset>
                </wp:positionV>
                <wp:extent cx="472440" cy="236220"/>
                <wp:effectExtent l="0" t="0" r="22860" b="11430"/>
                <wp:wrapNone/>
                <wp:docPr id="74" name="Text Box 74"/>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056D5BF3" w14:textId="77777777" w:rsidR="00FC41BC" w:rsidRPr="007F4E51" w:rsidRDefault="00FC41BC" w:rsidP="00356713">
                            <w:pPr>
                              <w:rPr>
                                <w:sz w:val="18"/>
                                <w:szCs w:val="18"/>
                                <w:lang w:val="en-US"/>
                              </w:rPr>
                            </w:pPr>
                            <w:r>
                              <w:rPr>
                                <w:sz w:val="18"/>
                                <w:szCs w:val="18"/>
                                <w:lang w:val="en-US"/>
                              </w:rPr>
                              <w:t>Bus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C42EFD" id="Text Box 74" o:spid="_x0000_s1050" type="#_x0000_t202" style="position:absolute;left:0;text-align:left;margin-left:39pt;margin-top:261.4pt;width:37.2pt;height:1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" fillcolor="window" strokeweight=".5pt">
                <v:textbox>
                  <w:txbxContent>
                    <w:p w14:paraId="056D5BF3" w14:textId="77777777" w:rsidR="00FC41BC" w:rsidRPr="007F4E51" w:rsidRDefault="00FC41BC" w:rsidP="00356713">
                      <w:pPr>
                        <w:rPr>
                          <w:sz w:val="18"/>
                          <w:szCs w:val="18"/>
                          <w:lang w:val="en-US"/>
                        </w:rPr>
                      </w:pPr>
                      <w:r>
                        <w:rPr>
                          <w:sz w:val="18"/>
                          <w:szCs w:val="18"/>
                          <w:lang w:val="en-US"/>
                        </w:rPr>
                        <w:t>Bus 6</w:t>
                      </w:r>
                    </w:p>
                  </w:txbxContent>
                </v:textbox>
              </v:shape>
            </w:pict>
          </mc:Fallback>
        </mc:AlternateContent>
      </w:r>
      <w:r w:rsidRPr="00F24591">
        <w:rPr>
          <w:noProof/>
          <w:lang w:val="en-US"/>
        </w:rPr>
        <mc:AlternateContent>
          <mc:Choice Requires="wps">
            <w:drawing>
              <wp:anchor distT="0" distB="0" distL="114300" distR="114300" simplePos="0" relativeHeight="251741184" behindDoc="0" locked="0" layoutInCell="1" allowOverlap="1" wp14:anchorId="1A2C8A3E" wp14:editId="39C02CE3">
                <wp:simplePos x="0" y="0"/>
                <wp:positionH relativeFrom="column">
                  <wp:posOffset>3535680</wp:posOffset>
                </wp:positionH>
                <wp:positionV relativeFrom="paragraph">
                  <wp:posOffset>104140</wp:posOffset>
                </wp:positionV>
                <wp:extent cx="586740" cy="220980"/>
                <wp:effectExtent l="0" t="0" r="22860" b="26670"/>
                <wp:wrapNone/>
                <wp:docPr id="73" name="Text Box 73"/>
                <wp:cNvGraphicFramePr/>
                <a:graphic xmlns:a="http://schemas.openxmlformats.org/drawingml/2006/main">
                  <a:graphicData uri="http://schemas.microsoft.com/office/word/2010/wordprocessingShape">
                    <wps:wsp>
                      <wps:cNvSpPr txBox="1"/>
                      <wps:spPr>
                        <a:xfrm>
                          <a:off x="0" y="0"/>
                          <a:ext cx="586740" cy="220980"/>
                        </a:xfrm>
                        <a:prstGeom prst="rect">
                          <a:avLst/>
                        </a:prstGeom>
                        <a:solidFill>
                          <a:sysClr val="window" lastClr="FFFFFF"/>
                        </a:solidFill>
                        <a:ln w="6350">
                          <a:solidFill>
                            <a:prstClr val="black"/>
                          </a:solidFill>
                        </a:ln>
                      </wps:spPr>
                      <wps:txbx>
                        <w:txbxContent>
                          <w:p w14:paraId="4F6D1AFF" w14:textId="77777777" w:rsidR="00FC41BC" w:rsidRPr="007F4E51" w:rsidRDefault="00FC41BC" w:rsidP="00356713">
                            <w:pPr>
                              <w:rPr>
                                <w:sz w:val="18"/>
                                <w:szCs w:val="18"/>
                                <w:lang w:val="en-US"/>
                              </w:rPr>
                            </w:pPr>
                            <w:r>
                              <w:rPr>
                                <w:sz w:val="18"/>
                                <w:szCs w:val="18"/>
                                <w:lang w:val="en-US"/>
                              </w:rPr>
                              <w:t>Hydro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2C8A3E" id="Text Box 73" o:spid="_x0000_s1051" type="#_x0000_t202" style="position:absolute;left:0;text-align:left;margin-left:278.4pt;margin-top:8.2pt;width:46.2pt;height:1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" fillcolor="window" strokeweight=".5pt">
                <v:textbox>
                  <w:txbxContent>
                    <w:p w14:paraId="4F6D1AFF" w14:textId="77777777" w:rsidR="00FC41BC" w:rsidRPr="007F4E51" w:rsidRDefault="00FC41BC" w:rsidP="00356713">
                      <w:pPr>
                        <w:rPr>
                          <w:sz w:val="18"/>
                          <w:szCs w:val="18"/>
                          <w:lang w:val="en-US"/>
                        </w:rPr>
                      </w:pPr>
                      <w:r>
                        <w:rPr>
                          <w:sz w:val="18"/>
                          <w:szCs w:val="18"/>
                          <w:lang w:val="en-US"/>
                        </w:rPr>
                        <w:t>Hydro</w:t>
                      </w:r>
                    </w:p>
                  </w:txbxContent>
                </v:textbox>
              </v:shape>
            </w:pict>
          </mc:Fallback>
        </mc:AlternateContent>
      </w:r>
      <w:r w:rsidRPr="00F24591">
        <w:rPr>
          <w:noProof/>
          <w:lang w:val="en-US"/>
        </w:rPr>
        <mc:AlternateContent>
          <mc:Choice Requires="wps">
            <w:drawing>
              <wp:anchor distT="0" distB="0" distL="114300" distR="114300" simplePos="0" relativeHeight="251740160" behindDoc="0" locked="0" layoutInCell="1" allowOverlap="1" wp14:anchorId="1C86DB6E" wp14:editId="7C9CD211">
                <wp:simplePos x="0" y="0"/>
                <wp:positionH relativeFrom="column">
                  <wp:posOffset>1112520</wp:posOffset>
                </wp:positionH>
                <wp:positionV relativeFrom="paragraph">
                  <wp:posOffset>157480</wp:posOffset>
                </wp:positionV>
                <wp:extent cx="472440" cy="236220"/>
                <wp:effectExtent l="0" t="0" r="22860" b="11430"/>
                <wp:wrapNone/>
                <wp:docPr id="72" name="Text Box 72"/>
                <wp:cNvGraphicFramePr/>
                <a:graphic xmlns:a="http://schemas.openxmlformats.org/drawingml/2006/main">
                  <a:graphicData uri="http://schemas.microsoft.com/office/word/2010/wordprocessingShape">
                    <wps:wsp>
                      <wps:cNvSpPr txBox="1"/>
                      <wps:spPr>
                        <a:xfrm>
                          <a:off x="0" y="0"/>
                          <a:ext cx="472440" cy="236220"/>
                        </a:xfrm>
                        <a:prstGeom prst="rect">
                          <a:avLst/>
                        </a:prstGeom>
                        <a:solidFill>
                          <a:sysClr val="window" lastClr="FFFFFF"/>
                        </a:solidFill>
                        <a:ln w="6350">
                          <a:solidFill>
                            <a:prstClr val="black"/>
                          </a:solidFill>
                        </a:ln>
                      </wps:spPr>
                      <wps:txbx>
                        <w:txbxContent>
                          <w:p w14:paraId="27B17870" w14:textId="77777777" w:rsidR="00FC41BC" w:rsidRPr="007F4E51" w:rsidRDefault="00FC41BC" w:rsidP="00356713">
                            <w:pPr>
                              <w:rPr>
                                <w:sz w:val="18"/>
                                <w:szCs w:val="18"/>
                                <w:lang w:val="en-US"/>
                              </w:rPr>
                            </w:pPr>
                            <w:r>
                              <w:rPr>
                                <w:sz w:val="18"/>
                                <w:szCs w:val="18"/>
                                <w:lang w:val="en-US"/>
                              </w:rPr>
                              <w:t>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86DB6E" id="Text Box 72" o:spid="_x0000_s1052" type="#_x0000_t202" style="position:absolute;left:0;text-align:left;margin-left:87.6pt;margin-top:12.4pt;width:37.2pt;height:18.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" fillcolor="window" strokeweight=".5pt">
                <v:textbox>
                  <w:txbxContent>
                    <w:p w14:paraId="27B17870" w14:textId="77777777" w:rsidR="00FC41BC" w:rsidRPr="007F4E51" w:rsidRDefault="00FC41BC" w:rsidP="00356713">
                      <w:pPr>
                        <w:rPr>
                          <w:sz w:val="18"/>
                          <w:szCs w:val="18"/>
                          <w:lang w:val="en-US"/>
                        </w:rPr>
                      </w:pPr>
                      <w:r>
                        <w:rPr>
                          <w:sz w:val="18"/>
                          <w:szCs w:val="18"/>
                          <w:lang w:val="en-US"/>
                        </w:rPr>
                        <w:t>PV</w:t>
                      </w:r>
                    </w:p>
                  </w:txbxContent>
                </v:textbox>
              </v:shape>
            </w:pict>
          </mc:Fallback>
        </mc:AlternateContent>
      </w:r>
      <w:r w:rsidRPr="0069417F">
        <w:rPr>
          <w:noProof/>
          <w:lang w:val="en-US"/>
        </w:rPr>
        <w:drawing>
          <wp:inline distT="0" distB="0" distL="0" distR="0" wp14:anchorId="2733BE7A" wp14:editId="071F222B">
            <wp:extent cx="5486400" cy="43129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454"/>
                    <a:stretch/>
                  </pic:blipFill>
                  <pic:spPr bwMode="auto">
                    <a:xfrm>
                      <a:off x="0" y="0"/>
                      <a:ext cx="5486400" cy="4312920"/>
                    </a:xfrm>
                    <a:prstGeom prst="rect">
                      <a:avLst/>
                    </a:prstGeom>
                    <a:ln>
                      <a:noFill/>
                    </a:ln>
                    <a:extLst>
                      <a:ext uri="{53640926-AAD7-44D8-BBD7-CCE9431645EC}">
                        <a14:shadowObscured xmlns:a14="http://schemas.microsoft.com/office/drawing/2010/main"/>
                      </a:ext>
                    </a:extLst>
                  </pic:spPr>
                </pic:pic>
              </a:graphicData>
            </a:graphic>
          </wp:inline>
        </w:drawing>
      </w:r>
    </w:p>
    <w:p w14:paraId="1115DB29" w14:textId="1BC65DBE" w:rsidR="00D54FAA" w:rsidRPr="001C0942" w:rsidRDefault="00356713" w:rsidP="001C0942">
      <w:pPr>
        <w:spacing w:line="480" w:lineRule="auto"/>
        <w:jc w:val="center"/>
        <w:rPr>
          <w:b/>
          <w:sz w:val="20"/>
          <w:szCs w:val="20"/>
          <w:lang w:val="en-US"/>
        </w:rPr>
      </w:pPr>
      <w:r>
        <w:rPr>
          <w:b/>
          <w:sz w:val="20"/>
          <w:szCs w:val="20"/>
          <w:lang w:val="en-US"/>
        </w:rPr>
        <w:t xml:space="preserve">Figure </w:t>
      </w:r>
      <w:r w:rsidR="00A34F9A">
        <w:rPr>
          <w:b/>
          <w:sz w:val="20"/>
          <w:szCs w:val="20"/>
          <w:lang w:val="en-US"/>
        </w:rPr>
        <w:t>3.16</w:t>
      </w:r>
      <w:r>
        <w:rPr>
          <w:b/>
          <w:sz w:val="20"/>
          <w:szCs w:val="20"/>
          <w:lang w:val="en-US"/>
        </w:rPr>
        <w:t xml:space="preserve"> – Representation of the Second Scenario of the Microgrid in PowerF</w:t>
      </w:r>
      <w:r w:rsidR="001C0942">
        <w:rPr>
          <w:b/>
          <w:sz w:val="20"/>
          <w:szCs w:val="20"/>
          <w:lang w:val="en-US"/>
        </w:rPr>
        <w:t>actory.</w:t>
      </w:r>
    </w:p>
    <w:p w14:paraId="57AA44F8" w14:textId="066FB2AE" w:rsidR="00932AAD" w:rsidRDefault="00270E58" w:rsidP="00F03645">
      <w:pPr>
        <w:pStyle w:val="Heading3"/>
        <w:spacing w:line="480" w:lineRule="auto"/>
      </w:pPr>
      <w:bookmarkStart w:id="59" w:name="_Toc110502597"/>
      <w:r>
        <w:t>3.7</w:t>
      </w:r>
      <w:r w:rsidR="00932AAD">
        <w:t xml:space="preserve"> </w:t>
      </w:r>
      <w:r w:rsidR="004B7FDA">
        <w:t>SOURCES OF DATA COLLECTION</w:t>
      </w:r>
      <w:bookmarkEnd w:id="59"/>
    </w:p>
    <w:p w14:paraId="186254F9" w14:textId="2623C4CB" w:rsidR="00320EBB" w:rsidRDefault="00270E58" w:rsidP="00320EBB">
      <w:pPr>
        <w:pStyle w:val="Heading3"/>
        <w:spacing w:line="480" w:lineRule="auto"/>
      </w:pPr>
      <w:bookmarkStart w:id="60" w:name="_Toc110502598"/>
      <w:r>
        <w:t>3.7</w:t>
      </w:r>
      <w:r w:rsidR="00320EBB">
        <w:t>.1 Load Data</w:t>
      </w:r>
      <w:bookmarkEnd w:id="60"/>
    </w:p>
    <w:p w14:paraId="0F628AEF" w14:textId="25A76DE6" w:rsidR="00320EBB" w:rsidRDefault="00320EBB" w:rsidP="00320EBB">
      <w:pPr>
        <w:spacing w:line="480" w:lineRule="auto"/>
        <w:rPr>
          <w:lang w:val="en-US"/>
        </w:rPr>
      </w:pPr>
      <w:r>
        <w:rPr>
          <w:lang w:val="en-US"/>
        </w:rPr>
        <w:t xml:space="preserve">Most studies that are conducted with HOMER Pro software tend to use the prepackaged load profile in the software while external data is used only for energy resources </w:t>
      </w:r>
      <w:r>
        <w:rPr>
          <w:lang w:val="en-US"/>
        </w:rPr>
        <w:fldChar w:fldCharType="begin" w:fldLock="1"/>
      </w:r>
      <w:r>
        <w:rPr>
          <w:lang w:val="en-US"/>
        </w:rPr>
        <w:instrText>ADDIN CSL_CITATION {"citationItems":[{"id":"ITEM-1","itemData":{"DOI":"10.1177/0958305X19888878","ISSN":"20484070","abstract":"In this study, feasibility of a new wind power generation system for urban application in Hormozgan Province of Iran is investigated. The wind turbine system in this study is a novel, aesthetically...","author":[{"dropping-particle":"","family":"Mostafaeipour","given":"Ali","non-dropping-particle":"","parse-names":false,"suffix":""},{"dropping-particle":"","family":"Rezaei","given":"Mostafa","non-dropping-particle":"","parse-names":false,"suffix":""},{"dropping-particle":"","family":"Jahangiri","given":"Mehdi","non-dropping-particle":"","parse-names":false,"suffix":""},{"dropping-particle":"","family":"Qolipour","given":"Mojtaba","non-dropping-particle":"","parse-names":false,"suffix":""}],"container-title":"https://doi.org/10.1177/0958305X19888878","id":"ITEM-1","issue":"7","issued":{"date-parts":[["2019","11","25"]]},"page":"1230-1256","publisher":"SAGE PublicationsSage UK: London, England","title":"Feasibility analysis of a new tree-shaped wind turbine for urban application: A case study:","type":"article-journal","volume":"31"},"uris":["http://www.mendeley.com/documents/?uuid=3d95af6f-c4f6-36d5-864b-b1f4977ccc8c"]},{"id":"ITEM-2","itemData":{"ISBN":"2296-598X","abstract":"Due to rising population growth and economic development, there is indeed a growing demand for electricity. Both in aspects of generation and transmission, conventional power firms are striving to manage these demands. Moreover, the ubiquitous utilization of electricity and other power generators, which are mainly driven from fossil fuels, seems to have some limitations, like declining performance and restricted energy production. As a result, use of renewable energy sources is incredibly important. Decentralized power generation in remote regions has become the primary requirement of society, based on renewable energy. Particularly in comparison with the electrification of urban areas, rural electrification is quite expensive. Microgrid’s development utilizing hybrid power is a potential solution for the electrification of rural regions where the transmission chain of network’s extension is unfeasible or inefficient. This research aims to structure a power generation model associated with different HRES combinations using a HOMER software application at a location in India. In the findings of this research, it has been observed that NPC, O&amp;M, COEs, and RF of on-grid energy systems are better than off-grid energy systems. In the study, between eight hybrid system combinations, the lowest COE of 0.034 $/kWh is obtained with the PV-WT-MH-GRID-CT system in the on-grid scenario. This analysis shows NPC, COE, O&amp;M, and renewable fraction are sensitive to the variation in all the considered sensitivity parameters&lt;xref ref-type=\"fn\" rid=\"fn1\"&gt;&lt;sup&gt;1&lt;/sup&gt;&lt;/xref&gt;&lt;sup&gt;,&lt;/sup&gt;&lt;xref ref-type=\"fn\" rid=\"fn2\"&gt;&lt;sup&gt;2&lt;/sup&gt;&lt;/xref&gt;&lt;sup&gt;,&lt;/sup&gt;&lt;xref ref-type=\"fn\" rid=\"fn3\"&gt;&lt;sup&gt;3&lt;/sup&gt;&lt;/xref&gt;&lt;sup&gt;,&lt;/sup&gt;&lt;xref ref-type=\"fn\" rid=\"fn4\"&gt;&lt;sup&gt;4&lt;/sup&gt;&lt;/xref&gt;.","author":[{"dropping-particle":"","family":"Jain","given":"Siddharth","non-dropping-particle":"","parse-names":false,"suffix":""},{"dropping-particle":"","family":"Sawle","given":"Yashwant","non-dropping-particle":"","parse-names":false,"suffix":""}],"container-title":"Frontiers in Energy Research","id":"ITEM-2","issued":{"date-parts":[["2021"]]},"page":"518","title":"Optimization and Comparative Economic Analysis of Standalone and Grid-Connected Hybrid Renewable Energy System for Remote Location","type":"article-journal","volume":"9"},"uris":["http://www.mendeley.com/documents/?uuid=c8c34e7a-117e-457f-847b-c6acf967b919"]},{"id":"ITEM-3","itemData":{"DOI":"10.11591/IJECE.V10I6.PP6214-6224","ISSN":"20888708","abstract":"A hybrid renewable energy system is at present accepted globally, as the best option for rural electrification particularly in areas where grid extension is infeasible. However, the need for hybrid design to be optimal in terms of operation and component selection serves as a challenge in obtaining reliable electricity at a minimum cost. In this work, the feasibility of installing a small hydropower into an existing water supply dam and the development of an optimal sizing optimization model for a small village-Itapaji, Nigeria were carried out. The developed hybrid power system (HPS) model consists of solar photovoltaic, small hydropower, battery and diesel generator. The optimal sizing of the system's components for optimum configuration was carried out using Genetic Algorithm. The hybrid model's results were compared with hybrid optimization model for electric renewable (HOMER) using correlation coefficient (r) and root mean square error (RMSE) to verify its validity. The results of the simulation obtained from the developed model showed better correlation coefficient (r) of 0.88 and root mean square error (RMSE) of 0.001 when compared to that of HOMER. This will serve as a guide for the power system engineers in the feasibility assessment and optimal design of HPS for rural electrification.","author":[{"dropping-particle":"","family":"Adebanji","given":"Bankole","non-dropping-particle":"","parse-names":false,"suffix":""},{"dropping-particle":"","family":"Adepoju","given":"Gafari Abiola","non-dropping-particle":"","parse-names":false,"suffix":""},{"dropping-particle":"","family":"Olulope","given":"Paul","non-dropping-particle":"","parse-names":false,"suffix":""},{"dropping-particle":"","family":"Fasina","given":"Taiwo","non-dropping-particle":"","parse-names":false,"suffix":""},{"dropping-particle":"","family":"Adetan","given":"Oluwumi","non-dropping-particle":"","parse-names":false,"suffix":""}],"container-title":"undefined","id":"ITEM-3","issue":"6","issued":{"date-parts":[["2020","12","1"]]},"page":"6214-6224","publisher":"Institute of Advanced Engineering and Science","title":"Feasibility and optimal design of a hybrid power system for rural electrification for a small village","type":"article-journal","volume":"10"},"uris":["http://www.mendeley.com/documents/?uuid=0aa77409-6fee-39f0-9f5d-efce93920d38"]},{"id":"ITEM-4","itemData":{"DOI":"10.1109/SCORED50371.2020.9250936","ISBN":"9781728193175","abstract":"This paper proposes the design of a hybrid renewable energy generation system (HRES) for a large mosque. The selected location is the Putra Mosque, Putrajaya, Malaysia, as it represents a typical large mosque in the country. The location has promising results for the installation of a floating PV system based on the available area on the 12 km lake. Hence, the primary goal of this study is to conduct technical and economic analysis for an installation of a grid-connected floating Photovoltaic (PV) system to mitigate dependency in grid power and minimize CO2 emission. The overall RE system components modeled for the location comprises PV, converter, battery storage, and grid. Whereas, the data collected includes load profile and renewable resources such as solar radiation and temperature. Hybrid Optimization Model for Electrical Renewable (HOMER) software was used to model and simulate the optimal configuration of the hybrid system. The results show a 5-kW grid-connected floating PV system is the best configuration with an initial capital of $27,894 and NPC of $482,723. This configuration has a 3% RE fraction. This system has lower initial capital and NPC compared to other configurations and has a higher RE energy mix leading to lower CO2 emission","author":[{"dropping-particle":"","family":"Khan","given":"M. Reyasudin Basir","non-dropping-particle":"","parse-names":false,"suffix":""},{"dropping-particle":"","family":"Pasupuleti","given":"Jagadeesh","non-dropping-particle":"","parse-names":false,"suffix":""},{"dropping-particle":"","family":"Jidin","given":"Razali","non-dropping-particle":"","parse-names":false,"suffix":""}],"container-title":"2020 IEEE Student Conference on Research and Development, SCOReD 2020","id":"ITEM-4","issued":{"date-parts":[["2020","9","27"]]},"page":"39-44","publisher":"Institute of Electrical and Electronics Engineers Inc.","title":"Technical and Economic Analysis of Floating PV System for Putra Mosque in Malaysia","type":"article-journal"},"uris":["http://www.mendeley.com/documents/?uuid=2c0617f6-6885-3940-b5ee-4a4e006629e6"]}],"mendeley":{"formattedCitation":"(Adebanji et al., 2020; Jain &amp; Sawle, 2021; Khan et al., 2020; Mostafaeipour et al., 2019)","plainTextFormattedCitation":"(Adebanji et al., 2020; Jain &amp; Sawle, 2021; Khan et al., 2020; Mostafaeipour et al., 2019)","previouslyFormattedCitation":"(Adebanji et al., 2020; Jain &amp; Sawle, 2021; Khan et al., 2020; Mostafaeipour et al., 2019)"},"properties":{"noteIndex":0},"schema":"https://github.com/citation-style-language/schema/raw/master/csl-citation.json"}</w:instrText>
      </w:r>
      <w:r>
        <w:rPr>
          <w:lang w:val="en-US"/>
        </w:rPr>
        <w:fldChar w:fldCharType="separate"/>
      </w:r>
      <w:r w:rsidRPr="002D44E5">
        <w:rPr>
          <w:noProof/>
          <w:lang w:val="en-US"/>
        </w:rPr>
        <w:t>(Adebanji et al., 2020; Jain &amp; Sawle, 2021; Khan et al., 2020; Mostafaeipour et al., 2019)</w:t>
      </w:r>
      <w:r>
        <w:rPr>
          <w:lang w:val="en-US"/>
        </w:rPr>
        <w:fldChar w:fldCharType="end"/>
      </w:r>
      <w:r>
        <w:rPr>
          <w:lang w:val="en-US"/>
        </w:rPr>
        <w:t xml:space="preserve">. However, in this study, the </w:t>
      </w:r>
      <w:r w:rsidR="00C92653">
        <w:rPr>
          <w:lang w:val="en-US"/>
        </w:rPr>
        <w:t xml:space="preserve">average </w:t>
      </w:r>
      <w:r>
        <w:rPr>
          <w:lang w:val="en-US"/>
        </w:rPr>
        <w:t xml:space="preserve">load profile of the selected location was </w:t>
      </w:r>
      <w:r w:rsidR="00C92653">
        <w:rPr>
          <w:lang w:val="en-US"/>
        </w:rPr>
        <w:t>computed</w:t>
      </w:r>
      <w:r>
        <w:rPr>
          <w:lang w:val="en-US"/>
        </w:rPr>
        <w:t xml:space="preserve"> and a data-based model was developed in Microsoft excel. The qualitative data and expected patterns were gathered both by visual inspection and observation to determine the nature and capacity of the power system </w:t>
      </w:r>
      <w:r w:rsidR="000F0ABB">
        <w:rPr>
          <w:lang w:val="en-US"/>
        </w:rPr>
        <w:t xml:space="preserve">on </w:t>
      </w:r>
      <w:r>
        <w:rPr>
          <w:lang w:val="en-US"/>
        </w:rPr>
        <w:t xml:space="preserve">which </w:t>
      </w:r>
      <w:r w:rsidR="000F0ABB">
        <w:rPr>
          <w:lang w:val="en-US"/>
        </w:rPr>
        <w:t>the community currently relies</w:t>
      </w:r>
      <w:r>
        <w:rPr>
          <w:lang w:val="en-US"/>
        </w:rPr>
        <w:t>, the migration pattern of the Arandun community influencing their population and electricity demand at various times of the year, as well as the transformers and their ratings.</w:t>
      </w:r>
    </w:p>
    <w:p w14:paraId="2FB13759" w14:textId="617F67BE" w:rsidR="00320EBB" w:rsidRDefault="00320EBB" w:rsidP="00320EBB">
      <w:pPr>
        <w:spacing w:line="480" w:lineRule="auto"/>
        <w:rPr>
          <w:lang w:val="en-US"/>
        </w:rPr>
      </w:pPr>
      <w:r>
        <w:rPr>
          <w:lang w:val="en-US"/>
        </w:rPr>
        <w:t>The quantitative data used in developing the load profile were gathered from the records of the injection substation which is in charge of the feeders supplying Arandun with electricity. The data gathered were the peak load and monthly megawatt usage of the area, which w</w:t>
      </w:r>
      <w:r w:rsidR="000F0ABB">
        <w:rPr>
          <w:lang w:val="en-US"/>
        </w:rPr>
        <w:t>ere</w:t>
      </w:r>
      <w:r>
        <w:rPr>
          <w:lang w:val="en-US"/>
        </w:rPr>
        <w:t xml:space="preserve"> adjusted for </w:t>
      </w:r>
      <w:r w:rsidR="000F0ABB">
        <w:rPr>
          <w:lang w:val="en-US"/>
        </w:rPr>
        <w:t xml:space="preserve">the </w:t>
      </w:r>
      <w:r>
        <w:rPr>
          <w:lang w:val="en-US"/>
        </w:rPr>
        <w:t xml:space="preserve">size of </w:t>
      </w:r>
      <w:r w:rsidR="000F0ABB">
        <w:rPr>
          <w:lang w:val="en-US"/>
        </w:rPr>
        <w:t xml:space="preserve">the </w:t>
      </w:r>
      <w:r>
        <w:rPr>
          <w:lang w:val="en-US"/>
        </w:rPr>
        <w:t>population and also adjusted using the qualitative information gathered directly by observation</w:t>
      </w:r>
      <w:r w:rsidR="00C92653">
        <w:rPr>
          <w:lang w:val="en-US"/>
        </w:rPr>
        <w:t xml:space="preserve"> and are presented in detail in Figures 4.2 to 4.10</w:t>
      </w:r>
      <w:r>
        <w:rPr>
          <w:lang w:val="en-US"/>
        </w:rPr>
        <w:t>.</w:t>
      </w:r>
    </w:p>
    <w:p w14:paraId="38B6EF75" w14:textId="77B49F0F" w:rsidR="00403501" w:rsidRDefault="00403501" w:rsidP="00320EBB">
      <w:pPr>
        <w:spacing w:line="480" w:lineRule="auto"/>
        <w:rPr>
          <w:lang w:val="en-US"/>
        </w:rPr>
      </w:pPr>
      <w:r>
        <w:rPr>
          <w:lang w:val="en-US"/>
        </w:rPr>
        <w:t>The diurnal load profile</w:t>
      </w:r>
      <w:r w:rsidR="000F0ABB">
        <w:rPr>
          <w:lang w:val="en-US"/>
        </w:rPr>
        <w:t>, as well as the seasonal load profile,</w:t>
      </w:r>
      <w:r>
        <w:rPr>
          <w:lang w:val="en-US"/>
        </w:rPr>
        <w:t xml:space="preserve"> were analysed using data from the utility company, compiled and scaled in excel before being inputted in HOMER. HOMER has a default load profile which is used in many studies in </w:t>
      </w:r>
      <w:r w:rsidR="000F0ABB">
        <w:rPr>
          <w:lang w:val="en-US"/>
        </w:rPr>
        <w:t xml:space="preserve">the </w:t>
      </w:r>
      <w:r>
        <w:rPr>
          <w:lang w:val="en-US"/>
        </w:rPr>
        <w:t xml:space="preserve">literature. However, for this study, location-specific load data was used to give more accurate results than the default load profile in the HOMER software. The obtained load data was calculated on a monthly resolution and average-based interpolation was used to fill in missing values in the available data. </w:t>
      </w:r>
    </w:p>
    <w:p w14:paraId="1BD884EA" w14:textId="608E0381" w:rsidR="00320EBB" w:rsidRPr="00074D5D" w:rsidRDefault="00270E58" w:rsidP="00320EBB">
      <w:pPr>
        <w:pStyle w:val="Heading3"/>
        <w:spacing w:line="480" w:lineRule="auto"/>
      </w:pPr>
      <w:bookmarkStart w:id="61" w:name="_Toc110502599"/>
      <w:r>
        <w:t>3.7</w:t>
      </w:r>
      <w:r w:rsidR="00D73FD5">
        <w:t>.2</w:t>
      </w:r>
      <w:r w:rsidR="00320EBB">
        <w:t xml:space="preserve"> Renewable Energy Data</w:t>
      </w:r>
      <w:bookmarkEnd w:id="61"/>
    </w:p>
    <w:p w14:paraId="5C6FB616" w14:textId="2DAB2900" w:rsidR="00320EBB" w:rsidRDefault="00320EBB" w:rsidP="00320EBB">
      <w:pPr>
        <w:spacing w:line="480" w:lineRule="auto"/>
        <w:rPr>
          <w:lang w:val="en-US"/>
        </w:rPr>
      </w:pPr>
      <w:r>
        <w:rPr>
          <w:lang w:val="en-US"/>
        </w:rPr>
        <w:t xml:space="preserve">The wind, precipitation, temperature, humidity, and insolation data for Arandun were harvested from the POWER dataset and preprocessed in Microsoft Excel, which involved sorting the necessary columns and rows and reorganizing the data according to the parameters to be used in the study. The data were averaged across the years before being used in the HOMER Pro software, except in the case of outliers and missing data where the averages had to be customized to use only the available data. </w:t>
      </w:r>
    </w:p>
    <w:p w14:paraId="3A6D91DF" w14:textId="2EABB279" w:rsidR="00391D96" w:rsidRDefault="00391D96" w:rsidP="00391D96">
      <w:pPr>
        <w:spacing w:line="480" w:lineRule="auto"/>
        <w:rPr>
          <w:lang w:val="en-US"/>
        </w:rPr>
      </w:pPr>
      <w:r>
        <w:rPr>
          <w:lang w:val="en-US"/>
        </w:rPr>
        <w:t>The POWER dataset is specially curated to be used by renewable energy researchers globally, and its data has been validated in previous studies and is internationally trusted by researchers in the field of renewable energy systems. For the extensiveness, level of timestep precision and long lifetime of the project, for preliminary assessment, the ave</w:t>
      </w:r>
      <w:r w:rsidR="00241FAA">
        <w:rPr>
          <w:lang w:val="en-US"/>
        </w:rPr>
        <w:t xml:space="preserve">rage Root Mean Square Error of </w:t>
      </w:r>
      <w:r>
        <w:rPr>
          <w:lang w:val="en-US"/>
        </w:rPr>
        <w:t>0.14 for solar,  when compared to ground-based weather stations as declared by NASA on the website shows that the dataset is well-validated and difficult to outperform within reasonable resource expense. It is also established by NASA that the dataset is more accurate the closer the location is to the equator.</w:t>
      </w:r>
    </w:p>
    <w:p w14:paraId="1A50A85D" w14:textId="54D8C39D" w:rsidR="00391D96" w:rsidRDefault="000F0ABB" w:rsidP="00320EBB">
      <w:pPr>
        <w:spacing w:line="480" w:lineRule="auto"/>
        <w:rPr>
          <w:lang w:val="en-US"/>
        </w:rPr>
      </w:pPr>
      <w:r>
        <w:rPr>
          <w:lang w:val="en-US"/>
        </w:rPr>
        <w:t>At</w:t>
      </w:r>
      <w:r w:rsidR="00391D96">
        <w:rPr>
          <w:lang w:val="en-US"/>
        </w:rPr>
        <w:t xml:space="preserve"> research time, the POWER dataset can be assessed at </w:t>
      </w:r>
      <w:hyperlink r:id="rId30" w:history="1">
        <w:r w:rsidR="00391D96" w:rsidRPr="00CA0D95">
          <w:rPr>
            <w:rStyle w:val="Hyperlink"/>
            <w:lang w:val="en-US"/>
          </w:rPr>
          <w:t>https://power.larc.nasa.gov</w:t>
        </w:r>
      </w:hyperlink>
      <w:r w:rsidR="00391D96">
        <w:rPr>
          <w:lang w:val="en-US"/>
        </w:rPr>
        <w:t>. Because this extensive dataset is curated by climate experts, metrologists, and renewable energy experts using state-of-the-art measurement technologies and methods, the use of this well-established dataset is a justifiable and more reliable alternative to primary data in the context of this study.</w:t>
      </w:r>
    </w:p>
    <w:p w14:paraId="44A942DB" w14:textId="7B8CA83E" w:rsidR="00320EBB" w:rsidRDefault="00391D96" w:rsidP="00320EBB">
      <w:pPr>
        <w:spacing w:line="480" w:lineRule="auto"/>
        <w:rPr>
          <w:lang w:val="en-US"/>
        </w:rPr>
      </w:pPr>
      <w:r>
        <w:rPr>
          <w:lang w:val="en-US"/>
        </w:rPr>
        <w:t>Furthermore</w:t>
      </w:r>
      <w:r w:rsidR="00320EBB">
        <w:rPr>
          <w:lang w:val="en-US"/>
        </w:rPr>
        <w:t xml:space="preserve">, some of the data, such as the Direct Normal Irradiation (DNI) were only available </w:t>
      </w:r>
      <w:r w:rsidR="000F0ABB">
        <w:rPr>
          <w:lang w:val="en-US"/>
        </w:rPr>
        <w:t>for</w:t>
      </w:r>
      <w:r w:rsidR="00320EBB">
        <w:rPr>
          <w:lang w:val="en-US"/>
        </w:rPr>
        <w:t xml:space="preserve"> a </w:t>
      </w:r>
      <w:r w:rsidR="000F0ABB">
        <w:rPr>
          <w:lang w:val="en-US"/>
        </w:rPr>
        <w:t xml:space="preserve">temporal </w:t>
      </w:r>
      <w:r w:rsidR="00320EBB">
        <w:rPr>
          <w:lang w:val="en-US"/>
        </w:rPr>
        <w:t xml:space="preserve">resolution of one month. However, this nature of study requires a full year of hourly data, prompting the use of </w:t>
      </w:r>
      <w:r w:rsidR="000F0ABB">
        <w:rPr>
          <w:lang w:val="en-US"/>
        </w:rPr>
        <w:t xml:space="preserve">the </w:t>
      </w:r>
      <w:r w:rsidR="00320EBB">
        <w:rPr>
          <w:lang w:val="en-US"/>
        </w:rPr>
        <w:t xml:space="preserve">centroid method in Microsoft excel software to synthesize an hourly model of 8760 unique time-steps per year from 12 monthly measurements. Incidentally, this also completely solved the issue of modelling the nightly generation characteristic due to </w:t>
      </w:r>
      <w:r w:rsidR="000F0ABB">
        <w:rPr>
          <w:lang w:val="en-US"/>
        </w:rPr>
        <w:t xml:space="preserve">the </w:t>
      </w:r>
      <w:r w:rsidR="00320EBB">
        <w:rPr>
          <w:lang w:val="en-US"/>
        </w:rPr>
        <w:t xml:space="preserve">intrinsic energy storage capacity of the Concentrated Solar Power plant (CSP) in HOMER, by using the simple centroid average model rather than the sophisticated Graham’s model that would have been used if the same unavailability of data had applied to the GHI data that was to be used for modelling the Photovoltaic energy input. </w:t>
      </w:r>
    </w:p>
    <w:p w14:paraId="2C76B5BC" w14:textId="6D9CA370" w:rsidR="00320EBB" w:rsidRDefault="00320EBB" w:rsidP="00320EBB">
      <w:pPr>
        <w:spacing w:line="480" w:lineRule="auto"/>
        <w:rPr>
          <w:lang w:val="en-US"/>
        </w:rPr>
      </w:pPr>
      <w:r>
        <w:rPr>
          <w:lang w:val="en-US"/>
        </w:rPr>
        <w:t xml:space="preserve">This is because the CSP plant, unlike the photovoltaic (PV), can store thermal energy and continues to generate at night. The centroid model has </w:t>
      </w:r>
      <w:r w:rsidR="000F0ABB">
        <w:rPr>
          <w:lang w:val="en-US"/>
        </w:rPr>
        <w:t xml:space="preserve">a </w:t>
      </w:r>
      <w:r>
        <w:rPr>
          <w:lang w:val="en-US"/>
        </w:rPr>
        <w:t>comparatively little variation between night and day energy input. Therefore, using the centroid model only for DNI synthesis and taking the energy output as a scaled version of the energy input, the model has the effect of preserving the total daily energy in DNI but spreading it across both day and into the night, which is exactly how a molten salt CSP plant operates. It is important to note that, during the feasibility study design, it was realized that modelling CSP in HOMER would have otherwise been the most complex aspect of the feasibility modelling and increased the computational complexity of the optimizations by at least an order of magnitude, such that a personal computer would not have been enough to handle the simulation. Those, an inadvertent model simplification which proved to be very important was carried out by using the simple centroid modelling rather than the standard Graham’s model.</w:t>
      </w:r>
    </w:p>
    <w:p w14:paraId="6126AF88" w14:textId="0088061D" w:rsidR="00320EBB" w:rsidRDefault="00320EBB" w:rsidP="00320EBB">
      <w:pPr>
        <w:spacing w:line="480" w:lineRule="auto"/>
        <w:rPr>
          <w:lang w:val="en-US"/>
        </w:rPr>
      </w:pPr>
      <w:r>
        <w:rPr>
          <w:lang w:val="en-US"/>
        </w:rPr>
        <w:t>The data for hydropower potential modelling was gathered by using simple improvised stream</w:t>
      </w:r>
      <w:r w:rsidR="000F0ABB">
        <w:rPr>
          <w:lang w:val="en-US"/>
        </w:rPr>
        <w:t xml:space="preserve"> </w:t>
      </w:r>
      <w:r>
        <w:rPr>
          <w:lang w:val="en-US"/>
        </w:rPr>
        <w:t xml:space="preserve">gauging techniques. In </w:t>
      </w:r>
      <w:r w:rsidR="000F0ABB">
        <w:rPr>
          <w:lang w:val="en-US"/>
        </w:rPr>
        <w:t xml:space="preserve">a </w:t>
      </w:r>
      <w:r>
        <w:rPr>
          <w:lang w:val="en-US"/>
        </w:rPr>
        <w:t>testament to its hydrological potential, Arandun is known to have several rivers and streams flowing through it. Some of them are listed by name in following: Osin, Odun Alaro, Ale, Otewu, Afogbangba, Ajiwese, Ileti, and Odo-Agbo.</w:t>
      </w:r>
    </w:p>
    <w:p w14:paraId="2428E420" w14:textId="004D3959" w:rsidR="00320EBB" w:rsidRDefault="00320EBB" w:rsidP="00320EBB">
      <w:pPr>
        <w:spacing w:line="480" w:lineRule="auto"/>
        <w:rPr>
          <w:lang w:val="en-US"/>
        </w:rPr>
      </w:pPr>
      <w:r>
        <w:rPr>
          <w:lang w:val="en-US"/>
        </w:rPr>
        <w:t>Of these</w:t>
      </w:r>
      <w:r w:rsidRPr="006811D3">
        <w:rPr>
          <w:lang w:val="en-US"/>
        </w:rPr>
        <w:t>, The Osin River</w:t>
      </w:r>
      <w:r>
        <w:rPr>
          <w:lang w:val="en-US"/>
        </w:rPr>
        <w:t xml:space="preserve"> (which has previously appeared in Nigerian geographical literature as being 170km long) </w:t>
      </w:r>
      <w:r w:rsidRPr="006811D3">
        <w:rPr>
          <w:lang w:val="en-US"/>
        </w:rPr>
        <w:t>which flows through Arandun is known to be the major river in the area and w</w:t>
      </w:r>
      <w:r>
        <w:rPr>
          <w:lang w:val="en-US"/>
        </w:rPr>
        <w:t xml:space="preserve">as selected for the hydropower </w:t>
      </w:r>
      <w:r w:rsidRPr="006811D3">
        <w:rPr>
          <w:lang w:val="en-US"/>
        </w:rPr>
        <w:t>measurement, being a year-round river</w:t>
      </w:r>
      <w:r>
        <w:rPr>
          <w:lang w:val="en-US"/>
        </w:rPr>
        <w:t xml:space="preserve"> </w:t>
      </w:r>
      <w:r>
        <w:rPr>
          <w:lang w:val="en-US"/>
        </w:rPr>
        <w:fldChar w:fldCharType="begin" w:fldLock="1"/>
      </w:r>
      <w:r>
        <w:rPr>
          <w:lang w:val="en-US"/>
        </w:rPr>
        <w:instrText>ADDIN CSL_CITATION {"citationItems":[{"id":"ITEM-1","itemData":{"DOI":"10.1177/0309133311407655","ISSN":"03091333","abstract":"High demand for water is driving potentially unsustainable practices and competition for water resources between various sectors in developing areas. As a result of improved quality of life and population growth, increase in demand for fresh water is anticipated in all African countries in all sectors, over the next 10 years. This study examines the effects of dry season irrigation farming (fadama) on the physical and chemical quality of the River Osin which receives both surface and subsurface flow from irrigated areas in the Upper Osin Catchment, Kwara State, Nigeria. A total of 90 samples were obtained from Upstream (UPS), Irrigated area (IRG) and Downstream (DNS) segments of the river in the dry and rainy seasons. Water samples were analysed for pH, conductivity, total dissolved solids (TDS), suspended solids, dissolved organic matter (DOM), pesticides (ionic basic type), Na+, K+, Mg2+,Cl-, NO-3, PO3-4, Ca2+ and HCO-3. The results indicate that values of agricultural pollutants such as pesticides (CuSO4), NO-3 and PO3-4 were significantly higher at IRG than at UPS, and decreased slightly at DNS, while all other anions and cations except DOM reached peak values at DNS. Agricultural pollutants (NO-3, PO3-4 and pesticides) contributed significantly to poor water quality observed at IRG and DNS segments but the values are within acceptable tolerance range at UPS. The findings further indicate that irrigation practice degrades the quality of water at IRG and DNS segments. As a result, a holistic approach to agriculture and water resource management is recommended to ensure sustainable water resources development in the catchment. © The Author(s) 2011.","author":[{"dropping-particle":"","family":"Adediji","given":"A.","non-dropping-particle":"","parse-names":false,"suffix":""},{"dropping-particle":"","family":"Adewumi","given":"J. A.","non-dropping-particle":"","parse-names":false,"suffix":""},{"dropping-particle":"","family":"Ologunorisa","given":"T. E.","non-dropping-particle":"","parse-names":false,"suffix":""}],"container-title":"Progress in Physical Geography","id":"ITEM-1","issue":"6","issued":{"date-parts":[["2011"]]},"page":"707-719","title":"Effects of irrigation on the physico-chemical quality of water in irrigated areas: The Upper Osin Catchment, Kwara State, Nigeria","type":"article-journal","volume":"35"},"uris":["http://www.mendeley.com/documents/?uuid=db2927c6-378b-4f17-bd4a-b36184b58df1"]}],"mendeley":{"formattedCitation":"(Adediji et al., 2011)","plainTextFormattedCitation":"(Adediji et al., 2011)","previouslyFormattedCitation":"(Adediji et al., 2011)"},"properties":{"noteIndex":0},"schema":"https://github.com/citation-style-language/schema/raw/master/csl-citation.json"}</w:instrText>
      </w:r>
      <w:r>
        <w:rPr>
          <w:lang w:val="en-US"/>
        </w:rPr>
        <w:fldChar w:fldCharType="separate"/>
      </w:r>
      <w:r w:rsidRPr="002D44E5">
        <w:rPr>
          <w:noProof/>
          <w:lang w:val="en-US"/>
        </w:rPr>
        <w:t>(Adediji et al., 2011)</w:t>
      </w:r>
      <w:r>
        <w:rPr>
          <w:lang w:val="en-US"/>
        </w:rPr>
        <w:fldChar w:fldCharType="end"/>
      </w:r>
      <w:r>
        <w:rPr>
          <w:lang w:val="en-US"/>
        </w:rPr>
        <w:t>. The major obstruction to river flow at the location was the natural vegetation and presence of large trees in the river which negatively impacted the depth and speed at many points and complicated the stream</w:t>
      </w:r>
      <w:r w:rsidR="000F0ABB">
        <w:rPr>
          <w:lang w:val="en-US"/>
        </w:rPr>
        <w:t xml:space="preserve"> </w:t>
      </w:r>
      <w:r>
        <w:rPr>
          <w:lang w:val="en-US"/>
        </w:rPr>
        <w:t xml:space="preserve">gauging efforts. </w:t>
      </w:r>
      <w:r w:rsidR="000F0ABB">
        <w:rPr>
          <w:lang w:val="en-US"/>
        </w:rPr>
        <w:t>Despite</w:t>
      </w:r>
      <w:r>
        <w:rPr>
          <w:lang w:val="en-US"/>
        </w:rPr>
        <w:t xml:space="preserve"> this, the river was found to be feasible for measurement at some points, and it is worth noting that the potential of the river for electricity generation at the given location will be greatly improved by controlling the vegetation in the river as well as some dredging at the points at which debris has accumulated due to the numerous obstructions on it, which factors into the costs of establishing such a plant and are also accounted for in the study.</w:t>
      </w:r>
      <w:r w:rsidRPr="006811D3">
        <w:rPr>
          <w:lang w:val="en-US"/>
        </w:rPr>
        <w:t xml:space="preserve"> </w:t>
      </w:r>
      <w:r>
        <w:rPr>
          <w:lang w:val="en-US"/>
        </w:rPr>
        <w:t xml:space="preserve">Because of the aforementioned factors, the potential determined based on the measurements in this study </w:t>
      </w:r>
      <w:r w:rsidR="000F0ABB">
        <w:rPr>
          <w:lang w:val="en-US"/>
        </w:rPr>
        <w:t>is</w:t>
      </w:r>
      <w:r>
        <w:rPr>
          <w:lang w:val="en-US"/>
        </w:rPr>
        <w:t xml:space="preserve"> </w:t>
      </w:r>
      <w:r w:rsidR="000F0ABB">
        <w:rPr>
          <w:lang w:val="en-US"/>
        </w:rPr>
        <w:t>unavoidably</w:t>
      </w:r>
      <w:r>
        <w:rPr>
          <w:lang w:val="en-US"/>
        </w:rPr>
        <w:t xml:space="preserve"> bound to be an underestimation of the Osin River’s true potential at the Arandun location for hydropower generation.</w:t>
      </w:r>
    </w:p>
    <w:p w14:paraId="4FC472CB" w14:textId="216720FF" w:rsidR="00320EBB" w:rsidRDefault="00320EBB" w:rsidP="00320EBB">
      <w:pPr>
        <w:spacing w:line="480" w:lineRule="auto"/>
        <w:rPr>
          <w:lang w:val="en-US"/>
        </w:rPr>
      </w:pPr>
      <w:r>
        <w:rPr>
          <w:lang w:val="en-US"/>
        </w:rPr>
        <w:t xml:space="preserve">The measurements were taken at two points along the course of the Osin River about 1km apart. </w:t>
      </w:r>
      <w:r w:rsidRPr="006811D3">
        <w:rPr>
          <w:lang w:val="en-US"/>
        </w:rPr>
        <w:t>To measure the</w:t>
      </w:r>
      <w:r>
        <w:rPr>
          <w:lang w:val="en-US"/>
        </w:rPr>
        <w:t xml:space="preserve"> streamflow</w:t>
      </w:r>
      <w:r w:rsidRPr="006811D3">
        <w:rPr>
          <w:lang w:val="en-US"/>
        </w:rPr>
        <w:t xml:space="preserve"> velocity</w:t>
      </w:r>
      <w:r>
        <w:rPr>
          <w:lang w:val="en-US"/>
        </w:rPr>
        <w:t>, a</w:t>
      </w:r>
      <w:r w:rsidRPr="006811D3">
        <w:rPr>
          <w:lang w:val="en-US"/>
        </w:rPr>
        <w:t xml:space="preserve"> light floating object </w:t>
      </w:r>
      <w:r>
        <w:rPr>
          <w:lang w:val="en-US"/>
        </w:rPr>
        <w:t xml:space="preserve">(specifically a corked empty bottle) </w:t>
      </w:r>
      <w:r w:rsidRPr="006811D3">
        <w:rPr>
          <w:lang w:val="en-US"/>
        </w:rPr>
        <w:t xml:space="preserve">was placed on the </w:t>
      </w:r>
      <w:r>
        <w:rPr>
          <w:lang w:val="en-US"/>
        </w:rPr>
        <w:t>surface of the water. The distance and time taken to cover a stretch of river without m</w:t>
      </w:r>
      <w:r w:rsidR="000F0ABB">
        <w:rPr>
          <w:lang w:val="en-US"/>
        </w:rPr>
        <w:t>any</w:t>
      </w:r>
      <w:r>
        <w:rPr>
          <w:lang w:val="en-US"/>
        </w:rPr>
        <w:t xml:space="preserve"> obstructions were measured and the speed</w:t>
      </w:r>
      <w:r w:rsidR="00391D96">
        <w:rPr>
          <w:lang w:val="en-US"/>
        </w:rPr>
        <w:t xml:space="preserve"> and depth</w:t>
      </w:r>
      <w:r>
        <w:rPr>
          <w:lang w:val="en-US"/>
        </w:rPr>
        <w:t xml:space="preserve"> of the river at that point w</w:t>
      </w:r>
      <w:r w:rsidR="000F0ABB">
        <w:rPr>
          <w:lang w:val="en-US"/>
        </w:rPr>
        <w:t>ere</w:t>
      </w:r>
      <w:r>
        <w:rPr>
          <w:lang w:val="en-US"/>
        </w:rPr>
        <w:t xml:space="preserve"> determined.</w:t>
      </w:r>
    </w:p>
    <w:p w14:paraId="3E74C76A" w14:textId="1CA4612C" w:rsidR="00320EBB" w:rsidRDefault="000F0ABB" w:rsidP="00320EBB">
      <w:pPr>
        <w:spacing w:line="480" w:lineRule="auto"/>
        <w:rPr>
          <w:lang w:val="en-US"/>
        </w:rPr>
      </w:pPr>
      <w:r>
        <w:rPr>
          <w:lang w:val="en-US"/>
        </w:rPr>
        <w:t>Per</w:t>
      </w:r>
      <w:r w:rsidR="00320EBB">
        <w:rPr>
          <w:lang w:val="en-US"/>
        </w:rPr>
        <w:t xml:space="preserve"> basic stream</w:t>
      </w:r>
      <w:r>
        <w:rPr>
          <w:lang w:val="en-US"/>
        </w:rPr>
        <w:t xml:space="preserve"> </w:t>
      </w:r>
      <w:r w:rsidR="00320EBB">
        <w:rPr>
          <w:lang w:val="en-US"/>
        </w:rPr>
        <w:t xml:space="preserve">gauging </w:t>
      </w:r>
      <w:r>
        <w:rPr>
          <w:lang w:val="en-US"/>
        </w:rPr>
        <w:t>works of literature</w:t>
      </w:r>
      <w:r w:rsidR="00320EBB">
        <w:rPr>
          <w:lang w:val="en-US"/>
        </w:rPr>
        <w:t xml:space="preserve"> such as </w:t>
      </w:r>
      <w:r w:rsidR="00320EBB">
        <w:rPr>
          <w:lang w:val="en-US"/>
        </w:rPr>
        <w:fldChar w:fldCharType="begin" w:fldLock="1"/>
      </w:r>
      <w:r w:rsidR="00320EBB">
        <w:rPr>
          <w:lang w:val="en-US"/>
        </w:rPr>
        <w:instrText>ADDIN CSL_CITATION {"citationItems":[{"id":"ITEM-1","itemData":{"author":[{"dropping-particle":"","family":"Mdee","given":"O J","non-dropping-particle":"","parse-names":false,"suffix":""},{"dropping-particle":"","family":"Kimambo","given":"C Z","non-dropping-particle":"","parse-names":false,"suffix":""},{"dropping-particle":"","family":"Nielsen","given":"T K","non-dropping-particle":"","parse-names":false,"suffix":""},{"dropping-particle":"","family":"Kihedu","given":"J","non-dropping-particle":"","parse-names":false,"suffix":""}],"id":"ITEM-1","issued":{"date-parts":[["2018"]]},"page":"21-38","title":"Measurement methods for hydropower resources : a review","type":"article-journal"},"uris":["http://www.mendeley.com/documents/?uuid=bb7a4989-f7a4-4be8-8731-0cca26616d3d"]},{"id":"ITEM-2","itemData":{"author":[{"dropping-particle":"","family":"Wali, U.G.","given":"","non-dropping-particle":"","parse-names":false,"suffix":""}],"container-title":"International Journal of Emerging Technology and Advanced Engineering","id":"ITEM-2","issue":"11","issued":{"date-parts":[["2013"]]},"page":"592-600","title":"Estimating hydropower potential of an ungaged stream","type":"article-journal","volume":"3"},"uris":["http://www.mendeley.com/documents/?uuid=285c8773-8df2-4776-9709-d9c966a69925"]}],"mendeley":{"formattedCitation":"(Mdee et al., 2018; Wali, U.G., 2013)","plainTextFormattedCitation":"(Mdee et al., 2018; Wali, U.G., 2013)","previouslyFormattedCitation":"(Mdee et al., 2018; Wali, U.G., 2013)"},"properties":{"noteIndex":0},"schema":"https://github.com/citation-style-language/schema/raw/master/csl-citation.json"}</w:instrText>
      </w:r>
      <w:r w:rsidR="00320EBB">
        <w:rPr>
          <w:lang w:val="en-US"/>
        </w:rPr>
        <w:fldChar w:fldCharType="separate"/>
      </w:r>
      <w:r w:rsidR="00320EBB" w:rsidRPr="002D44E5">
        <w:rPr>
          <w:noProof/>
          <w:lang w:val="en-US"/>
        </w:rPr>
        <w:t>(Mdee et al., 2018; Wali, U.G., 2013)</w:t>
      </w:r>
      <w:r w:rsidR="00320EBB">
        <w:rPr>
          <w:lang w:val="en-US"/>
        </w:rPr>
        <w:fldChar w:fldCharType="end"/>
      </w:r>
      <w:r w:rsidR="00320EBB">
        <w:rPr>
          <w:lang w:val="en-US"/>
        </w:rPr>
        <w:t xml:space="preserve">, a hose level was used for estimation of the river head at the selected location. The unavailability of a pressure gauge for use with the hose necessitated relying on the basic hose-level method for low-head rivers as recorded in </w:t>
      </w:r>
      <w:r w:rsidR="00320EBB">
        <w:rPr>
          <w:lang w:val="en-US"/>
        </w:rPr>
        <w:fldChar w:fldCharType="begin" w:fldLock="1"/>
      </w:r>
      <w:r w:rsidR="00320EBB">
        <w:rPr>
          <w:lang w:val="en-US"/>
        </w:rPr>
        <w:instrText>ADDIN CSL_CITATION {"citationItems":[{"id":"ITEM-1","itemData":{"author":[{"dropping-particle":"","family":"Mdee","given":"O J","non-dropping-particle":"","parse-names":false,"suffix":""},{"dropping-particle":"","family":"Kimambo","given":"C Z","non-dropping-particle":"","parse-names":false,"suffix":""},{"dropping-particle":"","family":"Nielsen","given":"T K","non-dropping-particle":"","parse-names":false,"suffix":""},{"dropping-particle":"","family":"Kihedu","given":"J","non-dropping-particle":"","parse-names":false,"suffix":""}],"id":"ITEM-1","issued":{"date-parts":[["2018"]]},"page":"21-38","title":"Measurement methods for hydropower resources : a review","type":"article-journal"},"uris":["http://www.mendeley.com/documents/?uuid=bb7a4989-f7a4-4be8-8731-0cca26616d3d"]}],"mendeley":{"formattedCitation":"(Mdee et al., 2018)","plainTextFormattedCitation":"(Mdee et al., 2018)","previouslyFormattedCitation":"(Mdee et al., 2018)"},"properties":{"noteIndex":0},"schema":"https://github.com/citation-style-language/schema/raw/master/csl-citation.json"}</w:instrText>
      </w:r>
      <w:r w:rsidR="00320EBB">
        <w:rPr>
          <w:lang w:val="en-US"/>
        </w:rPr>
        <w:fldChar w:fldCharType="separate"/>
      </w:r>
      <w:r w:rsidR="00320EBB" w:rsidRPr="002D44E5">
        <w:rPr>
          <w:noProof/>
          <w:lang w:val="en-US"/>
        </w:rPr>
        <w:t>(Mdee et al., 2018)</w:t>
      </w:r>
      <w:r w:rsidR="00320EBB">
        <w:rPr>
          <w:lang w:val="en-US"/>
        </w:rPr>
        <w:fldChar w:fldCharType="end"/>
      </w:r>
      <w:r w:rsidR="00320EBB">
        <w:rPr>
          <w:lang w:val="en-US"/>
        </w:rPr>
        <w:t>, in which the hose was submerged except for its ends. Both ends were raised and the height difference between the water columns in each hose w</w:t>
      </w:r>
      <w:r>
        <w:rPr>
          <w:lang w:val="en-US"/>
        </w:rPr>
        <w:t>as</w:t>
      </w:r>
      <w:r w:rsidR="00320EBB">
        <w:rPr>
          <w:lang w:val="en-US"/>
        </w:rPr>
        <w:t xml:space="preserve"> noted. Several trials were needed for this particular exercise and it was performed with a ten-yard hose with a partner at the river at both locations. In the process of entering the river, it was discovered that the bottom of the river was not of hard rock but of mud which suggests that dredging will be an economically-feasible p</w:t>
      </w:r>
      <w:r w:rsidR="002F4348">
        <w:rPr>
          <w:lang w:val="en-US"/>
        </w:rPr>
        <w:t>roject where necessary. Figure 3</w:t>
      </w:r>
      <w:r w:rsidR="00320EBB">
        <w:rPr>
          <w:lang w:val="en-US"/>
        </w:rPr>
        <w:t>.1</w:t>
      </w:r>
      <w:r w:rsidR="002F4348">
        <w:rPr>
          <w:lang w:val="en-US"/>
        </w:rPr>
        <w:t>7</w:t>
      </w:r>
      <w:r w:rsidR="00320EBB">
        <w:rPr>
          <w:lang w:val="en-US"/>
        </w:rPr>
        <w:t xml:space="preserve"> shows the illustration of the head estimation method used at the river with hose and metric measuring instruments.</w:t>
      </w:r>
    </w:p>
    <w:p w14:paraId="2112F60A" w14:textId="77777777" w:rsidR="00320EBB" w:rsidRDefault="00320EBB" w:rsidP="00320EBB">
      <w:pPr>
        <w:spacing w:line="480" w:lineRule="auto"/>
        <w:jc w:val="center"/>
        <w:rPr>
          <w:lang w:val="en-US"/>
        </w:rPr>
      </w:pPr>
      <w:r w:rsidRPr="00F12BC0">
        <w:rPr>
          <w:noProof/>
          <w:lang w:val="en-US"/>
        </w:rPr>
        <w:drawing>
          <wp:inline distT="0" distB="0" distL="0" distR="0" wp14:anchorId="2F60E436" wp14:editId="331FA5EA">
            <wp:extent cx="4792133" cy="3458979"/>
            <wp:effectExtent l="0" t="0" r="889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5611" cy="3461490"/>
                    </a:xfrm>
                    <a:prstGeom prst="rect">
                      <a:avLst/>
                    </a:prstGeom>
                    <a:noFill/>
                    <a:ln>
                      <a:noFill/>
                    </a:ln>
                  </pic:spPr>
                </pic:pic>
              </a:graphicData>
            </a:graphic>
          </wp:inline>
        </w:drawing>
      </w:r>
    </w:p>
    <w:p w14:paraId="6F75B0E0" w14:textId="2FA2E0EB" w:rsidR="00320EBB" w:rsidRDefault="00320EBB" w:rsidP="00320EBB">
      <w:pPr>
        <w:spacing w:line="480" w:lineRule="auto"/>
        <w:jc w:val="center"/>
        <w:rPr>
          <w:b/>
          <w:sz w:val="20"/>
          <w:szCs w:val="20"/>
          <w:lang w:val="en-US"/>
        </w:rPr>
      </w:pPr>
      <w:r>
        <w:rPr>
          <w:b/>
          <w:sz w:val="20"/>
          <w:szCs w:val="20"/>
          <w:lang w:val="en-US"/>
        </w:rPr>
        <w:t xml:space="preserve">Figure </w:t>
      </w:r>
      <w:r w:rsidR="00A34F9A">
        <w:rPr>
          <w:b/>
          <w:sz w:val="20"/>
          <w:szCs w:val="20"/>
          <w:lang w:val="en-US"/>
        </w:rPr>
        <w:t>3.17</w:t>
      </w:r>
      <w:r>
        <w:rPr>
          <w:b/>
          <w:sz w:val="20"/>
          <w:szCs w:val="20"/>
          <w:lang w:val="en-US"/>
        </w:rPr>
        <w:t xml:space="preserve"> – Hose-Level Method Used in Head Estimation in the Study</w:t>
      </w:r>
      <w:r>
        <w:rPr>
          <w:b/>
          <w:sz w:val="20"/>
          <w:szCs w:val="20"/>
          <w:lang w:val="en-US"/>
        </w:rPr>
        <w:fldChar w:fldCharType="begin" w:fldLock="1"/>
      </w:r>
      <w:r>
        <w:rPr>
          <w:b/>
          <w:sz w:val="20"/>
          <w:szCs w:val="20"/>
          <w:lang w:val="en-US"/>
        </w:rPr>
        <w:instrText>ADDIN CSL_CITATION {"citationItems":[{"id":"ITEM-1","itemData":{"author":[{"dropping-particle":"","family":"Mdee","given":"O J","non-dropping-particle":"","parse-names":false,"suffix":""},{"dropping-particle":"","family":"Kimambo","given":"C Z","non-dropping-particle":"","parse-names":false,"suffix":""},{"dropping-particle":"","family":"Nielsen","given":"T K","non-dropping-particle":"","parse-names":false,"suffix":""},{"dropping-particle":"","family":"Kihedu","given":"J","non-dropping-particle":"","parse-names":false,"suffix":""}],"id":"ITEM-1","issued":{"date-parts":[["2018"]]},"page":"21-38","title":"Measurement methods for hydropower resources : a review","type":"article-journal"},"uris":["http://www.mendeley.com/documents/?uuid=bb7a4989-f7a4-4be8-8731-0cca26616d3d"]}],"mendeley":{"formattedCitation":"(Mdee et al., 2018)","plainTextFormattedCitation":"(Mdee et al., 2018)","previouslyFormattedCitation":"(Mdee et al., 2018)"},"properties":{"noteIndex":0},"schema":"https://github.com/citation-style-language/schema/raw/master/csl-citation.json"}</w:instrText>
      </w:r>
      <w:r>
        <w:rPr>
          <w:b/>
          <w:sz w:val="20"/>
          <w:szCs w:val="20"/>
          <w:lang w:val="en-US"/>
        </w:rPr>
        <w:fldChar w:fldCharType="separate"/>
      </w:r>
      <w:r w:rsidRPr="002D44E5">
        <w:rPr>
          <w:noProof/>
          <w:sz w:val="20"/>
          <w:szCs w:val="20"/>
          <w:lang w:val="en-US"/>
        </w:rPr>
        <w:t>(Mdee et al., 2018)</w:t>
      </w:r>
      <w:r>
        <w:rPr>
          <w:b/>
          <w:sz w:val="20"/>
          <w:szCs w:val="20"/>
          <w:lang w:val="en-US"/>
        </w:rPr>
        <w:fldChar w:fldCharType="end"/>
      </w:r>
      <w:r>
        <w:rPr>
          <w:b/>
          <w:sz w:val="20"/>
          <w:szCs w:val="20"/>
          <w:lang w:val="en-US"/>
        </w:rPr>
        <w:t>.</w:t>
      </w:r>
    </w:p>
    <w:p w14:paraId="110F7A03" w14:textId="457E8FF0" w:rsidR="00320EBB" w:rsidRDefault="00320EBB" w:rsidP="00320EBB">
      <w:pPr>
        <w:spacing w:line="480" w:lineRule="auto"/>
        <w:rPr>
          <w:lang w:val="en-US"/>
        </w:rPr>
      </w:pPr>
      <w:r>
        <w:rPr>
          <w:lang w:val="en-US"/>
        </w:rPr>
        <w:t>The measurements at the river were taken in February 2022, well</w:t>
      </w:r>
      <w:r w:rsidR="000F0ABB">
        <w:rPr>
          <w:lang w:val="en-US"/>
        </w:rPr>
        <w:t xml:space="preserve"> </w:t>
      </w:r>
      <w:r>
        <w:rPr>
          <w:lang w:val="en-US"/>
        </w:rPr>
        <w:t>within the dry/harmattan season. On one hand, this made the river tame enough to be safely interacted with, and on the other hand, the measurements thus obtained are not representative of the yearly cycle of the river. However, with the aid of assistants at the river, the extent of the Osin River when in flood w</w:t>
      </w:r>
      <w:r w:rsidR="000F0ABB">
        <w:rPr>
          <w:lang w:val="en-US"/>
        </w:rPr>
        <w:t>as</w:t>
      </w:r>
      <w:r>
        <w:rPr>
          <w:lang w:val="en-US"/>
        </w:rPr>
        <w:t xml:space="preserve"> established and also accounted for by developing a heuristic model of its yearly flow. By consulting </w:t>
      </w:r>
      <w:r>
        <w:rPr>
          <w:lang w:val="en-US"/>
        </w:rPr>
        <w:fldChar w:fldCharType="begin" w:fldLock="1"/>
      </w:r>
      <w:r>
        <w:rPr>
          <w:lang w:val="en-US"/>
        </w:rPr>
        <w:instrText>ADDIN CSL_CITATION {"citationItems":[{"id":"ITEM-1","itemData":{"DOI":"10.1016/j.segan.2021.100499","ISSN":"23524677","abstract":"For deterministic hydropower scheduling problems, the modeling plays a more crucial role than algorithms or methods in handling real-world industrial challenges that shift engineers face. This paper presents a hydropower scheduling model that prioritizes multiple objectives and takes into account constraints on the plant-based operating zones, day-ahead transactional energy, water level targets, as well as the wind and solar powers integrated so as to analyze their impacts on the hydropower scheduling. The model is applied to the Lancang River, which, with 11 cascaded reservoirs involved, presents a large-scale hydropower system. Typically, it takes about 4 s for the CPLEX 12.6 Solver to find the optimum for a quarter-hourly hydropower scheduling during a day. The case studies show that integrating the wind and solar powers into the power systems will make hydro-plants fluctuate in generation and put in generating capacity more in dry seasons than in wet seasons, causing loss of hydropower generating efficiency and increase of turbine maintenance pressure in dry seasons.","author":[{"dropping-particle":"","family":"Xie","given":"Mengfei","non-dropping-particle":"","parse-names":false,"suffix":""},{"dropping-particle":"","family":"Cheng","given":"Xianliang","non-dropping-particle":"","parse-names":false,"suffix":""},{"dropping-particle":"","family":"Cai","given":"Huaxiang","non-dropping-particle":"","parse-names":false,"suffix":""},{"dropping-particle":"","family":"Wang","given":"Jinwen","non-dropping-particle":"","parse-names":false,"suffix":""},{"dropping-particle":"","family":"Liu","given":"Shuangquan","non-dropping-particle":"","parse-names":false,"suffix":""},{"dropping-particle":"","family":"Chen","given":"Qinggui","non-dropping-particle":"","parse-names":false,"suffix":""},{"dropping-particle":"","family":"Liu","given":"Xiangrui","non-dropping-particle":"","parse-names":false,"suffix":""}],"container-title":"Sustainable Energy, Grids and Networks","id":"ITEM-1","issued":{"date-parts":[["2021"]]},"page":"100499","publisher":"Elsevier Ltd","title":"A hydropower scheduling model to analyze the impacts from integrated wind and solar powers","type":"article-journal","volume":"27"},"uris":["http://www.mendeley.com/documents/?uuid=af758cde-8c54-48b5-809b-3194832edc5b"]},{"id":"ITEM-2","itemData":{"DOI":"10.11648/j.epes.20211002.12","ISSN":"2326-912X","abstract":"Micro hydropower helps the rural areas to supply power with off grid electrification. This study deals with the design of micro hydropower scheme in Gobecho kebele, Genale Dawa river basin, Ethiopia. The site for the construction of diversion weir is located upstream of the Ganga river in the kebele. The design were implemented based on the available hydrological data collected from 1991 to 2020 river discharge at different stations by selecting the one, which is near to the Gobecho catchment. Ererti is a station geographically near to Gobecho catchment by using GIS 10.7 application. The Gobecho peak probable discharge of 3.503m 3 /s is computed using log normal distribution after L-moment analysis. Based on this peak discharge, vertical drop weir and components of headwork structure designed and provided relevant dimensions. The proposed vertical drop weir has a height of 0.703m, crest length 10m and the design flow for a hydropower scheme is 0.132m 3 /s estimated by FDC. The water passes through trapezoidal power canal of a 0.35m width and a 0.43 height to a forebay tank. A forebay of size 9 × 1.3 × 1.7 is provided at the end of the power canal. Moreover, the water leads from forebay to a 0.24m diameter of penstock running one unit turbine and capacity of 25kw. The selected type of turbine for proposed plant is cross flow turbine. Finally, the quantity of calculated estimate cost is 50,000 USD and the B/C ratio of 1.48 provided for this micro hydropower project.","author":[{"dropping-particle":"","family":"Ayalew","given":"Abebe Temesgen","non-dropping-particle":"","parse-names":false,"suffix":""}],"container-title":"American Journal of Electrical Power and Energy Systems","id":"ITEM-2","issue":"2","issued":{"date-parts":[["2021"]]},"page":"25","title":"Assessment of Power Compeers Prospective of Gobecho Micro Hydropower Plant on Ganga River, Genale Dawa River Basin, Ethiopia","type":"article-journal","volume":"10"},"uris":["http://www.mendeley.com/documents/?uuid=c14322e5-07fa-3da1-a4d8-af2293afc6f5"]},{"id":"ITEM-3","itemData":{"DOI":"10.1016/J.HELIYON.2021.E06980","ISSN":"2405-8440","abstract":"The Pra river catchment in Ghana is adversely affected by perennial flooding from high-intensity rainfall events. To aid in flood management at the catchment, the Gumbel extreme value distribution has been used to estimate the return periods of maxima rainfall, flood, and consecutive dry and wet days (CDD and CWD) for a period of 5 to 100 years. The results revealed an expected increase in maxima rainfall, CDD and CWD. Maxima rainfall favours the south of the catchment while the CDD decreases northward. Furthermore, an increase in the magnitude of CWD observed at the centre of the catchment had a maximum of approximately 30 days for the 100 year return period, while lower flood volumes had a higher recurrence of 50% to 100% for 1 to 2 year return periods. The inclusion of a projected increase in anthropogenic activities and climate factors at the catchment will slightly affect the magnitude of these variables for the various return periods. Nonetheless, the findings in this study will be of essential input to policy implementation of the Integrated Water Resource Management Plan for river catchments in Ghana, West Africa.","author":[{"dropping-particle":"","family":"Osei","given":"Marian Amoakowaah","non-dropping-particle":"","parse-names":false,"suffix":""},{"dropping-particle":"","family":"Amekudzi","given":"Leonard Kofitse","non-dropping-particle":"","parse-names":false,"suffix":""},{"dropping-particle":"","family":"Omari-Sasu","given":"Akoto Yaw","non-dropping-particle":"","parse-names":false,"suffix":""},{"dropping-particle":"","family":"Yamba","given":"Edmund Ilimoan","non-dropping-particle":"","parse-names":false,"suffix":""},{"dropping-particle":"","family":"Quansah","given":"Emmanuel","non-dropping-particle":"","parse-names":false,"suffix":""},{"dropping-particle":"","family":"Aryee","given":"Jeffrey N.A.","non-dropping-particle":"","parse-names":false,"suffix":""},{"dropping-particle":"","family":"Preko","given":"Kwasi","non-dropping-particle":"","parse-names":false,"suffix":""}],"container-title":"Heliyon","id":"ITEM-3","issue":"5","issued":{"date-parts":[["2021","5","1"]]},"page":"e06980","publisher":"Elsevier","title":"Estimation of the return periods of maxima rainfall and floods at the Pra River Catchment, Ghana, West Africa using the Gumbel extreme value theory","type":"article-journal","volume":"7"},"uris":["http://www.mendeley.com/documents/?uuid=d48ffe18-6c07-3157-b8c6-38fcafbe187f"]}],"mendeley":{"formattedCitation":"(Ayalew, 2021; Osei et al., 2021; M. Xie et al., 2021)","plainTextFormattedCitation":"(Ayalew, 2021; Osei et al., 2021; M. Xie et al., 2021)","previouslyFormattedCitation":"(Ayalew, 2021; Osei et al., 2021; M. Xie et al., 2021)"},"properties":{"noteIndex":0},"schema":"https://github.com/citation-style-language/schema/raw/master/csl-citation.json"}</w:instrText>
      </w:r>
      <w:r>
        <w:rPr>
          <w:lang w:val="en-US"/>
        </w:rPr>
        <w:fldChar w:fldCharType="separate"/>
      </w:r>
      <w:r w:rsidRPr="005357FC">
        <w:rPr>
          <w:noProof/>
          <w:lang w:val="en-US"/>
        </w:rPr>
        <w:t>(Ayalew, 2021; Osei et al., 2021; M. Xie et al., 2021)</w:t>
      </w:r>
      <w:r>
        <w:rPr>
          <w:lang w:val="en-US"/>
        </w:rPr>
        <w:fldChar w:fldCharType="end"/>
      </w:r>
      <w:r>
        <w:rPr>
          <w:lang w:val="en-US"/>
        </w:rPr>
        <w:t xml:space="preserve">, a pattern for the estimation of the river flow uncertainty using the precipitation data of the location was developed which enabled the monthly volume variation of the river to be established with </w:t>
      </w:r>
      <w:r w:rsidR="000F0ABB">
        <w:rPr>
          <w:lang w:val="en-US"/>
        </w:rPr>
        <w:t xml:space="preserve">a </w:t>
      </w:r>
      <w:r>
        <w:rPr>
          <w:lang w:val="en-US"/>
        </w:rPr>
        <w:t xml:space="preserve">reasonable level of accuracy as the measurements were taken based on the topography of the river bank and observing the health of the reeds along the river to show the relative presence of water along the river bank.  </w:t>
      </w:r>
    </w:p>
    <w:p w14:paraId="3D5586DD" w14:textId="56D1FBD5" w:rsidR="00320EBB" w:rsidRDefault="00320EBB" w:rsidP="00320EBB">
      <w:pPr>
        <w:spacing w:line="480" w:lineRule="auto"/>
        <w:rPr>
          <w:lang w:val="en-US"/>
        </w:rPr>
      </w:pPr>
      <w:r>
        <w:rPr>
          <w:lang w:val="en-US"/>
        </w:rPr>
        <w:t>By combining the multiple various observations from the river location, including those who spend much time around the river, by analyzing the precipitation data, and interpolating from the results of models used in hydrological studies such</w:t>
      </w:r>
      <w:r w:rsidR="000F0ABB">
        <w:rPr>
          <w:lang w:val="en-US"/>
        </w:rPr>
        <w:t xml:space="preserve"> as</w:t>
      </w:r>
      <w:r>
        <w:rPr>
          <w:lang w:val="en-US"/>
        </w:rPr>
        <w:t xml:space="preserve"> </w:t>
      </w:r>
      <w:r>
        <w:rPr>
          <w:lang w:val="en-US"/>
        </w:rPr>
        <w:fldChar w:fldCharType="begin" w:fldLock="1"/>
      </w:r>
      <w:r>
        <w:rPr>
          <w:lang w:val="en-US"/>
        </w:rPr>
        <w:instrText>ADDIN CSL_CITATION {"citationItems":[{"id":"ITEM-1","itemData":{"DOI":"10.11648/j.epes.20211002.12","ISSN":"2326-912X","abstract":"Micro hydropower helps the rural areas to supply power with off grid electrification. This study deals with the design of micro hydropower scheme in Gobecho kebele, Genale Dawa river basin, Ethiopia. The site for the construction of diversion weir is located upstream of the Ganga river in the kebele. The design were implemented based on the available hydrological data collected from 1991 to 2020 river discharge at different stations by selecting the one, which is near to the Gobecho catchment. Ererti is a station geographically near to Gobecho catchment by using GIS 10.7 application. The Gobecho peak probable discharge of 3.503m 3 /s is computed using log normal distribution after L-moment analysis. Based on this peak discharge, vertical drop weir and components of headwork structure designed and provided relevant dimensions. The proposed vertical drop weir has a height of 0.703m, crest length 10m and the design flow for a hydropower scheme is 0.132m 3 /s estimated by FDC. The water passes through trapezoidal power canal of a 0.35m width and a 0.43 height to a forebay tank. A forebay of size 9 × 1.3 × 1.7 is provided at the end of the power canal. Moreover, the water leads from forebay to a 0.24m diameter of penstock running one unit turbine and capacity of 25kw. The selected type of turbine for proposed plant is cross flow turbine. Finally, the quantity of calculated estimate cost is 50,000 USD and the B/C ratio of 1.48 provided for this micro hydropower project.","author":[{"dropping-particle":"","family":"Ayalew","given":"Abebe Temesgen","non-dropping-particle":"","parse-names":false,"suffix":""}],"container-title":"American Journal of Electrical Power and Energy Systems","id":"ITEM-1","issue":"2","issued":{"date-parts":[["2021"]]},"page":"25","title":"Assessment of Power Compeers Prospective of Gobecho Micro Hydropower Plant on Ganga River, Genale Dawa River Basin, Ethiopia","type":"article-journal","volume":"10"},"uris":["http://www.mendeley.com/documents/?uuid=c14322e5-07fa-3da1-a4d8-af2293afc6f5"]}],"mendeley":{"formattedCitation":"(Ayalew, 2021)","plainTextFormattedCitation":"(Ayalew, 2021)","previouslyFormattedCitation":"(Ayalew, 2021)"},"properties":{"noteIndex":0},"schema":"https://github.com/citation-style-language/schema/raw/master/csl-citation.json"}</w:instrText>
      </w:r>
      <w:r>
        <w:rPr>
          <w:lang w:val="en-US"/>
        </w:rPr>
        <w:fldChar w:fldCharType="separate"/>
      </w:r>
      <w:r w:rsidRPr="002D44E5">
        <w:rPr>
          <w:noProof/>
          <w:lang w:val="en-US"/>
        </w:rPr>
        <w:t>(Ayalew, 2021)</w:t>
      </w:r>
      <w:r>
        <w:rPr>
          <w:lang w:val="en-US"/>
        </w:rPr>
        <w:fldChar w:fldCharType="end"/>
      </w:r>
      <w:r>
        <w:rPr>
          <w:lang w:val="en-US"/>
        </w:rPr>
        <w:t>, the monthly river flow to represent an entire yearly cycle was estimated heuristically and speed variations were also introduced by numerical modelling, knowing that the depth of the river and its speed of flow were related. The width of the river was measured at points where it was narrow enough to be directly measured, by attaching a floating object to the end of the tape and casting the tape with a slight upstream inclination to compensate for the downstream drift. At most points, the river could not be measured directly due to its significant depth, thus the maximum obtained depth for safety purposes was used. This implies that the river is at least as deep as the recorded measurements at both points where it was gauged.</w:t>
      </w:r>
    </w:p>
    <w:p w14:paraId="152392CC" w14:textId="667101BC" w:rsidR="00320EBB" w:rsidRDefault="00270E58" w:rsidP="00320EBB">
      <w:pPr>
        <w:pStyle w:val="Heading3"/>
        <w:spacing w:line="480" w:lineRule="auto"/>
      </w:pPr>
      <w:bookmarkStart w:id="62" w:name="_Toc110502600"/>
      <w:r>
        <w:t>3.7</w:t>
      </w:r>
      <w:r w:rsidR="00D73FD5">
        <w:t>.3</w:t>
      </w:r>
      <w:r w:rsidR="00320EBB">
        <w:t xml:space="preserve"> Economic Data and Cost Information</w:t>
      </w:r>
      <w:bookmarkEnd w:id="62"/>
    </w:p>
    <w:p w14:paraId="77B5CC94" w14:textId="5657A83C" w:rsidR="00320EBB" w:rsidRDefault="00320EBB" w:rsidP="00320EBB">
      <w:pPr>
        <w:spacing w:line="480" w:lineRule="auto"/>
        <w:rPr>
          <w:lang w:val="en-US"/>
        </w:rPr>
      </w:pPr>
      <w:r>
        <w:rPr>
          <w:lang w:val="en-US"/>
        </w:rPr>
        <w:t xml:space="preserve">Certain information, such as the cost of fuels such as diesel at the time of study </w:t>
      </w:r>
      <w:r w:rsidR="000F0ABB">
        <w:rPr>
          <w:lang w:val="en-US"/>
        </w:rPr>
        <w:t>is</w:t>
      </w:r>
      <w:r>
        <w:rPr>
          <w:lang w:val="en-US"/>
        </w:rPr>
        <w:t xml:space="preserve"> common knowledge and ha</w:t>
      </w:r>
      <w:r w:rsidR="000F0ABB">
        <w:rPr>
          <w:lang w:val="en-US"/>
        </w:rPr>
        <w:t>s</w:t>
      </w:r>
      <w:r>
        <w:rPr>
          <w:lang w:val="en-US"/>
        </w:rPr>
        <w:t xml:space="preserve"> been gathered directly in the locality and used without citation, especially since </w:t>
      </w:r>
      <w:r w:rsidR="000F0ABB">
        <w:rPr>
          <w:lang w:val="en-US"/>
        </w:rPr>
        <w:t xml:space="preserve">it is not </w:t>
      </w:r>
      <w:r>
        <w:rPr>
          <w:lang w:val="en-US"/>
        </w:rPr>
        <w:t xml:space="preserve">fixed. However, the prices used are representative of a realistic range of costs. The prices of generating sets of various sizes/capacities were gathered by a market survey. For capacities which are not common, direct quotations of price from manufacturing companies had to be obtained where possible. </w:t>
      </w:r>
      <w:r w:rsidR="000F0ABB">
        <w:rPr>
          <w:lang w:val="en-US"/>
        </w:rPr>
        <w:t>An i</w:t>
      </w:r>
      <w:r>
        <w:rPr>
          <w:lang w:val="en-US"/>
        </w:rPr>
        <w:t xml:space="preserve">nflation rate of 10%, which is both conservative and optimistic, is used in the economic analysis as </w:t>
      </w:r>
      <w:r w:rsidR="000F0ABB">
        <w:rPr>
          <w:lang w:val="en-US"/>
        </w:rPr>
        <w:t xml:space="preserve">the </w:t>
      </w:r>
      <w:r>
        <w:rPr>
          <w:lang w:val="en-US"/>
        </w:rPr>
        <w:t>inflation rate is not constant in Nigeria. US Dollars were used for the economic computations and expression of prices and costs, as the dollar is a well-known benchmark currency used in such studies even by prev</w:t>
      </w:r>
      <w:r w:rsidR="001C0942">
        <w:rPr>
          <w:lang w:val="en-US"/>
        </w:rPr>
        <w:t>ious Nigerian research efforts.</w:t>
      </w:r>
    </w:p>
    <w:p w14:paraId="5F632768" w14:textId="44C42325" w:rsidR="00357534" w:rsidRDefault="00010A12" w:rsidP="00320EBB">
      <w:pPr>
        <w:spacing w:line="480" w:lineRule="auto"/>
        <w:rPr>
          <w:lang w:val="en-US"/>
        </w:rPr>
      </w:pPr>
      <w:r>
        <w:rPr>
          <w:lang w:val="en-US"/>
        </w:rPr>
        <w:t>The climactic and meteorological data</w:t>
      </w:r>
      <w:r w:rsidR="006128C4">
        <w:rPr>
          <w:lang w:val="en-US"/>
        </w:rPr>
        <w:t xml:space="preserve"> for Arandun</w:t>
      </w:r>
      <w:r w:rsidR="00881424">
        <w:rPr>
          <w:lang w:val="en-US"/>
        </w:rPr>
        <w:t xml:space="preserve">, </w:t>
      </w:r>
      <w:r w:rsidR="006128C4">
        <w:rPr>
          <w:lang w:val="en-US"/>
        </w:rPr>
        <w:t>(</w:t>
      </w:r>
      <w:r w:rsidR="00881424">
        <w:rPr>
          <w:lang w:val="en-US"/>
        </w:rPr>
        <w:t>excluding hydrological data</w:t>
      </w:r>
      <w:r w:rsidR="006128C4">
        <w:rPr>
          <w:lang w:val="en-US"/>
        </w:rPr>
        <w:t>)</w:t>
      </w:r>
      <w:r>
        <w:rPr>
          <w:lang w:val="en-US"/>
        </w:rPr>
        <w:t xml:space="preserve"> to be used in the study </w:t>
      </w:r>
      <w:r w:rsidR="00F3161B">
        <w:rPr>
          <w:lang w:val="en-US"/>
        </w:rPr>
        <w:t>were sourced</w:t>
      </w:r>
      <w:r>
        <w:rPr>
          <w:lang w:val="en-US"/>
        </w:rPr>
        <w:t xml:space="preserve"> from the extensive dataset curated by the Prediction of Worldwide Energy Resources (POWER) project which is under the aegis of the National Aeronautics and Space Administration (NASA).</w:t>
      </w:r>
      <w:r w:rsidR="00357534">
        <w:rPr>
          <w:lang w:val="en-US"/>
        </w:rPr>
        <w:t xml:space="preserve"> </w:t>
      </w:r>
    </w:p>
    <w:p w14:paraId="340443E3" w14:textId="53C22E73" w:rsidR="00493E02" w:rsidRDefault="00270E58" w:rsidP="00F03645">
      <w:pPr>
        <w:pStyle w:val="Heading3"/>
        <w:spacing w:line="480" w:lineRule="auto"/>
      </w:pPr>
      <w:bookmarkStart w:id="63" w:name="_Toc110502601"/>
      <w:r>
        <w:t>3.8</w:t>
      </w:r>
      <w:r w:rsidR="00493E02">
        <w:t xml:space="preserve"> </w:t>
      </w:r>
      <w:r w:rsidR="004B7FDA">
        <w:t>RESEARCH INSTRUMENTS/TOOLS</w:t>
      </w:r>
      <w:bookmarkEnd w:id="63"/>
    </w:p>
    <w:p w14:paraId="49A697E4" w14:textId="75F2EC8F" w:rsidR="003154F1" w:rsidRDefault="003154F1" w:rsidP="00F03645">
      <w:pPr>
        <w:spacing w:line="480" w:lineRule="auto"/>
        <w:rPr>
          <w:lang w:val="en-US"/>
        </w:rPr>
      </w:pPr>
      <w:r>
        <w:rPr>
          <w:lang w:val="en-US"/>
        </w:rPr>
        <w:t>For the feasibility study</w:t>
      </w:r>
      <w:r w:rsidR="006370C5">
        <w:rPr>
          <w:lang w:val="en-US"/>
        </w:rPr>
        <w:t xml:space="preserve"> of the proposed microgrid</w:t>
      </w:r>
      <w:r>
        <w:rPr>
          <w:lang w:val="en-US"/>
        </w:rPr>
        <w:t xml:space="preserve">, HOMER software </w:t>
      </w:r>
      <w:r w:rsidR="00CD2DAA">
        <w:rPr>
          <w:lang w:val="en-US"/>
        </w:rPr>
        <w:t>was</w:t>
      </w:r>
      <w:r>
        <w:rPr>
          <w:lang w:val="en-US"/>
        </w:rPr>
        <w:t xml:space="preserve"> used. HOMER stands for Hybrid Optimization of Multiple Energy Resources. It is used to optimize the design of systems which include multiple energy resources, such as microgrids. HOMER has found application in the design and evaluation of renewable energy systems, including </w:t>
      </w:r>
      <w:r w:rsidR="000F0ABB">
        <w:rPr>
          <w:lang w:val="en-US"/>
        </w:rPr>
        <w:t xml:space="preserve">the </w:t>
      </w:r>
      <w:r>
        <w:rPr>
          <w:lang w:val="en-US"/>
        </w:rPr>
        <w:t xml:space="preserve">economic analysis. HOMER takes input about the location of the project, </w:t>
      </w:r>
      <w:r w:rsidR="000F0ABB">
        <w:rPr>
          <w:lang w:val="en-US"/>
        </w:rPr>
        <w:t xml:space="preserve">and </w:t>
      </w:r>
      <w:r>
        <w:rPr>
          <w:lang w:val="en-US"/>
        </w:rPr>
        <w:t>the cost of components to be used, and helps in speeding up the solution of optimal design problems for microgrids.</w:t>
      </w:r>
      <w:r w:rsidR="00D95AF5">
        <w:rPr>
          <w:lang w:val="en-US"/>
        </w:rPr>
        <w:t xml:space="preserve"> </w:t>
      </w:r>
      <w:r w:rsidR="00710A58">
        <w:rPr>
          <w:lang w:val="en-US"/>
        </w:rPr>
        <w:t>For the stream</w:t>
      </w:r>
      <w:r w:rsidR="000F0ABB">
        <w:rPr>
          <w:lang w:val="en-US"/>
        </w:rPr>
        <w:t xml:space="preserve"> </w:t>
      </w:r>
      <w:r w:rsidR="00710A58">
        <w:rPr>
          <w:lang w:val="en-US"/>
        </w:rPr>
        <w:t>gauging effort, a stopwatch, a set of floating objects, a human assistant, a 10-yard hose, and a measuring tape were involved. A depth gauge was improvised from straight rods.</w:t>
      </w:r>
    </w:p>
    <w:p w14:paraId="171DEE0E" w14:textId="0E565A27" w:rsidR="003154F1" w:rsidRDefault="003154F1" w:rsidP="00F03645">
      <w:pPr>
        <w:spacing w:line="480" w:lineRule="auto"/>
        <w:rPr>
          <w:lang w:val="en-US"/>
        </w:rPr>
      </w:pPr>
      <w:r>
        <w:rPr>
          <w:lang w:val="en-US"/>
        </w:rPr>
        <w:t>For the modelling and simulation, DigSILENT</w:t>
      </w:r>
      <w:r w:rsidR="00F30195">
        <w:rPr>
          <w:lang w:val="en-US"/>
        </w:rPr>
        <w:t>’s</w:t>
      </w:r>
      <w:r>
        <w:rPr>
          <w:lang w:val="en-US"/>
        </w:rPr>
        <w:t xml:space="preserve"> PowerFactory</w:t>
      </w:r>
      <w:r w:rsidR="002673A7">
        <w:rPr>
          <w:lang w:val="en-US"/>
        </w:rPr>
        <w:t xml:space="preserve"> software</w:t>
      </w:r>
      <w:r>
        <w:rPr>
          <w:lang w:val="en-US"/>
        </w:rPr>
        <w:t xml:space="preserve"> </w:t>
      </w:r>
      <w:r w:rsidR="00C57308">
        <w:rPr>
          <w:lang w:val="en-US"/>
        </w:rPr>
        <w:t xml:space="preserve">was </w:t>
      </w:r>
      <w:r>
        <w:rPr>
          <w:lang w:val="en-US"/>
        </w:rPr>
        <w:t>used. PowerFactory has been used by several researchers and industry professionals to design, model, and simulate power systems ra</w:t>
      </w:r>
      <w:r w:rsidR="00F30195">
        <w:rPr>
          <w:lang w:val="en-US"/>
        </w:rPr>
        <w:t xml:space="preserve">nging from load flow analysis, contingency analysis, </w:t>
      </w:r>
      <w:r w:rsidR="000F0ABB">
        <w:rPr>
          <w:lang w:val="en-US"/>
        </w:rPr>
        <w:t xml:space="preserve">and </w:t>
      </w:r>
      <w:r w:rsidR="00F30195">
        <w:rPr>
          <w:lang w:val="en-US"/>
        </w:rPr>
        <w:t>electromagnetic transient analysis, to</w:t>
      </w:r>
      <w:r>
        <w:rPr>
          <w:lang w:val="en-US"/>
        </w:rPr>
        <w:t xml:space="preserve"> network model management, and it has the appropriate feature set to execute this study.</w:t>
      </w:r>
      <w:r w:rsidR="00F30195">
        <w:rPr>
          <w:lang w:val="en-US"/>
        </w:rPr>
        <w:t xml:space="preserve"> </w:t>
      </w:r>
      <w:r>
        <w:rPr>
          <w:lang w:val="en-US"/>
        </w:rPr>
        <w:t xml:space="preserve">PowerFactory has suitable </w:t>
      </w:r>
      <w:r w:rsidR="00F30195">
        <w:rPr>
          <w:lang w:val="en-US"/>
        </w:rPr>
        <w:t>inbuilt packages</w:t>
      </w:r>
      <w:r>
        <w:rPr>
          <w:lang w:val="en-US"/>
        </w:rPr>
        <w:t xml:space="preserve"> for modelling and simulation of distributed generation</w:t>
      </w:r>
      <w:r w:rsidR="00FF5F1D">
        <w:rPr>
          <w:lang w:val="en-US"/>
        </w:rPr>
        <w:t>, being built for the modelling and simulation of a wide variety of power system network types such as generation, transmission, distribution, and in this case, distributed generation</w:t>
      </w:r>
      <w:r>
        <w:rPr>
          <w:lang w:val="en-US"/>
        </w:rPr>
        <w:t>.</w:t>
      </w:r>
      <w:r w:rsidR="00FF5F1D">
        <w:rPr>
          <w:lang w:val="en-US"/>
        </w:rPr>
        <w:t xml:space="preserve"> PowerFactory is well-suited for studies involving wind power, solar power, and hydroelectric generation.</w:t>
      </w:r>
      <w:r w:rsidR="00D95AF5">
        <w:rPr>
          <w:lang w:val="en-US"/>
        </w:rPr>
        <w:t xml:space="preserve"> </w:t>
      </w:r>
      <w:r w:rsidR="00FF5F1D">
        <w:rPr>
          <w:lang w:val="en-US"/>
        </w:rPr>
        <w:t>It is user-friendly and while it is graphical for modelling and design, it has a built-in scripting language which will give flexibility to the simulations to be conducted.</w:t>
      </w:r>
    </w:p>
    <w:p w14:paraId="34213B64" w14:textId="4F822B68" w:rsidR="00FF5F1D" w:rsidRDefault="00FF5F1D" w:rsidP="00F03645">
      <w:pPr>
        <w:spacing w:line="480" w:lineRule="auto"/>
        <w:rPr>
          <w:lang w:val="en-US"/>
        </w:rPr>
      </w:pPr>
      <w:r>
        <w:rPr>
          <w:lang w:val="en-US"/>
        </w:rPr>
        <w:t xml:space="preserve">MATLAB is a proprietary </w:t>
      </w:r>
      <w:r w:rsidR="001E124A">
        <w:rPr>
          <w:lang w:val="en-US"/>
        </w:rPr>
        <w:t xml:space="preserve">multidisciplinary </w:t>
      </w:r>
      <w:r>
        <w:rPr>
          <w:lang w:val="en-US"/>
        </w:rPr>
        <w:t xml:space="preserve">software </w:t>
      </w:r>
      <w:r w:rsidR="000F0ABB">
        <w:rPr>
          <w:lang w:val="en-US"/>
        </w:rPr>
        <w:t xml:space="preserve">suite </w:t>
      </w:r>
      <w:r>
        <w:rPr>
          <w:lang w:val="en-US"/>
        </w:rPr>
        <w:t>f</w:t>
      </w:r>
      <w:r w:rsidR="001E124A">
        <w:rPr>
          <w:lang w:val="en-US"/>
        </w:rPr>
        <w:t xml:space="preserve">or numerical computing which has a built-in high-performance programming language, which makes it flexible for research applications. It is a highly-preferred numerical computing environment and programming language among electrical engineers, having a number of specialized toolboxes and functions for electrical and electronic system design and analysis. It </w:t>
      </w:r>
      <w:r w:rsidR="00C57308">
        <w:rPr>
          <w:lang w:val="en-US"/>
        </w:rPr>
        <w:t>was</w:t>
      </w:r>
      <w:r w:rsidR="001E124A">
        <w:rPr>
          <w:lang w:val="en-US"/>
        </w:rPr>
        <w:t xml:space="preserve"> used in this work because has a fuzzy logic toolbox which provides functions that can be used for </w:t>
      </w:r>
      <w:r w:rsidR="000F0ABB">
        <w:rPr>
          <w:lang w:val="en-US"/>
        </w:rPr>
        <w:t xml:space="preserve">the </w:t>
      </w:r>
      <w:r w:rsidR="001E124A">
        <w:rPr>
          <w:lang w:val="en-US"/>
        </w:rPr>
        <w:t xml:space="preserve">design, analysis, and simulation of fuzzy inference systems within time frames much shorter than those obtainable for </w:t>
      </w:r>
      <w:r w:rsidR="000F0ABB">
        <w:rPr>
          <w:lang w:val="en-US"/>
        </w:rPr>
        <w:t xml:space="preserve">generic programming </w:t>
      </w:r>
      <w:r w:rsidR="001E124A">
        <w:rPr>
          <w:lang w:val="en-US"/>
        </w:rPr>
        <w:t xml:space="preserve">languages such as C and C++. Also, the type of modelling carried out in power systems lends itself readily to matrix manipulation, </w:t>
      </w:r>
      <w:r w:rsidR="001B0818">
        <w:rPr>
          <w:lang w:val="en-US"/>
        </w:rPr>
        <w:t>which makes MATLAB a strong choice for use in this study.</w:t>
      </w:r>
    </w:p>
    <w:p w14:paraId="33681622" w14:textId="667502D5" w:rsidR="005B69FE" w:rsidRDefault="00270E58" w:rsidP="00F03645">
      <w:pPr>
        <w:pStyle w:val="Heading3"/>
        <w:spacing w:line="480" w:lineRule="auto"/>
      </w:pPr>
      <w:bookmarkStart w:id="64" w:name="_Toc110502602"/>
      <w:r>
        <w:t>3.9</w:t>
      </w:r>
      <w:r w:rsidR="005B69FE">
        <w:t xml:space="preserve"> </w:t>
      </w:r>
      <w:r w:rsidR="00D75724">
        <w:tab/>
      </w:r>
      <w:r w:rsidR="00710A58">
        <w:t>DATA ANALYSIS TECHNIQUES</w:t>
      </w:r>
      <w:bookmarkEnd w:id="64"/>
    </w:p>
    <w:p w14:paraId="4CF2529E" w14:textId="60A53F81" w:rsidR="006E2B17" w:rsidRDefault="003154F1" w:rsidP="00F03645">
      <w:pPr>
        <w:spacing w:line="480" w:lineRule="auto"/>
        <w:rPr>
          <w:lang w:val="en-US"/>
        </w:rPr>
      </w:pPr>
      <w:r>
        <w:rPr>
          <w:lang w:val="en-US"/>
        </w:rPr>
        <w:t xml:space="preserve">For the techno-economic analyses, the proprietary </w:t>
      </w:r>
      <w:r w:rsidR="00AE6591">
        <w:rPr>
          <w:lang w:val="en-US"/>
        </w:rPr>
        <w:t>analysis and optimisation algorithms</w:t>
      </w:r>
      <w:r>
        <w:rPr>
          <w:lang w:val="en-US"/>
        </w:rPr>
        <w:t xml:space="preserve"> in </w:t>
      </w:r>
      <w:r w:rsidR="00AE6591">
        <w:rPr>
          <w:lang w:val="en-US"/>
        </w:rPr>
        <w:t xml:space="preserve">the </w:t>
      </w:r>
      <w:r>
        <w:rPr>
          <w:lang w:val="en-US"/>
        </w:rPr>
        <w:t xml:space="preserve">HOMER </w:t>
      </w:r>
      <w:r w:rsidR="00AE6591">
        <w:rPr>
          <w:lang w:val="en-US"/>
        </w:rPr>
        <w:t>softw</w:t>
      </w:r>
      <w:r>
        <w:rPr>
          <w:lang w:val="en-US"/>
        </w:rPr>
        <w:t xml:space="preserve">are </w:t>
      </w:r>
      <w:r w:rsidR="00AE6591">
        <w:rPr>
          <w:lang w:val="en-US"/>
        </w:rPr>
        <w:t xml:space="preserve">are </w:t>
      </w:r>
      <w:r>
        <w:rPr>
          <w:lang w:val="en-US"/>
        </w:rPr>
        <w:t xml:space="preserve">trusted by </w:t>
      </w:r>
      <w:r w:rsidR="00AE6591">
        <w:rPr>
          <w:lang w:val="en-US"/>
        </w:rPr>
        <w:t xml:space="preserve">power system </w:t>
      </w:r>
      <w:r>
        <w:rPr>
          <w:lang w:val="en-US"/>
        </w:rPr>
        <w:t>r</w:t>
      </w:r>
      <w:r w:rsidR="00AE6591">
        <w:rPr>
          <w:lang w:val="en-US"/>
        </w:rPr>
        <w:t xml:space="preserve">esearchers and renewable energy project managers and </w:t>
      </w:r>
      <w:r w:rsidR="00B935BA">
        <w:rPr>
          <w:lang w:val="en-US"/>
        </w:rPr>
        <w:t>have been</w:t>
      </w:r>
      <w:r w:rsidR="00AE6591">
        <w:rPr>
          <w:lang w:val="en-US"/>
        </w:rPr>
        <w:t xml:space="preserve"> relied on. In addition, a fuzzy logic algorithm </w:t>
      </w:r>
      <w:r w:rsidR="00B935BA">
        <w:rPr>
          <w:lang w:val="en-US"/>
        </w:rPr>
        <w:t>was</w:t>
      </w:r>
      <w:r w:rsidR="00AE6591">
        <w:rPr>
          <w:lang w:val="en-US"/>
        </w:rPr>
        <w:t xml:space="preserve"> used in MATLAB for the environmental impact and acceptability analysis. </w:t>
      </w:r>
      <w:r w:rsidR="00D75724">
        <w:rPr>
          <w:lang w:val="en-US"/>
        </w:rPr>
        <w:t xml:space="preserve">MATLAB was also used for </w:t>
      </w:r>
      <w:r w:rsidR="00522135">
        <w:rPr>
          <w:lang w:val="en-US"/>
        </w:rPr>
        <w:t xml:space="preserve">data analysis and for </w:t>
      </w:r>
      <w:r w:rsidR="00D75724">
        <w:rPr>
          <w:lang w:val="en-US"/>
        </w:rPr>
        <w:t xml:space="preserve">fitting the data to the probability distributions. </w:t>
      </w:r>
      <w:r w:rsidR="00AE6591">
        <w:rPr>
          <w:lang w:val="en-US"/>
        </w:rPr>
        <w:t xml:space="preserve">For the rest of the study, the data </w:t>
      </w:r>
      <w:r w:rsidR="00B935BA">
        <w:rPr>
          <w:lang w:val="en-US"/>
        </w:rPr>
        <w:t>was</w:t>
      </w:r>
      <w:r w:rsidR="00AE6591">
        <w:rPr>
          <w:lang w:val="en-US"/>
        </w:rPr>
        <w:t xml:space="preserve"> used both for </w:t>
      </w:r>
      <w:r w:rsidR="000F0ABB">
        <w:rPr>
          <w:lang w:val="en-US"/>
        </w:rPr>
        <w:t xml:space="preserve">the </w:t>
      </w:r>
      <w:r w:rsidR="00AE6591">
        <w:rPr>
          <w:lang w:val="en-US"/>
        </w:rPr>
        <w:t>development of power system models and for simulation of the developed model in D</w:t>
      </w:r>
      <w:r w:rsidR="00F16BCE">
        <w:rPr>
          <w:lang w:val="en-US"/>
        </w:rPr>
        <w:t>IgSILENT</w:t>
      </w:r>
      <w:r w:rsidR="00AE6591">
        <w:rPr>
          <w:lang w:val="en-US"/>
        </w:rPr>
        <w:t xml:space="preserve"> PowerFactory, after which the voltage profile stability </w:t>
      </w:r>
      <w:r w:rsidR="00B935BA">
        <w:rPr>
          <w:lang w:val="en-US"/>
        </w:rPr>
        <w:t xml:space="preserve">was </w:t>
      </w:r>
      <w:r w:rsidR="00AE6591">
        <w:rPr>
          <w:lang w:val="en-US"/>
        </w:rPr>
        <w:t>determined.</w:t>
      </w:r>
    </w:p>
    <w:p w14:paraId="72864222" w14:textId="0694E678" w:rsidR="00B811AD" w:rsidRDefault="0063456C" w:rsidP="0063456C">
      <w:pPr>
        <w:pStyle w:val="Heading3"/>
        <w:numPr>
          <w:ilvl w:val="1"/>
          <w:numId w:val="8"/>
        </w:numPr>
        <w:spacing w:line="480" w:lineRule="auto"/>
        <w:jc w:val="both"/>
      </w:pPr>
      <w:r>
        <w:tab/>
      </w:r>
      <w:bookmarkStart w:id="65" w:name="_Toc110502603"/>
      <w:r w:rsidR="00710A58">
        <w:t>BRIEF PRESENTATION AND EXPLANATION O</w:t>
      </w:r>
      <w:r w:rsidR="00464A8F">
        <w:t xml:space="preserve">F </w:t>
      </w:r>
      <w:r w:rsidR="00CC3433">
        <w:t xml:space="preserve">LOAD AND STREAMFLOW </w:t>
      </w:r>
      <w:r w:rsidR="00464A8F">
        <w:t>DATA</w:t>
      </w:r>
      <w:r w:rsidR="00B811AD">
        <w:t>.</w:t>
      </w:r>
      <w:bookmarkEnd w:id="65"/>
    </w:p>
    <w:p w14:paraId="51E4E471" w14:textId="12F56B13" w:rsidR="005B60E4" w:rsidRDefault="002A325F" w:rsidP="00F03645">
      <w:pPr>
        <w:spacing w:line="480" w:lineRule="auto"/>
        <w:rPr>
          <w:lang w:val="en-US"/>
        </w:rPr>
        <w:sectPr w:rsidR="005B60E4" w:rsidSect="000A5DF8">
          <w:pgSz w:w="12240" w:h="15840"/>
          <w:pgMar w:top="1440" w:right="1440" w:bottom="1440" w:left="2160" w:header="706" w:footer="706" w:gutter="0"/>
          <w:cols w:space="708"/>
          <w:docGrid w:linePitch="360"/>
        </w:sectPr>
      </w:pPr>
      <w:r>
        <w:rPr>
          <w:lang w:val="en-US"/>
        </w:rPr>
        <w:t>The d</w:t>
      </w:r>
      <w:r w:rsidR="00B811AD">
        <w:rPr>
          <w:lang w:val="en-US"/>
        </w:rPr>
        <w:t>ata gathered are partially presented in following. Samples of month-by-month load</w:t>
      </w:r>
      <w:r w:rsidR="00D548DE">
        <w:rPr>
          <w:lang w:val="en-US"/>
        </w:rPr>
        <w:t xml:space="preserve"> data are presented in Table 3.4</w:t>
      </w:r>
      <w:r w:rsidR="00B811AD">
        <w:rPr>
          <w:lang w:val="en-US"/>
        </w:rPr>
        <w:t xml:space="preserve">. </w:t>
      </w:r>
      <w:r w:rsidR="00CC3433">
        <w:rPr>
          <w:lang w:val="en-US"/>
        </w:rPr>
        <w:t xml:space="preserve">Table </w:t>
      </w:r>
      <w:r w:rsidR="00D548DE">
        <w:rPr>
          <w:lang w:val="en-US"/>
        </w:rPr>
        <w:t>3.5</w:t>
      </w:r>
      <w:r w:rsidR="009F7871" w:rsidRPr="009F7871">
        <w:rPr>
          <w:lang w:val="en-US"/>
        </w:rPr>
        <w:t xml:space="preserve"> shows the hourly load measurements in Megawatts for selected days, as gotten directly from the utility. </w:t>
      </w:r>
      <w:r w:rsidR="00F16BCE">
        <w:rPr>
          <w:lang w:val="en-US"/>
        </w:rPr>
        <w:t>Due to the difficulty of technical difficulties of obtaining large contiguous chunks of highly-detailed representative hourly load data (due to blackouts</w:t>
      </w:r>
      <w:r w:rsidR="00A52E1E">
        <w:rPr>
          <w:lang w:val="en-US"/>
        </w:rPr>
        <w:t xml:space="preserve"> and for other data-use reasons</w:t>
      </w:r>
      <w:r w:rsidR="00F16BCE">
        <w:rPr>
          <w:lang w:val="en-US"/>
        </w:rPr>
        <w:t xml:space="preserve">), the months of May, November, and December 2021 with relatively low blackout rates were chosen to represent the harmattan and rainy season load profiles respectively. </w:t>
      </w:r>
      <w:r w:rsidR="00A52E1E">
        <w:rPr>
          <w:lang w:val="en-US"/>
        </w:rPr>
        <w:t>This selection is justified by the fact that in 2020 the community experienced an average of 4.88mm/day of precipitation in May compared to 0.12</w:t>
      </w:r>
      <w:r w:rsidR="00480724">
        <w:rPr>
          <w:lang w:val="en-US"/>
        </w:rPr>
        <w:t xml:space="preserve"> (which is approximately 0)</w:t>
      </w:r>
      <w:r w:rsidR="00A52E1E">
        <w:rPr>
          <w:lang w:val="en-US"/>
        </w:rPr>
        <w:t xml:space="preserve"> mm/day</w:t>
      </w:r>
      <w:r w:rsidR="00480724">
        <w:rPr>
          <w:lang w:val="en-US"/>
        </w:rPr>
        <w:t xml:space="preserve"> </w:t>
      </w:r>
      <w:r w:rsidR="007A3CC5">
        <w:rPr>
          <w:lang w:val="en-US"/>
        </w:rPr>
        <w:t>in</w:t>
      </w:r>
      <w:r w:rsidR="00480724">
        <w:rPr>
          <w:lang w:val="en-US"/>
        </w:rPr>
        <w:t xml:space="preserve"> December</w:t>
      </w:r>
      <w:r w:rsidR="00A52E1E">
        <w:rPr>
          <w:lang w:val="en-US"/>
        </w:rPr>
        <w:t xml:space="preserve">. </w:t>
      </w:r>
      <w:r w:rsidR="00F16BCE">
        <w:rPr>
          <w:lang w:val="en-US"/>
        </w:rPr>
        <w:t xml:space="preserve">However, the monthly summary for each month for </w:t>
      </w:r>
      <w:r w:rsidR="000F0ABB">
        <w:rPr>
          <w:lang w:val="en-US"/>
        </w:rPr>
        <w:t xml:space="preserve">the </w:t>
      </w:r>
      <w:r w:rsidR="00F16BCE">
        <w:rPr>
          <w:lang w:val="en-US"/>
        </w:rPr>
        <w:t xml:space="preserve">years 2020 and 2021 was graciously furnished by the power company. </w:t>
      </w:r>
      <w:r w:rsidR="009F7871" w:rsidRPr="009F7871">
        <w:rPr>
          <w:lang w:val="en-US"/>
        </w:rPr>
        <w:t>To get the target community’s load, the figures in the table are divided by a factor of 3 to account for the utility’s measurement arrangements with respect to its feeders</w:t>
      </w:r>
      <w:r w:rsidR="00B811AD">
        <w:rPr>
          <w:lang w:val="en-US"/>
        </w:rPr>
        <w:t xml:space="preserve">. Hydro data was partly measured </w:t>
      </w:r>
      <w:r w:rsidR="008E35CB">
        <w:rPr>
          <w:lang w:val="en-US"/>
        </w:rPr>
        <w:t>(</w:t>
      </w:r>
      <w:r w:rsidR="00B811AD">
        <w:rPr>
          <w:lang w:val="en-US"/>
        </w:rPr>
        <w:t>where possible</w:t>
      </w:r>
      <w:r w:rsidR="008E35CB">
        <w:rPr>
          <w:lang w:val="en-US"/>
        </w:rPr>
        <w:t>)</w:t>
      </w:r>
      <w:r w:rsidR="00B811AD">
        <w:rPr>
          <w:lang w:val="en-US"/>
        </w:rPr>
        <w:t xml:space="preserve"> and </w:t>
      </w:r>
      <w:r w:rsidR="008E35CB">
        <w:rPr>
          <w:lang w:val="en-US"/>
        </w:rPr>
        <w:t xml:space="preserve">partly </w:t>
      </w:r>
      <w:r w:rsidR="00B811AD">
        <w:rPr>
          <w:lang w:val="en-US"/>
        </w:rPr>
        <w:t>estimated based on visual, on-site observations and readily-obtainable precipitation data, for the months in which river measurements were not directly obtainable</w:t>
      </w:r>
      <w:r w:rsidR="00731321">
        <w:rPr>
          <w:lang w:val="en-US"/>
        </w:rPr>
        <w:t xml:space="preserve"> as elaborated in Appendix VII</w:t>
      </w:r>
      <w:r w:rsidR="00B811AD">
        <w:rPr>
          <w:lang w:val="en-US"/>
        </w:rPr>
        <w:t>.</w:t>
      </w:r>
      <w:r w:rsidR="00DC31CB">
        <w:rPr>
          <w:lang w:val="en-US"/>
        </w:rPr>
        <w:t xml:space="preserve"> Topographical examination of the location helped estimat</w:t>
      </w:r>
      <w:r w:rsidR="000F0ABB">
        <w:rPr>
          <w:lang w:val="en-US"/>
        </w:rPr>
        <w:t>e</w:t>
      </w:r>
      <w:r w:rsidR="00DC31CB">
        <w:rPr>
          <w:lang w:val="en-US"/>
        </w:rPr>
        <w:t xml:space="preserve"> how the level of water changed with </w:t>
      </w:r>
      <w:r w:rsidR="000F0ABB">
        <w:rPr>
          <w:lang w:val="en-US"/>
        </w:rPr>
        <w:t xml:space="preserve">the </w:t>
      </w:r>
      <w:r w:rsidR="00DC31CB">
        <w:rPr>
          <w:lang w:val="en-US"/>
        </w:rPr>
        <w:t xml:space="preserve">amount of rainfall. The estimations relied on the </w:t>
      </w:r>
      <w:r w:rsidR="00A346D7">
        <w:rPr>
          <w:lang w:val="en-US"/>
        </w:rPr>
        <w:t xml:space="preserve">reasonable </w:t>
      </w:r>
      <w:r w:rsidR="00DC31CB">
        <w:rPr>
          <w:lang w:val="en-US"/>
        </w:rPr>
        <w:t>assumption that</w:t>
      </w:r>
      <w:r w:rsidR="00B811AD">
        <w:rPr>
          <w:lang w:val="en-US"/>
        </w:rPr>
        <w:t xml:space="preserve"> </w:t>
      </w:r>
      <w:r w:rsidR="00A346D7">
        <w:rPr>
          <w:lang w:val="en-US"/>
        </w:rPr>
        <w:t xml:space="preserve">95% of the rainfall in the community seeps into the ground while 5% seeps into the Osin River. </w:t>
      </w:r>
      <w:r w:rsidR="00B811AD">
        <w:rPr>
          <w:lang w:val="en-US"/>
        </w:rPr>
        <w:t xml:space="preserve">However, even for such months, the usual boundaries of the </w:t>
      </w:r>
      <w:r w:rsidR="001C3262">
        <w:rPr>
          <w:lang w:val="en-US"/>
        </w:rPr>
        <w:t xml:space="preserve">river were </w:t>
      </w:r>
      <w:r w:rsidR="00B811AD">
        <w:rPr>
          <w:lang w:val="en-US"/>
        </w:rPr>
        <w:t xml:space="preserve">established. </w:t>
      </w:r>
      <w:r w:rsidR="001C3262">
        <w:rPr>
          <w:lang w:val="en-US"/>
        </w:rPr>
        <w:t>Hence,</w:t>
      </w:r>
      <w:r w:rsidR="00B811AD">
        <w:rPr>
          <w:lang w:val="en-US"/>
        </w:rPr>
        <w:t xml:space="preserve"> the </w:t>
      </w:r>
      <w:r w:rsidR="001C3262">
        <w:rPr>
          <w:lang w:val="en-US"/>
        </w:rPr>
        <w:t>appropriateness of the Gumbel (extreme value) distribution for characterizing it.</w:t>
      </w:r>
      <w:r w:rsidR="00B811AD">
        <w:rPr>
          <w:lang w:val="en-US"/>
        </w:rPr>
        <w:t xml:space="preserve"> The data as used in the study is presented in Table 3.</w:t>
      </w:r>
      <w:r w:rsidR="00D548DE">
        <w:rPr>
          <w:lang w:val="en-US"/>
        </w:rPr>
        <w:t>6. Table 3.7</w:t>
      </w:r>
      <w:r w:rsidR="00B811AD">
        <w:rPr>
          <w:lang w:val="en-US"/>
        </w:rPr>
        <w:t xml:space="preserve"> represents some of the weather</w:t>
      </w:r>
      <w:r w:rsidR="005B60E4">
        <w:rPr>
          <w:lang w:val="en-US"/>
        </w:rPr>
        <w:t xml:space="preserve"> data that was gathered. Where data points were found missing, other points were averaged and interpolated for quantitative operations.</w:t>
      </w:r>
      <w:r w:rsidR="00DC31CB">
        <w:rPr>
          <w:lang w:val="en-US"/>
        </w:rPr>
        <w:t xml:space="preserve"> Further </w:t>
      </w:r>
      <w:r w:rsidR="00921DCD">
        <w:rPr>
          <w:lang w:val="en-US"/>
        </w:rPr>
        <w:t>information</w:t>
      </w:r>
      <w:r w:rsidR="002935AC">
        <w:rPr>
          <w:lang w:val="en-US"/>
        </w:rPr>
        <w:t xml:space="preserve"> and codes</w:t>
      </w:r>
      <w:r w:rsidR="00E6090E">
        <w:rPr>
          <w:lang w:val="en-US"/>
        </w:rPr>
        <w:t xml:space="preserve"> on the methodology</w:t>
      </w:r>
      <w:r w:rsidR="00DC31CB">
        <w:rPr>
          <w:lang w:val="en-US"/>
        </w:rPr>
        <w:t xml:space="preserve"> </w:t>
      </w:r>
      <w:r w:rsidR="000F0ABB">
        <w:rPr>
          <w:lang w:val="en-US"/>
        </w:rPr>
        <w:t>are</w:t>
      </w:r>
      <w:r w:rsidR="00DC31CB">
        <w:rPr>
          <w:lang w:val="en-US"/>
        </w:rPr>
        <w:t xml:space="preserve"> avai</w:t>
      </w:r>
      <w:r w:rsidR="00921DCD">
        <w:rPr>
          <w:lang w:val="en-US"/>
        </w:rPr>
        <w:t>lable in the appendices</w:t>
      </w:r>
      <w:r w:rsidR="00DC31CB">
        <w:rPr>
          <w:lang w:val="en-US"/>
        </w:rPr>
        <w:t>.</w:t>
      </w:r>
    </w:p>
    <w:p w14:paraId="1581A3CA" w14:textId="02B5E8E3" w:rsidR="005B60E4" w:rsidRDefault="002F4348" w:rsidP="00F03645">
      <w:pPr>
        <w:spacing w:line="480" w:lineRule="auto"/>
        <w:jc w:val="center"/>
        <w:rPr>
          <w:lang w:val="en-US"/>
        </w:rPr>
      </w:pPr>
      <w:r>
        <w:rPr>
          <w:b/>
          <w:lang w:val="en-US"/>
        </w:rPr>
        <w:t>Table 3.4</w:t>
      </w:r>
      <w:r w:rsidR="005B60E4" w:rsidRPr="00522135">
        <w:rPr>
          <w:b/>
          <w:lang w:val="en-US"/>
        </w:rPr>
        <w:t xml:space="preserve"> </w:t>
      </w:r>
      <w:r w:rsidR="00522135">
        <w:rPr>
          <w:b/>
          <w:lang w:val="en-US"/>
        </w:rPr>
        <w:t xml:space="preserve">– Sample of </w:t>
      </w:r>
      <w:r w:rsidR="005B60E4" w:rsidRPr="00522135">
        <w:rPr>
          <w:b/>
          <w:lang w:val="en-US"/>
        </w:rPr>
        <w:t>the hourly load data</w:t>
      </w:r>
      <w:r w:rsidR="00F16BCE">
        <w:rPr>
          <w:b/>
          <w:lang w:val="en-US"/>
        </w:rPr>
        <w:t xml:space="preserve"> (Provided by TCN)</w:t>
      </w:r>
      <w:r w:rsidR="005B60E4">
        <w:rPr>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1703"/>
        <w:gridCol w:w="1794"/>
        <w:gridCol w:w="913"/>
        <w:gridCol w:w="1080"/>
        <w:gridCol w:w="1440"/>
        <w:gridCol w:w="1440"/>
        <w:gridCol w:w="2340"/>
        <w:gridCol w:w="2250"/>
      </w:tblGrid>
      <w:tr w:rsidR="00BA7380" w:rsidRPr="005B60E4" w14:paraId="552B9F23" w14:textId="77777777" w:rsidTr="00BA7380">
        <w:trPr>
          <w:trHeight w:val="288"/>
        </w:trPr>
        <w:tc>
          <w:tcPr>
            <w:tcW w:w="1703" w:type="dxa"/>
            <w:tcBorders>
              <w:top w:val="single" w:sz="4" w:space="0" w:color="auto"/>
              <w:bottom w:val="single" w:sz="4" w:space="0" w:color="auto"/>
            </w:tcBorders>
            <w:noWrap/>
            <w:hideMark/>
          </w:tcPr>
          <w:p w14:paraId="15321FCB" w14:textId="77777777" w:rsidR="005B60E4" w:rsidRPr="005B60E4" w:rsidRDefault="005B60E4" w:rsidP="00BA7380">
            <w:pPr>
              <w:spacing w:line="240" w:lineRule="auto"/>
              <w:jc w:val="center"/>
              <w:rPr>
                <w:lang w:val="en-US"/>
              </w:rPr>
            </w:pPr>
            <w:r w:rsidRPr="005B60E4">
              <w:t>Date</w:t>
            </w:r>
          </w:p>
        </w:tc>
        <w:tc>
          <w:tcPr>
            <w:tcW w:w="1794" w:type="dxa"/>
            <w:tcBorders>
              <w:top w:val="single" w:sz="4" w:space="0" w:color="auto"/>
              <w:bottom w:val="single" w:sz="4" w:space="0" w:color="auto"/>
            </w:tcBorders>
            <w:noWrap/>
            <w:hideMark/>
          </w:tcPr>
          <w:p w14:paraId="3EFA794D" w14:textId="429A900F" w:rsidR="005B60E4" w:rsidRPr="005B60E4" w:rsidRDefault="005B60E4" w:rsidP="00BA7380">
            <w:pPr>
              <w:spacing w:line="240" w:lineRule="auto"/>
              <w:jc w:val="center"/>
            </w:pPr>
            <w:r w:rsidRPr="005B60E4">
              <w:t xml:space="preserve">Month </w:t>
            </w:r>
            <w:r w:rsidR="00BA7380">
              <w:t>Covered</w:t>
            </w:r>
          </w:p>
        </w:tc>
        <w:tc>
          <w:tcPr>
            <w:tcW w:w="913" w:type="dxa"/>
            <w:tcBorders>
              <w:top w:val="single" w:sz="4" w:space="0" w:color="auto"/>
              <w:bottom w:val="single" w:sz="4" w:space="0" w:color="auto"/>
            </w:tcBorders>
            <w:noWrap/>
            <w:hideMark/>
          </w:tcPr>
          <w:p w14:paraId="2A0C4E8C" w14:textId="77777777" w:rsidR="005B60E4" w:rsidRPr="005B60E4" w:rsidRDefault="005B60E4" w:rsidP="00BA7380">
            <w:pPr>
              <w:spacing w:line="240" w:lineRule="auto"/>
              <w:jc w:val="center"/>
            </w:pPr>
            <w:r w:rsidRPr="005B60E4">
              <w:t>MWh (2019)</w:t>
            </w:r>
          </w:p>
        </w:tc>
        <w:tc>
          <w:tcPr>
            <w:tcW w:w="1080" w:type="dxa"/>
            <w:tcBorders>
              <w:top w:val="single" w:sz="4" w:space="0" w:color="auto"/>
              <w:bottom w:val="single" w:sz="4" w:space="0" w:color="auto"/>
            </w:tcBorders>
            <w:noWrap/>
            <w:hideMark/>
          </w:tcPr>
          <w:p w14:paraId="352E26F4" w14:textId="77777777" w:rsidR="005B60E4" w:rsidRPr="005B60E4" w:rsidRDefault="005B60E4" w:rsidP="00BA7380">
            <w:pPr>
              <w:spacing w:line="240" w:lineRule="auto"/>
              <w:jc w:val="center"/>
            </w:pPr>
            <w:r w:rsidRPr="005B60E4">
              <w:t>Max MW (2019)</w:t>
            </w:r>
          </w:p>
        </w:tc>
        <w:tc>
          <w:tcPr>
            <w:tcW w:w="1440" w:type="dxa"/>
            <w:tcBorders>
              <w:top w:val="single" w:sz="4" w:space="0" w:color="auto"/>
              <w:bottom w:val="single" w:sz="4" w:space="0" w:color="auto"/>
            </w:tcBorders>
            <w:noWrap/>
            <w:hideMark/>
          </w:tcPr>
          <w:p w14:paraId="46992D2A" w14:textId="77777777" w:rsidR="005B60E4" w:rsidRPr="005B60E4" w:rsidRDefault="005B60E4" w:rsidP="00BA7380">
            <w:pPr>
              <w:spacing w:line="240" w:lineRule="auto"/>
              <w:jc w:val="center"/>
            </w:pPr>
            <w:r w:rsidRPr="005B60E4">
              <w:t>MWh(2020)</w:t>
            </w:r>
          </w:p>
        </w:tc>
        <w:tc>
          <w:tcPr>
            <w:tcW w:w="1440" w:type="dxa"/>
            <w:tcBorders>
              <w:top w:val="single" w:sz="4" w:space="0" w:color="auto"/>
              <w:bottom w:val="single" w:sz="4" w:space="0" w:color="auto"/>
            </w:tcBorders>
            <w:noWrap/>
            <w:hideMark/>
          </w:tcPr>
          <w:p w14:paraId="7D668BE1" w14:textId="77777777" w:rsidR="005B60E4" w:rsidRPr="005B60E4" w:rsidRDefault="005B60E4" w:rsidP="00BA7380">
            <w:pPr>
              <w:spacing w:line="240" w:lineRule="auto"/>
              <w:jc w:val="center"/>
            </w:pPr>
            <w:r w:rsidRPr="005B60E4">
              <w:t>Max MW (2020)</w:t>
            </w:r>
          </w:p>
        </w:tc>
        <w:tc>
          <w:tcPr>
            <w:tcW w:w="2340" w:type="dxa"/>
            <w:tcBorders>
              <w:top w:val="single" w:sz="4" w:space="0" w:color="auto"/>
              <w:bottom w:val="single" w:sz="4" w:space="0" w:color="auto"/>
            </w:tcBorders>
            <w:noWrap/>
            <w:hideMark/>
          </w:tcPr>
          <w:p w14:paraId="62113EF5" w14:textId="77777777" w:rsidR="005B60E4" w:rsidRPr="005B60E4" w:rsidRDefault="005B60E4" w:rsidP="00BA7380">
            <w:pPr>
              <w:spacing w:line="240" w:lineRule="auto"/>
              <w:jc w:val="center"/>
            </w:pPr>
            <w:r w:rsidRPr="005B60E4">
              <w:t>MWh (2021)</w:t>
            </w:r>
          </w:p>
        </w:tc>
        <w:tc>
          <w:tcPr>
            <w:tcW w:w="2250" w:type="dxa"/>
            <w:tcBorders>
              <w:top w:val="single" w:sz="4" w:space="0" w:color="auto"/>
              <w:bottom w:val="single" w:sz="4" w:space="0" w:color="auto"/>
            </w:tcBorders>
            <w:noWrap/>
            <w:hideMark/>
          </w:tcPr>
          <w:p w14:paraId="4AA91F89" w14:textId="77777777" w:rsidR="005B60E4" w:rsidRPr="005B60E4" w:rsidRDefault="005B60E4" w:rsidP="00BA7380">
            <w:pPr>
              <w:spacing w:line="240" w:lineRule="auto"/>
              <w:jc w:val="center"/>
            </w:pPr>
            <w:r w:rsidRPr="005B60E4">
              <w:t>Max MW (2021)</w:t>
            </w:r>
          </w:p>
        </w:tc>
      </w:tr>
      <w:tr w:rsidR="00BA7380" w:rsidRPr="005B60E4" w14:paraId="38310625" w14:textId="77777777" w:rsidTr="00BA7380">
        <w:trPr>
          <w:trHeight w:val="288"/>
        </w:trPr>
        <w:tc>
          <w:tcPr>
            <w:tcW w:w="1703" w:type="dxa"/>
            <w:tcBorders>
              <w:top w:val="single" w:sz="4" w:space="0" w:color="auto"/>
            </w:tcBorders>
            <w:noWrap/>
            <w:hideMark/>
          </w:tcPr>
          <w:p w14:paraId="0584EFCA" w14:textId="77777777" w:rsidR="005B60E4" w:rsidRPr="005B60E4" w:rsidRDefault="005B60E4" w:rsidP="00014AF3">
            <w:pPr>
              <w:spacing w:line="240" w:lineRule="auto"/>
            </w:pPr>
            <w:r w:rsidRPr="005B60E4">
              <w:t>1st February</w:t>
            </w:r>
          </w:p>
        </w:tc>
        <w:tc>
          <w:tcPr>
            <w:tcW w:w="1794" w:type="dxa"/>
            <w:tcBorders>
              <w:top w:val="single" w:sz="4" w:space="0" w:color="auto"/>
            </w:tcBorders>
            <w:noWrap/>
            <w:hideMark/>
          </w:tcPr>
          <w:p w14:paraId="57EFC557" w14:textId="77777777" w:rsidR="005B60E4" w:rsidRPr="005B60E4" w:rsidRDefault="005B60E4" w:rsidP="00014AF3">
            <w:pPr>
              <w:spacing w:line="240" w:lineRule="auto"/>
            </w:pPr>
            <w:r w:rsidRPr="005B60E4">
              <w:t>January</w:t>
            </w:r>
          </w:p>
        </w:tc>
        <w:tc>
          <w:tcPr>
            <w:tcW w:w="913" w:type="dxa"/>
            <w:tcBorders>
              <w:top w:val="single" w:sz="4" w:space="0" w:color="auto"/>
            </w:tcBorders>
            <w:noWrap/>
            <w:hideMark/>
          </w:tcPr>
          <w:p w14:paraId="247273D9" w14:textId="77777777" w:rsidR="005B60E4" w:rsidRPr="005B60E4" w:rsidRDefault="005B60E4" w:rsidP="00014AF3">
            <w:pPr>
              <w:spacing w:line="240" w:lineRule="auto"/>
            </w:pPr>
          </w:p>
        </w:tc>
        <w:tc>
          <w:tcPr>
            <w:tcW w:w="1080" w:type="dxa"/>
            <w:tcBorders>
              <w:top w:val="single" w:sz="4" w:space="0" w:color="auto"/>
            </w:tcBorders>
            <w:noWrap/>
            <w:hideMark/>
          </w:tcPr>
          <w:p w14:paraId="55D30C1F" w14:textId="77777777" w:rsidR="005B60E4" w:rsidRPr="005B60E4" w:rsidRDefault="005B60E4" w:rsidP="00014AF3">
            <w:pPr>
              <w:spacing w:line="240" w:lineRule="auto"/>
            </w:pPr>
          </w:p>
        </w:tc>
        <w:tc>
          <w:tcPr>
            <w:tcW w:w="1440" w:type="dxa"/>
            <w:tcBorders>
              <w:top w:val="single" w:sz="4" w:space="0" w:color="auto"/>
            </w:tcBorders>
            <w:noWrap/>
            <w:hideMark/>
          </w:tcPr>
          <w:p w14:paraId="1C84D542" w14:textId="77777777" w:rsidR="005B60E4" w:rsidRPr="005B60E4" w:rsidRDefault="005B60E4" w:rsidP="00014AF3">
            <w:pPr>
              <w:spacing w:line="240" w:lineRule="auto"/>
            </w:pPr>
            <w:r w:rsidRPr="005B60E4">
              <w:t xml:space="preserve">        862.00 </w:t>
            </w:r>
          </w:p>
        </w:tc>
        <w:tc>
          <w:tcPr>
            <w:tcW w:w="1440" w:type="dxa"/>
            <w:tcBorders>
              <w:top w:val="single" w:sz="4" w:space="0" w:color="auto"/>
            </w:tcBorders>
            <w:noWrap/>
            <w:hideMark/>
          </w:tcPr>
          <w:p w14:paraId="2EF61035" w14:textId="16EF7B71" w:rsidR="005B60E4" w:rsidRPr="005B60E4" w:rsidRDefault="005B60E4" w:rsidP="00BA7380">
            <w:pPr>
              <w:spacing w:line="240" w:lineRule="auto"/>
              <w:jc w:val="center"/>
            </w:pPr>
            <w:r w:rsidRPr="005B60E4">
              <w:t>2.17</w:t>
            </w:r>
          </w:p>
        </w:tc>
        <w:tc>
          <w:tcPr>
            <w:tcW w:w="2340" w:type="dxa"/>
            <w:tcBorders>
              <w:top w:val="single" w:sz="4" w:space="0" w:color="auto"/>
            </w:tcBorders>
            <w:noWrap/>
            <w:hideMark/>
          </w:tcPr>
          <w:p w14:paraId="30D882D1" w14:textId="77777777" w:rsidR="005B60E4" w:rsidRPr="005B60E4" w:rsidRDefault="005B60E4" w:rsidP="00014AF3">
            <w:pPr>
              <w:spacing w:line="240" w:lineRule="auto"/>
            </w:pPr>
            <w:r w:rsidRPr="005B60E4">
              <w:t xml:space="preserve">                 764.00 </w:t>
            </w:r>
          </w:p>
        </w:tc>
        <w:tc>
          <w:tcPr>
            <w:tcW w:w="2250" w:type="dxa"/>
            <w:tcBorders>
              <w:top w:val="single" w:sz="4" w:space="0" w:color="auto"/>
            </w:tcBorders>
            <w:noWrap/>
            <w:hideMark/>
          </w:tcPr>
          <w:p w14:paraId="7D1F634A" w14:textId="77777777" w:rsidR="005B60E4" w:rsidRPr="005B60E4" w:rsidRDefault="005B60E4" w:rsidP="00014AF3">
            <w:pPr>
              <w:spacing w:line="240" w:lineRule="auto"/>
            </w:pPr>
            <w:r w:rsidRPr="005B60E4">
              <w:t xml:space="preserve">                      1.97 </w:t>
            </w:r>
          </w:p>
        </w:tc>
      </w:tr>
      <w:tr w:rsidR="00BA7380" w:rsidRPr="005B60E4" w14:paraId="5E429B19" w14:textId="77777777" w:rsidTr="00BA7380">
        <w:trPr>
          <w:trHeight w:val="288"/>
        </w:trPr>
        <w:tc>
          <w:tcPr>
            <w:tcW w:w="1703" w:type="dxa"/>
            <w:noWrap/>
            <w:hideMark/>
          </w:tcPr>
          <w:p w14:paraId="4BC58172" w14:textId="77777777" w:rsidR="005B60E4" w:rsidRPr="005B60E4" w:rsidRDefault="005B60E4" w:rsidP="00014AF3">
            <w:pPr>
              <w:spacing w:line="240" w:lineRule="auto"/>
            </w:pPr>
            <w:r w:rsidRPr="005B60E4">
              <w:t>1st March</w:t>
            </w:r>
          </w:p>
        </w:tc>
        <w:tc>
          <w:tcPr>
            <w:tcW w:w="1794" w:type="dxa"/>
            <w:noWrap/>
            <w:hideMark/>
          </w:tcPr>
          <w:p w14:paraId="7303E19B" w14:textId="77777777" w:rsidR="005B60E4" w:rsidRPr="005B60E4" w:rsidRDefault="005B60E4" w:rsidP="00014AF3">
            <w:pPr>
              <w:spacing w:line="240" w:lineRule="auto"/>
            </w:pPr>
            <w:r w:rsidRPr="005B60E4">
              <w:t>February</w:t>
            </w:r>
          </w:p>
        </w:tc>
        <w:tc>
          <w:tcPr>
            <w:tcW w:w="913" w:type="dxa"/>
            <w:noWrap/>
            <w:hideMark/>
          </w:tcPr>
          <w:p w14:paraId="76F2E66D" w14:textId="77777777" w:rsidR="005B60E4" w:rsidRPr="005B60E4" w:rsidRDefault="005B60E4" w:rsidP="00014AF3">
            <w:pPr>
              <w:spacing w:line="240" w:lineRule="auto"/>
            </w:pPr>
          </w:p>
        </w:tc>
        <w:tc>
          <w:tcPr>
            <w:tcW w:w="1080" w:type="dxa"/>
            <w:noWrap/>
            <w:hideMark/>
          </w:tcPr>
          <w:p w14:paraId="5F7ECBD2" w14:textId="77777777" w:rsidR="005B60E4" w:rsidRPr="005B60E4" w:rsidRDefault="005B60E4" w:rsidP="00014AF3">
            <w:pPr>
              <w:spacing w:line="240" w:lineRule="auto"/>
            </w:pPr>
          </w:p>
        </w:tc>
        <w:tc>
          <w:tcPr>
            <w:tcW w:w="1440" w:type="dxa"/>
            <w:noWrap/>
            <w:hideMark/>
          </w:tcPr>
          <w:p w14:paraId="1E5E2A9B" w14:textId="77777777" w:rsidR="005B60E4" w:rsidRPr="005B60E4" w:rsidRDefault="005B60E4" w:rsidP="00014AF3">
            <w:pPr>
              <w:spacing w:line="240" w:lineRule="auto"/>
            </w:pPr>
            <w:r w:rsidRPr="005B60E4">
              <w:t xml:space="preserve">        733.33 </w:t>
            </w:r>
          </w:p>
        </w:tc>
        <w:tc>
          <w:tcPr>
            <w:tcW w:w="1440" w:type="dxa"/>
            <w:noWrap/>
            <w:hideMark/>
          </w:tcPr>
          <w:p w14:paraId="1D9544B1" w14:textId="6E8E27CF" w:rsidR="005B60E4" w:rsidRPr="005B60E4" w:rsidRDefault="005B60E4" w:rsidP="00BA7380">
            <w:pPr>
              <w:spacing w:line="240" w:lineRule="auto"/>
              <w:jc w:val="center"/>
            </w:pPr>
            <w:r w:rsidRPr="005B60E4">
              <w:t>2.20</w:t>
            </w:r>
          </w:p>
        </w:tc>
        <w:tc>
          <w:tcPr>
            <w:tcW w:w="2340" w:type="dxa"/>
            <w:noWrap/>
            <w:hideMark/>
          </w:tcPr>
          <w:p w14:paraId="0278FF9D" w14:textId="77777777" w:rsidR="005B60E4" w:rsidRPr="005B60E4" w:rsidRDefault="005B60E4" w:rsidP="00014AF3">
            <w:pPr>
              <w:spacing w:line="240" w:lineRule="auto"/>
            </w:pPr>
            <w:r w:rsidRPr="005B60E4">
              <w:t xml:space="preserve">                 727.67 </w:t>
            </w:r>
          </w:p>
        </w:tc>
        <w:tc>
          <w:tcPr>
            <w:tcW w:w="2250" w:type="dxa"/>
            <w:noWrap/>
            <w:hideMark/>
          </w:tcPr>
          <w:p w14:paraId="76F2DE2F" w14:textId="77777777" w:rsidR="005B60E4" w:rsidRPr="005B60E4" w:rsidRDefault="005B60E4" w:rsidP="00014AF3">
            <w:pPr>
              <w:spacing w:line="240" w:lineRule="auto"/>
            </w:pPr>
            <w:r w:rsidRPr="005B60E4">
              <w:t xml:space="preserve">                      2.10 </w:t>
            </w:r>
          </w:p>
        </w:tc>
      </w:tr>
      <w:tr w:rsidR="00BA7380" w:rsidRPr="005B60E4" w14:paraId="718133B4" w14:textId="77777777" w:rsidTr="00BA7380">
        <w:trPr>
          <w:trHeight w:val="288"/>
        </w:trPr>
        <w:tc>
          <w:tcPr>
            <w:tcW w:w="1703" w:type="dxa"/>
            <w:noWrap/>
            <w:hideMark/>
          </w:tcPr>
          <w:p w14:paraId="3C44FFC0" w14:textId="77777777" w:rsidR="005B60E4" w:rsidRPr="005B60E4" w:rsidRDefault="005B60E4" w:rsidP="00014AF3">
            <w:pPr>
              <w:spacing w:line="240" w:lineRule="auto"/>
            </w:pPr>
            <w:r w:rsidRPr="005B60E4">
              <w:t>1st April</w:t>
            </w:r>
          </w:p>
        </w:tc>
        <w:tc>
          <w:tcPr>
            <w:tcW w:w="1794" w:type="dxa"/>
            <w:noWrap/>
            <w:hideMark/>
          </w:tcPr>
          <w:p w14:paraId="3E143148" w14:textId="77777777" w:rsidR="005B60E4" w:rsidRPr="005B60E4" w:rsidRDefault="005B60E4" w:rsidP="00014AF3">
            <w:pPr>
              <w:spacing w:line="240" w:lineRule="auto"/>
            </w:pPr>
            <w:r w:rsidRPr="005B60E4">
              <w:t>March</w:t>
            </w:r>
          </w:p>
        </w:tc>
        <w:tc>
          <w:tcPr>
            <w:tcW w:w="913" w:type="dxa"/>
            <w:noWrap/>
            <w:hideMark/>
          </w:tcPr>
          <w:p w14:paraId="27B36A67" w14:textId="77777777" w:rsidR="005B60E4" w:rsidRPr="005B60E4" w:rsidRDefault="005B60E4" w:rsidP="00014AF3">
            <w:pPr>
              <w:spacing w:line="240" w:lineRule="auto"/>
            </w:pPr>
          </w:p>
        </w:tc>
        <w:tc>
          <w:tcPr>
            <w:tcW w:w="1080" w:type="dxa"/>
            <w:noWrap/>
            <w:hideMark/>
          </w:tcPr>
          <w:p w14:paraId="2905C3B1" w14:textId="77777777" w:rsidR="005B60E4" w:rsidRPr="005B60E4" w:rsidRDefault="005B60E4" w:rsidP="00014AF3">
            <w:pPr>
              <w:spacing w:line="240" w:lineRule="auto"/>
            </w:pPr>
          </w:p>
        </w:tc>
        <w:tc>
          <w:tcPr>
            <w:tcW w:w="1440" w:type="dxa"/>
            <w:noWrap/>
            <w:hideMark/>
          </w:tcPr>
          <w:p w14:paraId="5D3121B5" w14:textId="77777777" w:rsidR="005B60E4" w:rsidRPr="005B60E4" w:rsidRDefault="005B60E4" w:rsidP="00014AF3">
            <w:pPr>
              <w:spacing w:line="240" w:lineRule="auto"/>
            </w:pPr>
            <w:r w:rsidRPr="005B60E4">
              <w:t xml:space="preserve">        732.00 </w:t>
            </w:r>
          </w:p>
        </w:tc>
        <w:tc>
          <w:tcPr>
            <w:tcW w:w="1440" w:type="dxa"/>
            <w:noWrap/>
            <w:hideMark/>
          </w:tcPr>
          <w:p w14:paraId="40E716BD" w14:textId="38B29FBA" w:rsidR="005B60E4" w:rsidRPr="005B60E4" w:rsidRDefault="005B60E4" w:rsidP="00BA7380">
            <w:pPr>
              <w:spacing w:line="240" w:lineRule="auto"/>
              <w:jc w:val="center"/>
            </w:pPr>
            <w:r>
              <w:t>Missing</w:t>
            </w:r>
          </w:p>
        </w:tc>
        <w:tc>
          <w:tcPr>
            <w:tcW w:w="2340" w:type="dxa"/>
            <w:noWrap/>
            <w:hideMark/>
          </w:tcPr>
          <w:p w14:paraId="7C601F68" w14:textId="77777777" w:rsidR="005B60E4" w:rsidRPr="005B60E4" w:rsidRDefault="005B60E4" w:rsidP="00014AF3">
            <w:pPr>
              <w:spacing w:line="240" w:lineRule="auto"/>
            </w:pPr>
            <w:r w:rsidRPr="005B60E4">
              <w:t xml:space="preserve">                 785.33 </w:t>
            </w:r>
          </w:p>
        </w:tc>
        <w:tc>
          <w:tcPr>
            <w:tcW w:w="2250" w:type="dxa"/>
            <w:noWrap/>
            <w:hideMark/>
          </w:tcPr>
          <w:p w14:paraId="0EA1D551" w14:textId="77777777" w:rsidR="005B60E4" w:rsidRPr="005B60E4" w:rsidRDefault="005B60E4" w:rsidP="00014AF3">
            <w:pPr>
              <w:spacing w:line="240" w:lineRule="auto"/>
            </w:pPr>
            <w:r w:rsidRPr="005B60E4">
              <w:t xml:space="preserve">                      2.03 </w:t>
            </w:r>
          </w:p>
        </w:tc>
      </w:tr>
      <w:tr w:rsidR="00BA7380" w:rsidRPr="005B60E4" w14:paraId="656BED81" w14:textId="77777777" w:rsidTr="00BA7380">
        <w:trPr>
          <w:trHeight w:val="288"/>
        </w:trPr>
        <w:tc>
          <w:tcPr>
            <w:tcW w:w="1703" w:type="dxa"/>
            <w:noWrap/>
            <w:hideMark/>
          </w:tcPr>
          <w:p w14:paraId="04A971D6" w14:textId="77777777" w:rsidR="005B60E4" w:rsidRPr="005B60E4" w:rsidRDefault="005B60E4" w:rsidP="00014AF3">
            <w:pPr>
              <w:spacing w:line="240" w:lineRule="auto"/>
            </w:pPr>
            <w:r w:rsidRPr="005B60E4">
              <w:t>1st May</w:t>
            </w:r>
          </w:p>
        </w:tc>
        <w:tc>
          <w:tcPr>
            <w:tcW w:w="1794" w:type="dxa"/>
            <w:noWrap/>
            <w:hideMark/>
          </w:tcPr>
          <w:p w14:paraId="7380D284" w14:textId="77777777" w:rsidR="005B60E4" w:rsidRPr="005B60E4" w:rsidRDefault="005B60E4" w:rsidP="00014AF3">
            <w:pPr>
              <w:spacing w:line="240" w:lineRule="auto"/>
            </w:pPr>
            <w:r w:rsidRPr="005B60E4">
              <w:t>April</w:t>
            </w:r>
          </w:p>
        </w:tc>
        <w:tc>
          <w:tcPr>
            <w:tcW w:w="913" w:type="dxa"/>
            <w:noWrap/>
            <w:hideMark/>
          </w:tcPr>
          <w:p w14:paraId="3018FF80" w14:textId="77777777" w:rsidR="005B60E4" w:rsidRPr="005B60E4" w:rsidRDefault="005B60E4" w:rsidP="00014AF3">
            <w:pPr>
              <w:spacing w:line="240" w:lineRule="auto"/>
            </w:pPr>
          </w:p>
        </w:tc>
        <w:tc>
          <w:tcPr>
            <w:tcW w:w="1080" w:type="dxa"/>
            <w:noWrap/>
            <w:hideMark/>
          </w:tcPr>
          <w:p w14:paraId="4A0E9A8E" w14:textId="77777777" w:rsidR="005B60E4" w:rsidRPr="005B60E4" w:rsidRDefault="005B60E4" w:rsidP="00014AF3">
            <w:pPr>
              <w:spacing w:line="240" w:lineRule="auto"/>
            </w:pPr>
          </w:p>
        </w:tc>
        <w:tc>
          <w:tcPr>
            <w:tcW w:w="1440" w:type="dxa"/>
            <w:noWrap/>
            <w:hideMark/>
          </w:tcPr>
          <w:p w14:paraId="2D4C173F" w14:textId="77777777" w:rsidR="005B60E4" w:rsidRPr="005B60E4" w:rsidRDefault="005B60E4" w:rsidP="00014AF3">
            <w:pPr>
              <w:spacing w:line="240" w:lineRule="auto"/>
            </w:pPr>
            <w:r w:rsidRPr="005B60E4">
              <w:t xml:space="preserve">        666.67 </w:t>
            </w:r>
          </w:p>
        </w:tc>
        <w:tc>
          <w:tcPr>
            <w:tcW w:w="1440" w:type="dxa"/>
            <w:noWrap/>
            <w:hideMark/>
          </w:tcPr>
          <w:p w14:paraId="5B24A7AC" w14:textId="5A850514" w:rsidR="005B60E4" w:rsidRPr="005B60E4" w:rsidRDefault="005B60E4" w:rsidP="00BA7380">
            <w:pPr>
              <w:spacing w:line="240" w:lineRule="auto"/>
              <w:jc w:val="center"/>
            </w:pPr>
            <w:r w:rsidRPr="005B60E4">
              <w:t>2.07</w:t>
            </w:r>
          </w:p>
        </w:tc>
        <w:tc>
          <w:tcPr>
            <w:tcW w:w="2340" w:type="dxa"/>
            <w:noWrap/>
            <w:hideMark/>
          </w:tcPr>
          <w:p w14:paraId="28415EE2" w14:textId="77777777" w:rsidR="005B60E4" w:rsidRPr="005B60E4" w:rsidRDefault="005B60E4" w:rsidP="00014AF3">
            <w:pPr>
              <w:spacing w:line="240" w:lineRule="auto"/>
            </w:pPr>
            <w:r w:rsidRPr="005B60E4">
              <w:t xml:space="preserve">                 659.33 </w:t>
            </w:r>
          </w:p>
        </w:tc>
        <w:tc>
          <w:tcPr>
            <w:tcW w:w="2250" w:type="dxa"/>
            <w:noWrap/>
            <w:hideMark/>
          </w:tcPr>
          <w:p w14:paraId="6EE1BF11" w14:textId="77777777" w:rsidR="005B60E4" w:rsidRPr="005B60E4" w:rsidRDefault="005B60E4" w:rsidP="00014AF3">
            <w:pPr>
              <w:spacing w:line="240" w:lineRule="auto"/>
            </w:pPr>
            <w:r w:rsidRPr="005B60E4">
              <w:t xml:space="preserve">                      2.00 </w:t>
            </w:r>
          </w:p>
        </w:tc>
      </w:tr>
      <w:tr w:rsidR="00BA7380" w:rsidRPr="005B60E4" w14:paraId="5E977EB9" w14:textId="77777777" w:rsidTr="00BA7380">
        <w:trPr>
          <w:trHeight w:val="288"/>
        </w:trPr>
        <w:tc>
          <w:tcPr>
            <w:tcW w:w="1703" w:type="dxa"/>
            <w:noWrap/>
            <w:hideMark/>
          </w:tcPr>
          <w:p w14:paraId="7883514A" w14:textId="77777777" w:rsidR="005B60E4" w:rsidRPr="005B60E4" w:rsidRDefault="005B60E4" w:rsidP="00014AF3">
            <w:pPr>
              <w:spacing w:line="240" w:lineRule="auto"/>
            </w:pPr>
            <w:r w:rsidRPr="005B60E4">
              <w:t>1st June</w:t>
            </w:r>
          </w:p>
        </w:tc>
        <w:tc>
          <w:tcPr>
            <w:tcW w:w="1794" w:type="dxa"/>
            <w:noWrap/>
            <w:hideMark/>
          </w:tcPr>
          <w:p w14:paraId="60D28582" w14:textId="77777777" w:rsidR="005B60E4" w:rsidRPr="005B60E4" w:rsidRDefault="005B60E4" w:rsidP="00014AF3">
            <w:pPr>
              <w:spacing w:line="240" w:lineRule="auto"/>
            </w:pPr>
            <w:r w:rsidRPr="005B60E4">
              <w:t>May</w:t>
            </w:r>
          </w:p>
        </w:tc>
        <w:tc>
          <w:tcPr>
            <w:tcW w:w="913" w:type="dxa"/>
            <w:noWrap/>
            <w:hideMark/>
          </w:tcPr>
          <w:p w14:paraId="0758AF5C" w14:textId="77777777" w:rsidR="005B60E4" w:rsidRPr="005B60E4" w:rsidRDefault="005B60E4" w:rsidP="00014AF3">
            <w:pPr>
              <w:spacing w:line="240" w:lineRule="auto"/>
            </w:pPr>
          </w:p>
        </w:tc>
        <w:tc>
          <w:tcPr>
            <w:tcW w:w="1080" w:type="dxa"/>
            <w:noWrap/>
            <w:hideMark/>
          </w:tcPr>
          <w:p w14:paraId="704C1BCF" w14:textId="77777777" w:rsidR="005B60E4" w:rsidRPr="005B60E4" w:rsidRDefault="005B60E4" w:rsidP="00014AF3">
            <w:pPr>
              <w:spacing w:line="240" w:lineRule="auto"/>
            </w:pPr>
          </w:p>
        </w:tc>
        <w:tc>
          <w:tcPr>
            <w:tcW w:w="1440" w:type="dxa"/>
            <w:noWrap/>
            <w:hideMark/>
          </w:tcPr>
          <w:p w14:paraId="32D3C7AA" w14:textId="77777777" w:rsidR="005B60E4" w:rsidRPr="005B60E4" w:rsidRDefault="005B60E4" w:rsidP="00014AF3">
            <w:pPr>
              <w:spacing w:line="240" w:lineRule="auto"/>
            </w:pPr>
            <w:r w:rsidRPr="005B60E4">
              <w:t xml:space="preserve">        754.33 </w:t>
            </w:r>
          </w:p>
        </w:tc>
        <w:tc>
          <w:tcPr>
            <w:tcW w:w="1440" w:type="dxa"/>
            <w:noWrap/>
            <w:hideMark/>
          </w:tcPr>
          <w:p w14:paraId="019F9B27" w14:textId="5043D047" w:rsidR="005B60E4" w:rsidRPr="005B60E4" w:rsidRDefault="005B60E4" w:rsidP="00BA7380">
            <w:pPr>
              <w:spacing w:line="240" w:lineRule="auto"/>
              <w:jc w:val="center"/>
            </w:pPr>
            <w:r w:rsidRPr="005B60E4">
              <w:t>2.00</w:t>
            </w:r>
          </w:p>
        </w:tc>
        <w:tc>
          <w:tcPr>
            <w:tcW w:w="2340" w:type="dxa"/>
            <w:noWrap/>
            <w:hideMark/>
          </w:tcPr>
          <w:p w14:paraId="630FEB33" w14:textId="77777777" w:rsidR="005B60E4" w:rsidRPr="005B60E4" w:rsidRDefault="005B60E4" w:rsidP="00014AF3">
            <w:pPr>
              <w:spacing w:line="240" w:lineRule="auto"/>
            </w:pPr>
            <w:r w:rsidRPr="005B60E4">
              <w:t xml:space="preserve">                 639.67 </w:t>
            </w:r>
          </w:p>
        </w:tc>
        <w:tc>
          <w:tcPr>
            <w:tcW w:w="2250" w:type="dxa"/>
            <w:noWrap/>
            <w:hideMark/>
          </w:tcPr>
          <w:p w14:paraId="74BF0108" w14:textId="77777777" w:rsidR="005B60E4" w:rsidRPr="005B60E4" w:rsidRDefault="005B60E4" w:rsidP="00014AF3">
            <w:pPr>
              <w:spacing w:line="240" w:lineRule="auto"/>
            </w:pPr>
            <w:r w:rsidRPr="005B60E4">
              <w:t xml:space="preserve">                      2.00 </w:t>
            </w:r>
          </w:p>
        </w:tc>
      </w:tr>
      <w:tr w:rsidR="00BA7380" w:rsidRPr="005B60E4" w14:paraId="6D3975B2" w14:textId="77777777" w:rsidTr="00BA7380">
        <w:trPr>
          <w:trHeight w:val="288"/>
        </w:trPr>
        <w:tc>
          <w:tcPr>
            <w:tcW w:w="1703" w:type="dxa"/>
            <w:noWrap/>
            <w:hideMark/>
          </w:tcPr>
          <w:p w14:paraId="74E571EB" w14:textId="77777777" w:rsidR="005B60E4" w:rsidRPr="005B60E4" w:rsidRDefault="005B60E4" w:rsidP="00014AF3">
            <w:pPr>
              <w:spacing w:line="240" w:lineRule="auto"/>
            </w:pPr>
            <w:r w:rsidRPr="005B60E4">
              <w:t>1st July</w:t>
            </w:r>
          </w:p>
        </w:tc>
        <w:tc>
          <w:tcPr>
            <w:tcW w:w="1794" w:type="dxa"/>
            <w:noWrap/>
            <w:hideMark/>
          </w:tcPr>
          <w:p w14:paraId="21504819" w14:textId="77777777" w:rsidR="005B60E4" w:rsidRPr="005B60E4" w:rsidRDefault="005B60E4" w:rsidP="00014AF3">
            <w:pPr>
              <w:spacing w:line="240" w:lineRule="auto"/>
            </w:pPr>
            <w:r w:rsidRPr="005B60E4">
              <w:t>June</w:t>
            </w:r>
          </w:p>
        </w:tc>
        <w:tc>
          <w:tcPr>
            <w:tcW w:w="913" w:type="dxa"/>
            <w:noWrap/>
            <w:hideMark/>
          </w:tcPr>
          <w:p w14:paraId="1FEAA726" w14:textId="77777777" w:rsidR="005B60E4" w:rsidRPr="005B60E4" w:rsidRDefault="005B60E4" w:rsidP="00014AF3">
            <w:pPr>
              <w:spacing w:line="240" w:lineRule="auto"/>
            </w:pPr>
          </w:p>
        </w:tc>
        <w:tc>
          <w:tcPr>
            <w:tcW w:w="1080" w:type="dxa"/>
            <w:noWrap/>
            <w:hideMark/>
          </w:tcPr>
          <w:p w14:paraId="081B1BE6" w14:textId="77777777" w:rsidR="005B60E4" w:rsidRPr="005B60E4" w:rsidRDefault="005B60E4" w:rsidP="00014AF3">
            <w:pPr>
              <w:spacing w:line="240" w:lineRule="auto"/>
            </w:pPr>
          </w:p>
        </w:tc>
        <w:tc>
          <w:tcPr>
            <w:tcW w:w="1440" w:type="dxa"/>
            <w:noWrap/>
            <w:hideMark/>
          </w:tcPr>
          <w:p w14:paraId="1309F7C9" w14:textId="77777777" w:rsidR="005B60E4" w:rsidRPr="005B60E4" w:rsidRDefault="005B60E4" w:rsidP="00014AF3">
            <w:pPr>
              <w:spacing w:line="240" w:lineRule="auto"/>
            </w:pPr>
            <w:r w:rsidRPr="005B60E4">
              <w:t xml:space="preserve">        728.00 </w:t>
            </w:r>
          </w:p>
        </w:tc>
        <w:tc>
          <w:tcPr>
            <w:tcW w:w="1440" w:type="dxa"/>
            <w:noWrap/>
            <w:hideMark/>
          </w:tcPr>
          <w:p w14:paraId="00739A76" w14:textId="33C50023" w:rsidR="005B60E4" w:rsidRPr="005B60E4" w:rsidRDefault="005B60E4" w:rsidP="00BA7380">
            <w:pPr>
              <w:spacing w:line="240" w:lineRule="auto"/>
              <w:jc w:val="center"/>
            </w:pPr>
            <w:r w:rsidRPr="005B60E4">
              <w:t>1.93</w:t>
            </w:r>
          </w:p>
        </w:tc>
        <w:tc>
          <w:tcPr>
            <w:tcW w:w="2340" w:type="dxa"/>
            <w:noWrap/>
            <w:hideMark/>
          </w:tcPr>
          <w:p w14:paraId="6DF95C6F" w14:textId="77777777" w:rsidR="005B60E4" w:rsidRPr="005B60E4" w:rsidRDefault="005B60E4" w:rsidP="00014AF3">
            <w:pPr>
              <w:spacing w:line="240" w:lineRule="auto"/>
            </w:pPr>
            <w:r w:rsidRPr="005B60E4">
              <w:t xml:space="preserve">                 576.00 </w:t>
            </w:r>
          </w:p>
        </w:tc>
        <w:tc>
          <w:tcPr>
            <w:tcW w:w="2250" w:type="dxa"/>
            <w:noWrap/>
            <w:hideMark/>
          </w:tcPr>
          <w:p w14:paraId="125BF7AD" w14:textId="77777777" w:rsidR="005B60E4" w:rsidRPr="005B60E4" w:rsidRDefault="005B60E4" w:rsidP="00014AF3">
            <w:pPr>
              <w:spacing w:line="240" w:lineRule="auto"/>
            </w:pPr>
            <w:r w:rsidRPr="005B60E4">
              <w:t xml:space="preserve">                      2.00 </w:t>
            </w:r>
          </w:p>
        </w:tc>
      </w:tr>
      <w:tr w:rsidR="00BA7380" w:rsidRPr="005B60E4" w14:paraId="62238CC3" w14:textId="77777777" w:rsidTr="00BA7380">
        <w:trPr>
          <w:trHeight w:val="288"/>
        </w:trPr>
        <w:tc>
          <w:tcPr>
            <w:tcW w:w="1703" w:type="dxa"/>
            <w:noWrap/>
            <w:hideMark/>
          </w:tcPr>
          <w:p w14:paraId="5065234D" w14:textId="77777777" w:rsidR="005B60E4" w:rsidRPr="005B60E4" w:rsidRDefault="005B60E4" w:rsidP="00014AF3">
            <w:pPr>
              <w:spacing w:line="240" w:lineRule="auto"/>
            </w:pPr>
            <w:r w:rsidRPr="005B60E4">
              <w:t>1st August</w:t>
            </w:r>
          </w:p>
        </w:tc>
        <w:tc>
          <w:tcPr>
            <w:tcW w:w="1794" w:type="dxa"/>
            <w:noWrap/>
            <w:hideMark/>
          </w:tcPr>
          <w:p w14:paraId="530821B4" w14:textId="77777777" w:rsidR="005B60E4" w:rsidRPr="005B60E4" w:rsidRDefault="005B60E4" w:rsidP="00014AF3">
            <w:pPr>
              <w:spacing w:line="240" w:lineRule="auto"/>
            </w:pPr>
            <w:r w:rsidRPr="005B60E4">
              <w:t>July</w:t>
            </w:r>
          </w:p>
        </w:tc>
        <w:tc>
          <w:tcPr>
            <w:tcW w:w="913" w:type="dxa"/>
            <w:noWrap/>
            <w:hideMark/>
          </w:tcPr>
          <w:p w14:paraId="7A01E355" w14:textId="77777777" w:rsidR="005B60E4" w:rsidRPr="005B60E4" w:rsidRDefault="005B60E4" w:rsidP="00014AF3">
            <w:pPr>
              <w:spacing w:line="240" w:lineRule="auto"/>
            </w:pPr>
          </w:p>
        </w:tc>
        <w:tc>
          <w:tcPr>
            <w:tcW w:w="1080" w:type="dxa"/>
            <w:noWrap/>
            <w:hideMark/>
          </w:tcPr>
          <w:p w14:paraId="357B3821" w14:textId="77777777" w:rsidR="005B60E4" w:rsidRPr="005B60E4" w:rsidRDefault="005B60E4" w:rsidP="00014AF3">
            <w:pPr>
              <w:spacing w:line="240" w:lineRule="auto"/>
            </w:pPr>
          </w:p>
        </w:tc>
        <w:tc>
          <w:tcPr>
            <w:tcW w:w="1440" w:type="dxa"/>
            <w:noWrap/>
            <w:hideMark/>
          </w:tcPr>
          <w:p w14:paraId="53251464" w14:textId="77777777" w:rsidR="005B60E4" w:rsidRPr="005B60E4" w:rsidRDefault="005B60E4" w:rsidP="00014AF3">
            <w:pPr>
              <w:spacing w:line="240" w:lineRule="auto"/>
            </w:pPr>
            <w:r w:rsidRPr="005B60E4">
              <w:t xml:space="preserve">        729.00 </w:t>
            </w:r>
          </w:p>
        </w:tc>
        <w:tc>
          <w:tcPr>
            <w:tcW w:w="1440" w:type="dxa"/>
            <w:noWrap/>
            <w:hideMark/>
          </w:tcPr>
          <w:p w14:paraId="508C2854" w14:textId="37ACA8DA" w:rsidR="005B60E4" w:rsidRPr="005B60E4" w:rsidRDefault="005B60E4" w:rsidP="00BA7380">
            <w:pPr>
              <w:spacing w:line="240" w:lineRule="auto"/>
              <w:jc w:val="center"/>
            </w:pPr>
            <w:r w:rsidRPr="005B60E4">
              <w:t>1.93</w:t>
            </w:r>
          </w:p>
        </w:tc>
        <w:tc>
          <w:tcPr>
            <w:tcW w:w="2340" w:type="dxa"/>
            <w:noWrap/>
            <w:hideMark/>
          </w:tcPr>
          <w:p w14:paraId="2BF3FCDA" w14:textId="77777777" w:rsidR="005B60E4" w:rsidRPr="005B60E4" w:rsidRDefault="005B60E4" w:rsidP="00014AF3">
            <w:pPr>
              <w:spacing w:line="240" w:lineRule="auto"/>
            </w:pPr>
            <w:r w:rsidRPr="005B60E4">
              <w:t xml:space="preserve">                 703.67 </w:t>
            </w:r>
          </w:p>
        </w:tc>
        <w:tc>
          <w:tcPr>
            <w:tcW w:w="2250" w:type="dxa"/>
            <w:noWrap/>
            <w:hideMark/>
          </w:tcPr>
          <w:p w14:paraId="4A3804F8" w14:textId="77777777" w:rsidR="005B60E4" w:rsidRPr="005B60E4" w:rsidRDefault="005B60E4" w:rsidP="00014AF3">
            <w:pPr>
              <w:spacing w:line="240" w:lineRule="auto"/>
            </w:pPr>
            <w:r w:rsidRPr="005B60E4">
              <w:t xml:space="preserve">                      2.07 </w:t>
            </w:r>
          </w:p>
        </w:tc>
      </w:tr>
      <w:tr w:rsidR="00BA7380" w:rsidRPr="005B60E4" w14:paraId="7BA75E59" w14:textId="77777777" w:rsidTr="00BA7380">
        <w:trPr>
          <w:trHeight w:val="288"/>
        </w:trPr>
        <w:tc>
          <w:tcPr>
            <w:tcW w:w="1703" w:type="dxa"/>
            <w:noWrap/>
            <w:hideMark/>
          </w:tcPr>
          <w:p w14:paraId="08DBF98C" w14:textId="77777777" w:rsidR="005B60E4" w:rsidRPr="005B60E4" w:rsidRDefault="005B60E4" w:rsidP="00014AF3">
            <w:pPr>
              <w:spacing w:line="240" w:lineRule="auto"/>
            </w:pPr>
            <w:r w:rsidRPr="005B60E4">
              <w:t>1st September</w:t>
            </w:r>
          </w:p>
        </w:tc>
        <w:tc>
          <w:tcPr>
            <w:tcW w:w="1794" w:type="dxa"/>
            <w:noWrap/>
            <w:hideMark/>
          </w:tcPr>
          <w:p w14:paraId="7A012821" w14:textId="77777777" w:rsidR="005B60E4" w:rsidRPr="005B60E4" w:rsidRDefault="005B60E4" w:rsidP="00014AF3">
            <w:pPr>
              <w:spacing w:line="240" w:lineRule="auto"/>
            </w:pPr>
            <w:r w:rsidRPr="005B60E4">
              <w:t>August</w:t>
            </w:r>
          </w:p>
        </w:tc>
        <w:tc>
          <w:tcPr>
            <w:tcW w:w="913" w:type="dxa"/>
            <w:noWrap/>
            <w:hideMark/>
          </w:tcPr>
          <w:p w14:paraId="196D63A4" w14:textId="77777777" w:rsidR="005B60E4" w:rsidRPr="005B60E4" w:rsidRDefault="005B60E4" w:rsidP="00BA7380">
            <w:pPr>
              <w:spacing w:line="240" w:lineRule="auto"/>
              <w:jc w:val="center"/>
            </w:pPr>
          </w:p>
        </w:tc>
        <w:tc>
          <w:tcPr>
            <w:tcW w:w="1080" w:type="dxa"/>
            <w:noWrap/>
            <w:hideMark/>
          </w:tcPr>
          <w:p w14:paraId="1494428D" w14:textId="77777777" w:rsidR="005B60E4" w:rsidRPr="005B60E4" w:rsidRDefault="005B60E4" w:rsidP="00BA7380">
            <w:pPr>
              <w:spacing w:line="240" w:lineRule="auto"/>
              <w:jc w:val="center"/>
            </w:pPr>
          </w:p>
        </w:tc>
        <w:tc>
          <w:tcPr>
            <w:tcW w:w="1440" w:type="dxa"/>
            <w:noWrap/>
            <w:hideMark/>
          </w:tcPr>
          <w:p w14:paraId="16C9E900" w14:textId="77777777" w:rsidR="005B60E4" w:rsidRPr="005B60E4" w:rsidRDefault="005B60E4" w:rsidP="00014AF3">
            <w:pPr>
              <w:spacing w:line="240" w:lineRule="auto"/>
            </w:pPr>
            <w:r w:rsidRPr="005B60E4">
              <w:t xml:space="preserve">        779.00 </w:t>
            </w:r>
          </w:p>
        </w:tc>
        <w:tc>
          <w:tcPr>
            <w:tcW w:w="1440" w:type="dxa"/>
            <w:noWrap/>
            <w:hideMark/>
          </w:tcPr>
          <w:p w14:paraId="5AFC6D4E" w14:textId="42F6038E" w:rsidR="005B60E4" w:rsidRPr="005B60E4" w:rsidRDefault="005B60E4" w:rsidP="00BA7380">
            <w:pPr>
              <w:spacing w:line="240" w:lineRule="auto"/>
              <w:jc w:val="center"/>
            </w:pPr>
            <w:r w:rsidRPr="005B60E4">
              <w:t>2.00</w:t>
            </w:r>
          </w:p>
        </w:tc>
        <w:tc>
          <w:tcPr>
            <w:tcW w:w="2340" w:type="dxa"/>
            <w:noWrap/>
            <w:hideMark/>
          </w:tcPr>
          <w:p w14:paraId="20FA2E0B" w14:textId="77777777" w:rsidR="005B60E4" w:rsidRPr="005B60E4" w:rsidRDefault="005B60E4" w:rsidP="00014AF3">
            <w:pPr>
              <w:spacing w:line="240" w:lineRule="auto"/>
            </w:pPr>
            <w:r w:rsidRPr="005B60E4">
              <w:t xml:space="preserve">                 663.00 </w:t>
            </w:r>
          </w:p>
        </w:tc>
        <w:tc>
          <w:tcPr>
            <w:tcW w:w="2250" w:type="dxa"/>
            <w:noWrap/>
            <w:hideMark/>
          </w:tcPr>
          <w:p w14:paraId="38C51445" w14:textId="77777777" w:rsidR="005B60E4" w:rsidRPr="005B60E4" w:rsidRDefault="005B60E4" w:rsidP="00014AF3">
            <w:pPr>
              <w:spacing w:line="240" w:lineRule="auto"/>
            </w:pPr>
            <w:r w:rsidRPr="005B60E4">
              <w:t xml:space="preserve">                      1.93 </w:t>
            </w:r>
          </w:p>
        </w:tc>
      </w:tr>
      <w:tr w:rsidR="00BA7380" w:rsidRPr="005B60E4" w14:paraId="00854328" w14:textId="77777777" w:rsidTr="00BA7380">
        <w:trPr>
          <w:trHeight w:val="288"/>
        </w:trPr>
        <w:tc>
          <w:tcPr>
            <w:tcW w:w="1703" w:type="dxa"/>
            <w:noWrap/>
            <w:hideMark/>
          </w:tcPr>
          <w:p w14:paraId="5EDB80E1" w14:textId="77777777" w:rsidR="005B60E4" w:rsidRPr="005B60E4" w:rsidRDefault="005B60E4" w:rsidP="00014AF3">
            <w:pPr>
              <w:spacing w:line="240" w:lineRule="auto"/>
            </w:pPr>
            <w:r w:rsidRPr="005B60E4">
              <w:t>1st October</w:t>
            </w:r>
          </w:p>
        </w:tc>
        <w:tc>
          <w:tcPr>
            <w:tcW w:w="1794" w:type="dxa"/>
            <w:noWrap/>
            <w:hideMark/>
          </w:tcPr>
          <w:p w14:paraId="25EC1E04" w14:textId="77777777" w:rsidR="005B60E4" w:rsidRPr="005B60E4" w:rsidRDefault="005B60E4" w:rsidP="00014AF3">
            <w:pPr>
              <w:spacing w:line="240" w:lineRule="auto"/>
            </w:pPr>
            <w:r w:rsidRPr="005B60E4">
              <w:t>September</w:t>
            </w:r>
          </w:p>
        </w:tc>
        <w:tc>
          <w:tcPr>
            <w:tcW w:w="913" w:type="dxa"/>
            <w:noWrap/>
            <w:hideMark/>
          </w:tcPr>
          <w:p w14:paraId="6E4856F8" w14:textId="4C9F1C94" w:rsidR="005B60E4" w:rsidRPr="005B60E4" w:rsidRDefault="005B60E4" w:rsidP="00BA7380">
            <w:pPr>
              <w:spacing w:line="240" w:lineRule="auto"/>
              <w:jc w:val="center"/>
            </w:pPr>
            <w:r w:rsidRPr="005B60E4">
              <w:t>602.00</w:t>
            </w:r>
          </w:p>
        </w:tc>
        <w:tc>
          <w:tcPr>
            <w:tcW w:w="1080" w:type="dxa"/>
            <w:noWrap/>
            <w:hideMark/>
          </w:tcPr>
          <w:p w14:paraId="683D47ED" w14:textId="4DA3C4E1" w:rsidR="005B60E4" w:rsidRPr="005B60E4" w:rsidRDefault="005B60E4" w:rsidP="00BA7380">
            <w:pPr>
              <w:spacing w:line="240" w:lineRule="auto"/>
              <w:jc w:val="center"/>
            </w:pPr>
            <w:r w:rsidRPr="005B60E4">
              <w:t>1.90</w:t>
            </w:r>
          </w:p>
        </w:tc>
        <w:tc>
          <w:tcPr>
            <w:tcW w:w="1440" w:type="dxa"/>
            <w:noWrap/>
            <w:hideMark/>
          </w:tcPr>
          <w:p w14:paraId="11FD353A" w14:textId="77777777" w:rsidR="005B60E4" w:rsidRPr="005B60E4" w:rsidRDefault="005B60E4" w:rsidP="00014AF3">
            <w:pPr>
              <w:spacing w:line="240" w:lineRule="auto"/>
            </w:pPr>
            <w:r w:rsidRPr="005B60E4">
              <w:t xml:space="preserve">        653.67 </w:t>
            </w:r>
          </w:p>
        </w:tc>
        <w:tc>
          <w:tcPr>
            <w:tcW w:w="1440" w:type="dxa"/>
            <w:noWrap/>
            <w:hideMark/>
          </w:tcPr>
          <w:p w14:paraId="39EFBBA7" w14:textId="75DFD540" w:rsidR="005B60E4" w:rsidRPr="005B60E4" w:rsidRDefault="005B60E4" w:rsidP="00BA7380">
            <w:pPr>
              <w:spacing w:line="240" w:lineRule="auto"/>
              <w:jc w:val="center"/>
            </w:pPr>
            <w:r w:rsidRPr="005B60E4">
              <w:t>2.00</w:t>
            </w:r>
          </w:p>
        </w:tc>
        <w:tc>
          <w:tcPr>
            <w:tcW w:w="2340" w:type="dxa"/>
            <w:noWrap/>
            <w:hideMark/>
          </w:tcPr>
          <w:p w14:paraId="3CFEB761" w14:textId="77777777" w:rsidR="005B60E4" w:rsidRPr="005B60E4" w:rsidRDefault="005B60E4" w:rsidP="00014AF3">
            <w:pPr>
              <w:spacing w:line="240" w:lineRule="auto"/>
            </w:pPr>
            <w:r w:rsidRPr="005B60E4">
              <w:t xml:space="preserve">                 652.67 </w:t>
            </w:r>
          </w:p>
        </w:tc>
        <w:tc>
          <w:tcPr>
            <w:tcW w:w="2250" w:type="dxa"/>
            <w:noWrap/>
            <w:hideMark/>
          </w:tcPr>
          <w:p w14:paraId="12CDE98B" w14:textId="77777777" w:rsidR="005B60E4" w:rsidRPr="005B60E4" w:rsidRDefault="005B60E4" w:rsidP="00014AF3">
            <w:pPr>
              <w:spacing w:line="240" w:lineRule="auto"/>
            </w:pPr>
            <w:r w:rsidRPr="005B60E4">
              <w:t xml:space="preserve">                      2.00 </w:t>
            </w:r>
          </w:p>
        </w:tc>
      </w:tr>
      <w:tr w:rsidR="00BA7380" w:rsidRPr="005B60E4" w14:paraId="0A389F63" w14:textId="77777777" w:rsidTr="00BA7380">
        <w:trPr>
          <w:trHeight w:val="288"/>
        </w:trPr>
        <w:tc>
          <w:tcPr>
            <w:tcW w:w="1703" w:type="dxa"/>
            <w:noWrap/>
            <w:hideMark/>
          </w:tcPr>
          <w:p w14:paraId="136DF7DA" w14:textId="77777777" w:rsidR="005B60E4" w:rsidRPr="005B60E4" w:rsidRDefault="005B60E4" w:rsidP="00014AF3">
            <w:pPr>
              <w:spacing w:line="240" w:lineRule="auto"/>
            </w:pPr>
            <w:r w:rsidRPr="005B60E4">
              <w:t xml:space="preserve">1st November </w:t>
            </w:r>
          </w:p>
        </w:tc>
        <w:tc>
          <w:tcPr>
            <w:tcW w:w="1794" w:type="dxa"/>
            <w:noWrap/>
            <w:hideMark/>
          </w:tcPr>
          <w:p w14:paraId="7CCA2103" w14:textId="77777777" w:rsidR="005B60E4" w:rsidRPr="005B60E4" w:rsidRDefault="005B60E4" w:rsidP="00014AF3">
            <w:pPr>
              <w:spacing w:line="240" w:lineRule="auto"/>
            </w:pPr>
            <w:r w:rsidRPr="005B60E4">
              <w:t>October</w:t>
            </w:r>
          </w:p>
        </w:tc>
        <w:tc>
          <w:tcPr>
            <w:tcW w:w="913" w:type="dxa"/>
            <w:noWrap/>
            <w:hideMark/>
          </w:tcPr>
          <w:p w14:paraId="71616BFB" w14:textId="250C8D57" w:rsidR="005B60E4" w:rsidRPr="005B60E4" w:rsidRDefault="005B60E4" w:rsidP="00BA7380">
            <w:pPr>
              <w:spacing w:line="240" w:lineRule="auto"/>
              <w:jc w:val="center"/>
            </w:pPr>
            <w:r w:rsidRPr="005B60E4">
              <w:t>627.67</w:t>
            </w:r>
          </w:p>
        </w:tc>
        <w:tc>
          <w:tcPr>
            <w:tcW w:w="1080" w:type="dxa"/>
            <w:noWrap/>
            <w:hideMark/>
          </w:tcPr>
          <w:p w14:paraId="41787664" w14:textId="7BBA6902" w:rsidR="005B60E4" w:rsidRPr="005B60E4" w:rsidRDefault="005B60E4" w:rsidP="00BA7380">
            <w:pPr>
              <w:spacing w:line="240" w:lineRule="auto"/>
              <w:jc w:val="center"/>
            </w:pPr>
            <w:r w:rsidRPr="005B60E4">
              <w:t>2.00</w:t>
            </w:r>
          </w:p>
        </w:tc>
        <w:tc>
          <w:tcPr>
            <w:tcW w:w="1440" w:type="dxa"/>
            <w:noWrap/>
            <w:hideMark/>
          </w:tcPr>
          <w:p w14:paraId="4562BE0F" w14:textId="77777777" w:rsidR="005B60E4" w:rsidRPr="005B60E4" w:rsidRDefault="005B60E4" w:rsidP="00014AF3">
            <w:pPr>
              <w:spacing w:line="240" w:lineRule="auto"/>
            </w:pPr>
            <w:r w:rsidRPr="005B60E4">
              <w:t xml:space="preserve">        683.00 </w:t>
            </w:r>
          </w:p>
        </w:tc>
        <w:tc>
          <w:tcPr>
            <w:tcW w:w="1440" w:type="dxa"/>
            <w:noWrap/>
            <w:hideMark/>
          </w:tcPr>
          <w:p w14:paraId="78221638" w14:textId="062C3B56" w:rsidR="005B60E4" w:rsidRPr="005B60E4" w:rsidRDefault="005B60E4" w:rsidP="00BA7380">
            <w:pPr>
              <w:spacing w:line="240" w:lineRule="auto"/>
              <w:jc w:val="center"/>
            </w:pPr>
            <w:r w:rsidRPr="005B60E4">
              <w:t>2.03</w:t>
            </w:r>
          </w:p>
        </w:tc>
        <w:tc>
          <w:tcPr>
            <w:tcW w:w="2340" w:type="dxa"/>
            <w:noWrap/>
            <w:hideMark/>
          </w:tcPr>
          <w:p w14:paraId="4EBB5B34" w14:textId="77777777" w:rsidR="005B60E4" w:rsidRPr="005B60E4" w:rsidRDefault="005B60E4" w:rsidP="00014AF3">
            <w:pPr>
              <w:spacing w:line="240" w:lineRule="auto"/>
            </w:pPr>
            <w:r w:rsidRPr="005B60E4">
              <w:t xml:space="preserve">                 633.33 </w:t>
            </w:r>
          </w:p>
        </w:tc>
        <w:tc>
          <w:tcPr>
            <w:tcW w:w="2250" w:type="dxa"/>
            <w:noWrap/>
            <w:hideMark/>
          </w:tcPr>
          <w:p w14:paraId="04A6B349" w14:textId="77777777" w:rsidR="005B60E4" w:rsidRPr="005B60E4" w:rsidRDefault="005B60E4" w:rsidP="00014AF3">
            <w:pPr>
              <w:spacing w:line="240" w:lineRule="auto"/>
            </w:pPr>
            <w:r w:rsidRPr="005B60E4">
              <w:t xml:space="preserve">                      2.10 </w:t>
            </w:r>
          </w:p>
        </w:tc>
      </w:tr>
      <w:tr w:rsidR="00BA7380" w:rsidRPr="005B60E4" w14:paraId="42D7B068" w14:textId="77777777" w:rsidTr="00BA7380">
        <w:trPr>
          <w:trHeight w:val="288"/>
        </w:trPr>
        <w:tc>
          <w:tcPr>
            <w:tcW w:w="1703" w:type="dxa"/>
            <w:noWrap/>
            <w:hideMark/>
          </w:tcPr>
          <w:p w14:paraId="39473E5B" w14:textId="77777777" w:rsidR="005B60E4" w:rsidRPr="005B60E4" w:rsidRDefault="005B60E4" w:rsidP="00014AF3">
            <w:pPr>
              <w:spacing w:line="240" w:lineRule="auto"/>
            </w:pPr>
            <w:r w:rsidRPr="005B60E4">
              <w:t>1st December</w:t>
            </w:r>
          </w:p>
        </w:tc>
        <w:tc>
          <w:tcPr>
            <w:tcW w:w="1794" w:type="dxa"/>
            <w:noWrap/>
            <w:hideMark/>
          </w:tcPr>
          <w:p w14:paraId="7D2FF508" w14:textId="77777777" w:rsidR="005B60E4" w:rsidRPr="005B60E4" w:rsidRDefault="005B60E4" w:rsidP="00014AF3">
            <w:pPr>
              <w:spacing w:line="240" w:lineRule="auto"/>
            </w:pPr>
            <w:r w:rsidRPr="005B60E4">
              <w:t>November</w:t>
            </w:r>
          </w:p>
        </w:tc>
        <w:tc>
          <w:tcPr>
            <w:tcW w:w="913" w:type="dxa"/>
            <w:noWrap/>
            <w:hideMark/>
          </w:tcPr>
          <w:p w14:paraId="33D83B27" w14:textId="58509CEA" w:rsidR="005B60E4" w:rsidRPr="005B60E4" w:rsidRDefault="005B60E4" w:rsidP="00BA7380">
            <w:pPr>
              <w:spacing w:line="240" w:lineRule="auto"/>
              <w:jc w:val="center"/>
            </w:pPr>
            <w:r w:rsidRPr="005B60E4">
              <w:t>716.33</w:t>
            </w:r>
          </w:p>
        </w:tc>
        <w:tc>
          <w:tcPr>
            <w:tcW w:w="1080" w:type="dxa"/>
            <w:noWrap/>
            <w:hideMark/>
          </w:tcPr>
          <w:p w14:paraId="09621BC4" w14:textId="00B9310B" w:rsidR="005B60E4" w:rsidRPr="005B60E4" w:rsidRDefault="005B60E4" w:rsidP="00BA7380">
            <w:pPr>
              <w:spacing w:line="240" w:lineRule="auto"/>
              <w:jc w:val="center"/>
            </w:pPr>
            <w:r w:rsidRPr="005B60E4">
              <w:t>2.00</w:t>
            </w:r>
          </w:p>
        </w:tc>
        <w:tc>
          <w:tcPr>
            <w:tcW w:w="1440" w:type="dxa"/>
            <w:noWrap/>
            <w:hideMark/>
          </w:tcPr>
          <w:p w14:paraId="13CFE474" w14:textId="77777777" w:rsidR="005B60E4" w:rsidRPr="005B60E4" w:rsidRDefault="005B60E4" w:rsidP="00014AF3">
            <w:pPr>
              <w:spacing w:line="240" w:lineRule="auto"/>
            </w:pPr>
            <w:r w:rsidRPr="005B60E4">
              <w:t xml:space="preserve">        772.00 </w:t>
            </w:r>
          </w:p>
        </w:tc>
        <w:tc>
          <w:tcPr>
            <w:tcW w:w="1440" w:type="dxa"/>
            <w:noWrap/>
            <w:hideMark/>
          </w:tcPr>
          <w:p w14:paraId="297BFD19" w14:textId="476B39B6" w:rsidR="005B60E4" w:rsidRPr="005B60E4" w:rsidRDefault="005B60E4" w:rsidP="00BA7380">
            <w:pPr>
              <w:spacing w:line="240" w:lineRule="auto"/>
              <w:jc w:val="center"/>
            </w:pPr>
            <w:r w:rsidRPr="005B60E4">
              <w:t>2.10</w:t>
            </w:r>
          </w:p>
        </w:tc>
        <w:tc>
          <w:tcPr>
            <w:tcW w:w="2340" w:type="dxa"/>
            <w:noWrap/>
            <w:hideMark/>
          </w:tcPr>
          <w:p w14:paraId="14A98273" w14:textId="77777777" w:rsidR="005B60E4" w:rsidRPr="005B60E4" w:rsidRDefault="005B60E4" w:rsidP="00014AF3">
            <w:pPr>
              <w:spacing w:line="240" w:lineRule="auto"/>
            </w:pPr>
            <w:r w:rsidRPr="005B60E4">
              <w:t xml:space="preserve">                 800.33 </w:t>
            </w:r>
          </w:p>
        </w:tc>
        <w:tc>
          <w:tcPr>
            <w:tcW w:w="2250" w:type="dxa"/>
            <w:noWrap/>
            <w:hideMark/>
          </w:tcPr>
          <w:p w14:paraId="45FE2B80" w14:textId="77777777" w:rsidR="005B60E4" w:rsidRPr="005B60E4" w:rsidRDefault="005B60E4" w:rsidP="00014AF3">
            <w:pPr>
              <w:spacing w:line="240" w:lineRule="auto"/>
            </w:pPr>
            <w:r w:rsidRPr="005B60E4">
              <w:t xml:space="preserve">                      2.10 </w:t>
            </w:r>
          </w:p>
        </w:tc>
      </w:tr>
      <w:tr w:rsidR="00BA7380" w:rsidRPr="005B60E4" w14:paraId="60A757AE" w14:textId="77777777" w:rsidTr="00BA7380">
        <w:trPr>
          <w:trHeight w:val="288"/>
        </w:trPr>
        <w:tc>
          <w:tcPr>
            <w:tcW w:w="1703" w:type="dxa"/>
            <w:noWrap/>
            <w:hideMark/>
          </w:tcPr>
          <w:p w14:paraId="679756A0" w14:textId="77777777" w:rsidR="005B60E4" w:rsidRPr="005B60E4" w:rsidRDefault="005B60E4" w:rsidP="00014AF3">
            <w:pPr>
              <w:spacing w:line="240" w:lineRule="auto"/>
            </w:pPr>
            <w:r w:rsidRPr="005B60E4">
              <w:t>1st January</w:t>
            </w:r>
          </w:p>
        </w:tc>
        <w:tc>
          <w:tcPr>
            <w:tcW w:w="1794" w:type="dxa"/>
            <w:noWrap/>
            <w:hideMark/>
          </w:tcPr>
          <w:p w14:paraId="33E337F4" w14:textId="77777777" w:rsidR="005B60E4" w:rsidRPr="005B60E4" w:rsidRDefault="005B60E4" w:rsidP="00014AF3">
            <w:pPr>
              <w:spacing w:line="240" w:lineRule="auto"/>
            </w:pPr>
            <w:r w:rsidRPr="005B60E4">
              <w:t>December</w:t>
            </w:r>
          </w:p>
        </w:tc>
        <w:tc>
          <w:tcPr>
            <w:tcW w:w="913" w:type="dxa"/>
            <w:noWrap/>
            <w:hideMark/>
          </w:tcPr>
          <w:p w14:paraId="2EE660D6" w14:textId="57ADCA28" w:rsidR="005B60E4" w:rsidRPr="005B60E4" w:rsidRDefault="005B60E4" w:rsidP="00BA7380">
            <w:pPr>
              <w:spacing w:line="240" w:lineRule="auto"/>
              <w:jc w:val="center"/>
            </w:pPr>
            <w:r w:rsidRPr="005B60E4">
              <w:t>756.67</w:t>
            </w:r>
          </w:p>
        </w:tc>
        <w:tc>
          <w:tcPr>
            <w:tcW w:w="1080" w:type="dxa"/>
            <w:noWrap/>
            <w:hideMark/>
          </w:tcPr>
          <w:p w14:paraId="571DB95F" w14:textId="6B9850B0" w:rsidR="005B60E4" w:rsidRPr="005B60E4" w:rsidRDefault="005B60E4" w:rsidP="00BA7380">
            <w:pPr>
              <w:spacing w:line="240" w:lineRule="auto"/>
              <w:jc w:val="center"/>
            </w:pPr>
            <w:r w:rsidRPr="005B60E4">
              <w:t>2.20</w:t>
            </w:r>
          </w:p>
        </w:tc>
        <w:tc>
          <w:tcPr>
            <w:tcW w:w="1440" w:type="dxa"/>
            <w:noWrap/>
            <w:hideMark/>
          </w:tcPr>
          <w:p w14:paraId="2A5D643B" w14:textId="77777777" w:rsidR="005B60E4" w:rsidRPr="005B60E4" w:rsidRDefault="005B60E4" w:rsidP="00014AF3">
            <w:pPr>
              <w:spacing w:line="240" w:lineRule="auto"/>
            </w:pPr>
            <w:r w:rsidRPr="005B60E4">
              <w:t xml:space="preserve">        741.00 </w:t>
            </w:r>
          </w:p>
        </w:tc>
        <w:tc>
          <w:tcPr>
            <w:tcW w:w="1440" w:type="dxa"/>
            <w:noWrap/>
            <w:hideMark/>
          </w:tcPr>
          <w:p w14:paraId="5BDAE26E" w14:textId="300573CA" w:rsidR="005B60E4" w:rsidRPr="005B60E4" w:rsidRDefault="005B60E4" w:rsidP="00BA7380">
            <w:pPr>
              <w:spacing w:line="240" w:lineRule="auto"/>
              <w:jc w:val="center"/>
            </w:pPr>
            <w:r w:rsidRPr="005B60E4">
              <w:t>2.07</w:t>
            </w:r>
          </w:p>
        </w:tc>
        <w:tc>
          <w:tcPr>
            <w:tcW w:w="2340" w:type="dxa"/>
            <w:noWrap/>
            <w:hideMark/>
          </w:tcPr>
          <w:p w14:paraId="772D7C3C" w14:textId="77777777" w:rsidR="005B60E4" w:rsidRPr="005B60E4" w:rsidRDefault="005B60E4" w:rsidP="00014AF3">
            <w:pPr>
              <w:spacing w:line="240" w:lineRule="auto"/>
            </w:pPr>
            <w:r w:rsidRPr="005B60E4">
              <w:t xml:space="preserve">                 800.33 </w:t>
            </w:r>
          </w:p>
        </w:tc>
        <w:tc>
          <w:tcPr>
            <w:tcW w:w="2250" w:type="dxa"/>
            <w:noWrap/>
            <w:hideMark/>
          </w:tcPr>
          <w:p w14:paraId="270407AE" w14:textId="2B9DB497" w:rsidR="00831D7F" w:rsidRPr="005B60E4" w:rsidRDefault="005B60E4" w:rsidP="00014AF3">
            <w:pPr>
              <w:spacing w:line="240" w:lineRule="auto"/>
            </w:pPr>
            <w:r w:rsidRPr="005B60E4">
              <w:t xml:space="preserve">                      2.10 </w:t>
            </w:r>
          </w:p>
        </w:tc>
      </w:tr>
    </w:tbl>
    <w:p w14:paraId="66610F98" w14:textId="152BDA68" w:rsidR="005B60E4" w:rsidRDefault="005B60E4" w:rsidP="00F03645">
      <w:pPr>
        <w:spacing w:line="480" w:lineRule="auto"/>
        <w:rPr>
          <w:lang w:val="en-US"/>
        </w:rPr>
      </w:pPr>
    </w:p>
    <w:p w14:paraId="624048FA" w14:textId="63C99753" w:rsidR="00831D7F" w:rsidRDefault="00831D7F" w:rsidP="00F03645">
      <w:pPr>
        <w:spacing w:line="480" w:lineRule="auto"/>
        <w:rPr>
          <w:lang w:val="en-US"/>
        </w:rPr>
      </w:pPr>
    </w:p>
    <w:p w14:paraId="4B2DB8A8" w14:textId="433154C0" w:rsidR="00831D7F" w:rsidRPr="000921C8" w:rsidRDefault="00831D7F" w:rsidP="00F03645">
      <w:pPr>
        <w:spacing w:line="480" w:lineRule="auto"/>
        <w:jc w:val="center"/>
        <w:rPr>
          <w:b/>
          <w:lang w:val="en-US"/>
        </w:rPr>
      </w:pPr>
      <w:r w:rsidRPr="000921C8">
        <w:rPr>
          <w:b/>
          <w:lang w:val="en-US"/>
        </w:rPr>
        <w:t>Table  3.</w:t>
      </w:r>
      <w:r w:rsidR="002F4348">
        <w:rPr>
          <w:b/>
          <w:lang w:val="en-US"/>
        </w:rPr>
        <w:t>5</w:t>
      </w:r>
      <w:r w:rsidR="009F7871">
        <w:rPr>
          <w:b/>
          <w:lang w:val="en-US"/>
        </w:rPr>
        <w:t xml:space="preserve"> – Sample of Hourly </w:t>
      </w:r>
      <w:r w:rsidR="00CC3433">
        <w:rPr>
          <w:b/>
          <w:lang w:val="en-US"/>
        </w:rPr>
        <w:t xml:space="preserve">Load </w:t>
      </w:r>
      <w:r w:rsidR="009F7871">
        <w:rPr>
          <w:b/>
          <w:lang w:val="en-US"/>
        </w:rPr>
        <w:t>Measurements</w:t>
      </w:r>
      <w:r w:rsidR="00CC3433">
        <w:rPr>
          <w:b/>
          <w:lang w:val="en-US"/>
        </w:rPr>
        <w:t xml:space="preserve"> in MW</w:t>
      </w:r>
      <w:r w:rsidR="009F7871">
        <w:rPr>
          <w:b/>
          <w:lang w:val="en-US"/>
        </w:rPr>
        <w:t xml:space="preserve"> for a Selected Week</w:t>
      </w:r>
      <w:r w:rsidR="00F16BCE">
        <w:rPr>
          <w:b/>
          <w:lang w:val="en-US"/>
        </w:rPr>
        <w:t xml:space="preserve"> (provided by TCN)</w:t>
      </w:r>
      <w:r w:rsidR="000921C8" w:rsidRPr="000921C8">
        <w:rPr>
          <w:b/>
          <w:lang w:val="en-US"/>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960"/>
        <w:gridCol w:w="1340"/>
        <w:gridCol w:w="1310"/>
        <w:gridCol w:w="1310"/>
        <w:gridCol w:w="1340"/>
        <w:gridCol w:w="1360"/>
        <w:gridCol w:w="1420"/>
        <w:gridCol w:w="1420"/>
        <w:gridCol w:w="1415"/>
      </w:tblGrid>
      <w:tr w:rsidR="00831D7F" w:rsidRPr="00831D7F" w14:paraId="73737D4E" w14:textId="77777777" w:rsidTr="00AF33BB">
        <w:trPr>
          <w:trHeight w:val="288"/>
          <w:jc w:val="center"/>
        </w:trPr>
        <w:tc>
          <w:tcPr>
            <w:tcW w:w="960" w:type="dxa"/>
            <w:tcBorders>
              <w:top w:val="single" w:sz="4" w:space="0" w:color="auto"/>
              <w:bottom w:val="single" w:sz="4" w:space="0" w:color="auto"/>
            </w:tcBorders>
            <w:noWrap/>
            <w:hideMark/>
          </w:tcPr>
          <w:p w14:paraId="01CBC4FA" w14:textId="7C848CAD" w:rsidR="00831D7F" w:rsidRPr="00831D7F" w:rsidRDefault="00AF33BB" w:rsidP="00BA7380">
            <w:pPr>
              <w:spacing w:line="240" w:lineRule="auto"/>
              <w:jc w:val="center"/>
              <w:rPr>
                <w:lang w:val="en-US"/>
              </w:rPr>
            </w:pPr>
            <w:r>
              <w:rPr>
                <w:lang w:val="en-US"/>
              </w:rPr>
              <w:t>Hours</w:t>
            </w:r>
          </w:p>
        </w:tc>
        <w:tc>
          <w:tcPr>
            <w:tcW w:w="1340" w:type="dxa"/>
            <w:tcBorders>
              <w:top w:val="single" w:sz="4" w:space="0" w:color="auto"/>
              <w:bottom w:val="single" w:sz="4" w:space="0" w:color="auto"/>
            </w:tcBorders>
            <w:noWrap/>
            <w:hideMark/>
          </w:tcPr>
          <w:p w14:paraId="015067F7" w14:textId="77777777" w:rsidR="00831D7F" w:rsidRPr="00831D7F" w:rsidRDefault="00831D7F" w:rsidP="00BA7380">
            <w:pPr>
              <w:spacing w:line="240" w:lineRule="auto"/>
              <w:jc w:val="center"/>
            </w:pPr>
            <w:r w:rsidRPr="00831D7F">
              <w:t>12/05/2021</w:t>
            </w:r>
          </w:p>
        </w:tc>
        <w:tc>
          <w:tcPr>
            <w:tcW w:w="1310" w:type="dxa"/>
            <w:tcBorders>
              <w:top w:val="single" w:sz="4" w:space="0" w:color="auto"/>
              <w:bottom w:val="single" w:sz="4" w:space="0" w:color="auto"/>
            </w:tcBorders>
            <w:noWrap/>
            <w:hideMark/>
          </w:tcPr>
          <w:p w14:paraId="04B12A9B" w14:textId="77777777" w:rsidR="00831D7F" w:rsidRPr="00831D7F" w:rsidRDefault="00831D7F" w:rsidP="00BA7380">
            <w:pPr>
              <w:spacing w:line="240" w:lineRule="auto"/>
              <w:jc w:val="center"/>
            </w:pPr>
            <w:r w:rsidRPr="00831D7F">
              <w:t>13/05/2021</w:t>
            </w:r>
          </w:p>
        </w:tc>
        <w:tc>
          <w:tcPr>
            <w:tcW w:w="1310" w:type="dxa"/>
            <w:tcBorders>
              <w:top w:val="single" w:sz="4" w:space="0" w:color="auto"/>
              <w:bottom w:val="single" w:sz="4" w:space="0" w:color="auto"/>
            </w:tcBorders>
            <w:noWrap/>
            <w:hideMark/>
          </w:tcPr>
          <w:p w14:paraId="1BBC2571" w14:textId="77777777" w:rsidR="00831D7F" w:rsidRPr="00831D7F" w:rsidRDefault="00831D7F" w:rsidP="00BA7380">
            <w:pPr>
              <w:spacing w:line="240" w:lineRule="auto"/>
              <w:jc w:val="center"/>
            </w:pPr>
            <w:r w:rsidRPr="00831D7F">
              <w:t>14/05/2021</w:t>
            </w:r>
          </w:p>
        </w:tc>
        <w:tc>
          <w:tcPr>
            <w:tcW w:w="1340" w:type="dxa"/>
            <w:tcBorders>
              <w:top w:val="single" w:sz="4" w:space="0" w:color="auto"/>
              <w:bottom w:val="single" w:sz="4" w:space="0" w:color="auto"/>
            </w:tcBorders>
            <w:noWrap/>
            <w:hideMark/>
          </w:tcPr>
          <w:p w14:paraId="1BF51C0D" w14:textId="77777777" w:rsidR="00831D7F" w:rsidRPr="00831D7F" w:rsidRDefault="00831D7F" w:rsidP="00BA7380">
            <w:pPr>
              <w:spacing w:line="240" w:lineRule="auto"/>
              <w:jc w:val="center"/>
            </w:pPr>
            <w:r w:rsidRPr="00831D7F">
              <w:t>15/05/2021</w:t>
            </w:r>
          </w:p>
        </w:tc>
        <w:tc>
          <w:tcPr>
            <w:tcW w:w="1360" w:type="dxa"/>
            <w:tcBorders>
              <w:top w:val="single" w:sz="4" w:space="0" w:color="auto"/>
              <w:bottom w:val="single" w:sz="4" w:space="0" w:color="auto"/>
            </w:tcBorders>
            <w:noWrap/>
            <w:hideMark/>
          </w:tcPr>
          <w:p w14:paraId="2541ED06" w14:textId="77777777" w:rsidR="00831D7F" w:rsidRPr="00831D7F" w:rsidRDefault="00831D7F" w:rsidP="00BA7380">
            <w:pPr>
              <w:spacing w:line="240" w:lineRule="auto"/>
              <w:jc w:val="center"/>
            </w:pPr>
            <w:r w:rsidRPr="00831D7F">
              <w:t>16/05/2021</w:t>
            </w:r>
          </w:p>
        </w:tc>
        <w:tc>
          <w:tcPr>
            <w:tcW w:w="1420" w:type="dxa"/>
            <w:tcBorders>
              <w:top w:val="single" w:sz="4" w:space="0" w:color="auto"/>
              <w:bottom w:val="single" w:sz="4" w:space="0" w:color="auto"/>
            </w:tcBorders>
            <w:noWrap/>
            <w:hideMark/>
          </w:tcPr>
          <w:p w14:paraId="6D2ED1E6" w14:textId="77777777" w:rsidR="00831D7F" w:rsidRPr="00831D7F" w:rsidRDefault="00831D7F" w:rsidP="00BA7380">
            <w:pPr>
              <w:spacing w:line="240" w:lineRule="auto"/>
              <w:jc w:val="center"/>
            </w:pPr>
            <w:r w:rsidRPr="00831D7F">
              <w:t>17/05/2021</w:t>
            </w:r>
          </w:p>
        </w:tc>
        <w:tc>
          <w:tcPr>
            <w:tcW w:w="1420" w:type="dxa"/>
            <w:tcBorders>
              <w:top w:val="single" w:sz="4" w:space="0" w:color="auto"/>
              <w:bottom w:val="single" w:sz="4" w:space="0" w:color="auto"/>
            </w:tcBorders>
            <w:noWrap/>
            <w:hideMark/>
          </w:tcPr>
          <w:p w14:paraId="383752C6" w14:textId="77777777" w:rsidR="00831D7F" w:rsidRPr="00831D7F" w:rsidRDefault="00831D7F" w:rsidP="00BA7380">
            <w:pPr>
              <w:spacing w:line="240" w:lineRule="auto"/>
              <w:jc w:val="center"/>
            </w:pPr>
            <w:r w:rsidRPr="00831D7F">
              <w:t>18/05/2021</w:t>
            </w:r>
          </w:p>
        </w:tc>
        <w:tc>
          <w:tcPr>
            <w:tcW w:w="1415" w:type="dxa"/>
            <w:tcBorders>
              <w:top w:val="single" w:sz="4" w:space="0" w:color="auto"/>
              <w:bottom w:val="single" w:sz="4" w:space="0" w:color="auto"/>
            </w:tcBorders>
            <w:noWrap/>
            <w:hideMark/>
          </w:tcPr>
          <w:p w14:paraId="3D6F5743" w14:textId="77777777" w:rsidR="00831D7F" w:rsidRPr="00831D7F" w:rsidRDefault="00831D7F" w:rsidP="00BA7380">
            <w:pPr>
              <w:spacing w:line="240" w:lineRule="auto"/>
              <w:jc w:val="center"/>
            </w:pPr>
            <w:r w:rsidRPr="00831D7F">
              <w:t>19/05/2021</w:t>
            </w:r>
          </w:p>
        </w:tc>
      </w:tr>
      <w:tr w:rsidR="00831D7F" w:rsidRPr="00831D7F" w14:paraId="516B6D9F" w14:textId="77777777" w:rsidTr="00AF33BB">
        <w:trPr>
          <w:trHeight w:val="288"/>
          <w:jc w:val="center"/>
        </w:trPr>
        <w:tc>
          <w:tcPr>
            <w:tcW w:w="960" w:type="dxa"/>
            <w:tcBorders>
              <w:top w:val="single" w:sz="4" w:space="0" w:color="auto"/>
            </w:tcBorders>
            <w:noWrap/>
            <w:hideMark/>
          </w:tcPr>
          <w:p w14:paraId="309AFC9E" w14:textId="77777777" w:rsidR="00831D7F" w:rsidRPr="00831D7F" w:rsidRDefault="00831D7F" w:rsidP="00BA7380">
            <w:pPr>
              <w:spacing w:line="240" w:lineRule="auto"/>
              <w:jc w:val="center"/>
            </w:pPr>
            <w:r w:rsidRPr="00831D7F">
              <w:t>0</w:t>
            </w:r>
          </w:p>
        </w:tc>
        <w:tc>
          <w:tcPr>
            <w:tcW w:w="1340" w:type="dxa"/>
            <w:tcBorders>
              <w:top w:val="single" w:sz="4" w:space="0" w:color="auto"/>
            </w:tcBorders>
            <w:noWrap/>
            <w:hideMark/>
          </w:tcPr>
          <w:p w14:paraId="44DA06CD" w14:textId="77777777" w:rsidR="00831D7F" w:rsidRPr="00831D7F" w:rsidRDefault="00831D7F" w:rsidP="00BA7380">
            <w:pPr>
              <w:spacing w:line="240" w:lineRule="auto"/>
              <w:jc w:val="center"/>
            </w:pPr>
            <w:r w:rsidRPr="00831D7F">
              <w:t>2.3</w:t>
            </w:r>
          </w:p>
        </w:tc>
        <w:tc>
          <w:tcPr>
            <w:tcW w:w="1310" w:type="dxa"/>
            <w:tcBorders>
              <w:top w:val="single" w:sz="4" w:space="0" w:color="auto"/>
            </w:tcBorders>
            <w:noWrap/>
            <w:hideMark/>
          </w:tcPr>
          <w:p w14:paraId="7B43B24C" w14:textId="77777777" w:rsidR="00831D7F" w:rsidRPr="00831D7F" w:rsidRDefault="00831D7F" w:rsidP="00BA7380">
            <w:pPr>
              <w:spacing w:line="240" w:lineRule="auto"/>
              <w:jc w:val="center"/>
            </w:pPr>
            <w:r w:rsidRPr="00831D7F">
              <w:t>3.2</w:t>
            </w:r>
          </w:p>
        </w:tc>
        <w:tc>
          <w:tcPr>
            <w:tcW w:w="1310" w:type="dxa"/>
            <w:tcBorders>
              <w:top w:val="single" w:sz="4" w:space="0" w:color="auto"/>
            </w:tcBorders>
            <w:noWrap/>
            <w:hideMark/>
          </w:tcPr>
          <w:p w14:paraId="6F1C06EA" w14:textId="77777777" w:rsidR="00831D7F" w:rsidRPr="00831D7F" w:rsidRDefault="00831D7F" w:rsidP="00BA7380">
            <w:pPr>
              <w:spacing w:line="240" w:lineRule="auto"/>
              <w:jc w:val="center"/>
            </w:pPr>
            <w:r w:rsidRPr="00831D7F">
              <w:t>2.9</w:t>
            </w:r>
          </w:p>
        </w:tc>
        <w:tc>
          <w:tcPr>
            <w:tcW w:w="1340" w:type="dxa"/>
            <w:tcBorders>
              <w:top w:val="single" w:sz="4" w:space="0" w:color="auto"/>
            </w:tcBorders>
            <w:noWrap/>
            <w:hideMark/>
          </w:tcPr>
          <w:p w14:paraId="21424236" w14:textId="77777777" w:rsidR="00831D7F" w:rsidRPr="00831D7F" w:rsidRDefault="00831D7F" w:rsidP="00BA7380">
            <w:pPr>
              <w:spacing w:line="240" w:lineRule="auto"/>
              <w:jc w:val="center"/>
            </w:pPr>
            <w:r w:rsidRPr="00831D7F">
              <w:t>3</w:t>
            </w:r>
          </w:p>
        </w:tc>
        <w:tc>
          <w:tcPr>
            <w:tcW w:w="1360" w:type="dxa"/>
            <w:tcBorders>
              <w:top w:val="single" w:sz="4" w:space="0" w:color="auto"/>
            </w:tcBorders>
            <w:noWrap/>
            <w:hideMark/>
          </w:tcPr>
          <w:p w14:paraId="05F2C732" w14:textId="77777777" w:rsidR="00831D7F" w:rsidRPr="00831D7F" w:rsidRDefault="00831D7F" w:rsidP="00BA7380">
            <w:pPr>
              <w:spacing w:line="240" w:lineRule="auto"/>
              <w:jc w:val="center"/>
            </w:pPr>
            <w:r w:rsidRPr="00831D7F">
              <w:t>3.25</w:t>
            </w:r>
          </w:p>
        </w:tc>
        <w:tc>
          <w:tcPr>
            <w:tcW w:w="1420" w:type="dxa"/>
            <w:tcBorders>
              <w:top w:val="single" w:sz="4" w:space="0" w:color="auto"/>
            </w:tcBorders>
            <w:noWrap/>
            <w:hideMark/>
          </w:tcPr>
          <w:p w14:paraId="4DD077C5" w14:textId="77777777" w:rsidR="00831D7F" w:rsidRPr="00831D7F" w:rsidRDefault="00831D7F" w:rsidP="00BA7380">
            <w:pPr>
              <w:spacing w:line="240" w:lineRule="auto"/>
              <w:jc w:val="center"/>
            </w:pPr>
            <w:r w:rsidRPr="00831D7F">
              <w:t>3.25</w:t>
            </w:r>
          </w:p>
        </w:tc>
        <w:tc>
          <w:tcPr>
            <w:tcW w:w="1420" w:type="dxa"/>
            <w:tcBorders>
              <w:top w:val="single" w:sz="4" w:space="0" w:color="auto"/>
            </w:tcBorders>
            <w:noWrap/>
            <w:hideMark/>
          </w:tcPr>
          <w:p w14:paraId="518F99A8" w14:textId="77777777" w:rsidR="00831D7F" w:rsidRPr="00831D7F" w:rsidRDefault="00831D7F" w:rsidP="00BA7380">
            <w:pPr>
              <w:spacing w:line="240" w:lineRule="auto"/>
              <w:jc w:val="center"/>
            </w:pPr>
            <w:r w:rsidRPr="00831D7F">
              <w:t>3</w:t>
            </w:r>
          </w:p>
        </w:tc>
        <w:tc>
          <w:tcPr>
            <w:tcW w:w="1415" w:type="dxa"/>
            <w:tcBorders>
              <w:top w:val="single" w:sz="4" w:space="0" w:color="auto"/>
            </w:tcBorders>
            <w:noWrap/>
            <w:hideMark/>
          </w:tcPr>
          <w:p w14:paraId="0D069AC0" w14:textId="77777777" w:rsidR="00831D7F" w:rsidRPr="00831D7F" w:rsidRDefault="00831D7F" w:rsidP="00BA7380">
            <w:pPr>
              <w:spacing w:line="240" w:lineRule="auto"/>
              <w:jc w:val="center"/>
            </w:pPr>
            <w:r w:rsidRPr="00831D7F">
              <w:t>2.9</w:t>
            </w:r>
          </w:p>
        </w:tc>
      </w:tr>
      <w:tr w:rsidR="00831D7F" w:rsidRPr="00831D7F" w14:paraId="3F5853B1" w14:textId="77777777" w:rsidTr="00AF33BB">
        <w:trPr>
          <w:trHeight w:val="288"/>
          <w:jc w:val="center"/>
        </w:trPr>
        <w:tc>
          <w:tcPr>
            <w:tcW w:w="960" w:type="dxa"/>
            <w:noWrap/>
            <w:hideMark/>
          </w:tcPr>
          <w:p w14:paraId="21595D9B" w14:textId="77777777" w:rsidR="00831D7F" w:rsidRPr="00831D7F" w:rsidRDefault="00831D7F" w:rsidP="00BA7380">
            <w:pPr>
              <w:spacing w:line="240" w:lineRule="auto"/>
              <w:jc w:val="center"/>
            </w:pPr>
            <w:r w:rsidRPr="00831D7F">
              <w:t>1</w:t>
            </w:r>
          </w:p>
        </w:tc>
        <w:tc>
          <w:tcPr>
            <w:tcW w:w="1340" w:type="dxa"/>
            <w:noWrap/>
            <w:hideMark/>
          </w:tcPr>
          <w:p w14:paraId="7C68CBE9" w14:textId="77777777" w:rsidR="00831D7F" w:rsidRPr="00831D7F" w:rsidRDefault="00831D7F" w:rsidP="00BA7380">
            <w:pPr>
              <w:spacing w:line="240" w:lineRule="auto"/>
              <w:jc w:val="center"/>
            </w:pPr>
            <w:r w:rsidRPr="00831D7F">
              <w:t>2.2</w:t>
            </w:r>
          </w:p>
        </w:tc>
        <w:tc>
          <w:tcPr>
            <w:tcW w:w="1310" w:type="dxa"/>
            <w:noWrap/>
            <w:hideMark/>
          </w:tcPr>
          <w:p w14:paraId="5B63AA38" w14:textId="77777777" w:rsidR="00831D7F" w:rsidRPr="00831D7F" w:rsidRDefault="00831D7F" w:rsidP="00BA7380">
            <w:pPr>
              <w:spacing w:line="240" w:lineRule="auto"/>
              <w:jc w:val="center"/>
            </w:pPr>
            <w:r w:rsidRPr="00831D7F">
              <w:t>3</w:t>
            </w:r>
          </w:p>
        </w:tc>
        <w:tc>
          <w:tcPr>
            <w:tcW w:w="1310" w:type="dxa"/>
            <w:noWrap/>
            <w:hideMark/>
          </w:tcPr>
          <w:p w14:paraId="19861ADC" w14:textId="77777777" w:rsidR="00831D7F" w:rsidRPr="00831D7F" w:rsidRDefault="00831D7F" w:rsidP="00BA7380">
            <w:pPr>
              <w:spacing w:line="240" w:lineRule="auto"/>
              <w:jc w:val="center"/>
            </w:pPr>
            <w:r w:rsidRPr="00831D7F">
              <w:t>2.9</w:t>
            </w:r>
          </w:p>
        </w:tc>
        <w:tc>
          <w:tcPr>
            <w:tcW w:w="1340" w:type="dxa"/>
            <w:noWrap/>
            <w:hideMark/>
          </w:tcPr>
          <w:p w14:paraId="48C12EB5" w14:textId="77777777" w:rsidR="00831D7F" w:rsidRPr="00831D7F" w:rsidRDefault="00831D7F" w:rsidP="00BA7380">
            <w:pPr>
              <w:spacing w:line="240" w:lineRule="auto"/>
              <w:jc w:val="center"/>
            </w:pPr>
            <w:r w:rsidRPr="00831D7F">
              <w:t>3.2</w:t>
            </w:r>
          </w:p>
        </w:tc>
        <w:tc>
          <w:tcPr>
            <w:tcW w:w="1360" w:type="dxa"/>
            <w:noWrap/>
            <w:hideMark/>
          </w:tcPr>
          <w:p w14:paraId="3629A5DA" w14:textId="77777777" w:rsidR="00831D7F" w:rsidRPr="00831D7F" w:rsidRDefault="00831D7F" w:rsidP="00BA7380">
            <w:pPr>
              <w:spacing w:line="240" w:lineRule="auto"/>
              <w:jc w:val="center"/>
            </w:pPr>
            <w:r w:rsidRPr="00831D7F">
              <w:t>3.25</w:t>
            </w:r>
          </w:p>
        </w:tc>
        <w:tc>
          <w:tcPr>
            <w:tcW w:w="1420" w:type="dxa"/>
            <w:noWrap/>
            <w:hideMark/>
          </w:tcPr>
          <w:p w14:paraId="76CC7CB3" w14:textId="77777777" w:rsidR="00831D7F" w:rsidRPr="00831D7F" w:rsidRDefault="00831D7F" w:rsidP="00BA7380">
            <w:pPr>
              <w:spacing w:line="240" w:lineRule="auto"/>
              <w:jc w:val="center"/>
            </w:pPr>
            <w:r w:rsidRPr="00831D7F">
              <w:t>3.25</w:t>
            </w:r>
          </w:p>
        </w:tc>
        <w:tc>
          <w:tcPr>
            <w:tcW w:w="1420" w:type="dxa"/>
            <w:noWrap/>
            <w:hideMark/>
          </w:tcPr>
          <w:p w14:paraId="1DD8DD6F" w14:textId="77777777" w:rsidR="00831D7F" w:rsidRPr="00831D7F" w:rsidRDefault="00831D7F" w:rsidP="00BA7380">
            <w:pPr>
              <w:spacing w:line="240" w:lineRule="auto"/>
              <w:jc w:val="center"/>
            </w:pPr>
            <w:r w:rsidRPr="00831D7F">
              <w:t>2.6</w:t>
            </w:r>
          </w:p>
        </w:tc>
        <w:tc>
          <w:tcPr>
            <w:tcW w:w="1415" w:type="dxa"/>
            <w:noWrap/>
            <w:hideMark/>
          </w:tcPr>
          <w:p w14:paraId="23B3AF49" w14:textId="77777777" w:rsidR="00831D7F" w:rsidRPr="00831D7F" w:rsidRDefault="00831D7F" w:rsidP="00BA7380">
            <w:pPr>
              <w:spacing w:line="240" w:lineRule="auto"/>
              <w:jc w:val="center"/>
            </w:pPr>
            <w:r w:rsidRPr="00831D7F">
              <w:t>2.9</w:t>
            </w:r>
          </w:p>
        </w:tc>
      </w:tr>
      <w:tr w:rsidR="00831D7F" w:rsidRPr="00831D7F" w14:paraId="188679AC" w14:textId="77777777" w:rsidTr="00AF33BB">
        <w:trPr>
          <w:trHeight w:val="288"/>
          <w:jc w:val="center"/>
        </w:trPr>
        <w:tc>
          <w:tcPr>
            <w:tcW w:w="960" w:type="dxa"/>
            <w:noWrap/>
            <w:hideMark/>
          </w:tcPr>
          <w:p w14:paraId="3A8F94C7" w14:textId="77777777" w:rsidR="00831D7F" w:rsidRPr="00831D7F" w:rsidRDefault="00831D7F" w:rsidP="00BA7380">
            <w:pPr>
              <w:spacing w:line="240" w:lineRule="auto"/>
              <w:jc w:val="center"/>
            </w:pPr>
            <w:r w:rsidRPr="00831D7F">
              <w:t>2</w:t>
            </w:r>
          </w:p>
        </w:tc>
        <w:tc>
          <w:tcPr>
            <w:tcW w:w="1340" w:type="dxa"/>
            <w:noWrap/>
            <w:hideMark/>
          </w:tcPr>
          <w:p w14:paraId="314B6A37" w14:textId="77777777" w:rsidR="00831D7F" w:rsidRPr="00831D7F" w:rsidRDefault="00831D7F" w:rsidP="00BA7380">
            <w:pPr>
              <w:spacing w:line="240" w:lineRule="auto"/>
              <w:jc w:val="center"/>
            </w:pPr>
            <w:r w:rsidRPr="00831D7F">
              <w:t>2.2</w:t>
            </w:r>
          </w:p>
        </w:tc>
        <w:tc>
          <w:tcPr>
            <w:tcW w:w="1310" w:type="dxa"/>
            <w:noWrap/>
            <w:hideMark/>
          </w:tcPr>
          <w:p w14:paraId="3536843E" w14:textId="77777777" w:rsidR="00831D7F" w:rsidRPr="00831D7F" w:rsidRDefault="00831D7F" w:rsidP="00BA7380">
            <w:pPr>
              <w:spacing w:line="240" w:lineRule="auto"/>
              <w:jc w:val="center"/>
            </w:pPr>
            <w:r w:rsidRPr="00831D7F">
              <w:t>3</w:t>
            </w:r>
          </w:p>
        </w:tc>
        <w:tc>
          <w:tcPr>
            <w:tcW w:w="1310" w:type="dxa"/>
            <w:noWrap/>
            <w:hideMark/>
          </w:tcPr>
          <w:p w14:paraId="077C0436" w14:textId="77777777" w:rsidR="00831D7F" w:rsidRPr="00831D7F" w:rsidRDefault="00831D7F" w:rsidP="00BA7380">
            <w:pPr>
              <w:spacing w:line="240" w:lineRule="auto"/>
              <w:jc w:val="center"/>
            </w:pPr>
            <w:r w:rsidRPr="00831D7F">
              <w:t>2.9</w:t>
            </w:r>
          </w:p>
        </w:tc>
        <w:tc>
          <w:tcPr>
            <w:tcW w:w="1340" w:type="dxa"/>
            <w:noWrap/>
            <w:hideMark/>
          </w:tcPr>
          <w:p w14:paraId="3BBA3C3F" w14:textId="77777777" w:rsidR="00831D7F" w:rsidRPr="00831D7F" w:rsidRDefault="00831D7F" w:rsidP="00BA7380">
            <w:pPr>
              <w:spacing w:line="240" w:lineRule="auto"/>
              <w:jc w:val="center"/>
            </w:pPr>
            <w:r w:rsidRPr="00831D7F">
              <w:t>3.2</w:t>
            </w:r>
          </w:p>
        </w:tc>
        <w:tc>
          <w:tcPr>
            <w:tcW w:w="1360" w:type="dxa"/>
            <w:noWrap/>
            <w:hideMark/>
          </w:tcPr>
          <w:p w14:paraId="72A6124D" w14:textId="77777777" w:rsidR="00831D7F" w:rsidRPr="00831D7F" w:rsidRDefault="00831D7F" w:rsidP="00BA7380">
            <w:pPr>
              <w:spacing w:line="240" w:lineRule="auto"/>
              <w:jc w:val="center"/>
            </w:pPr>
            <w:r w:rsidRPr="00831D7F">
              <w:t>3.25</w:t>
            </w:r>
          </w:p>
        </w:tc>
        <w:tc>
          <w:tcPr>
            <w:tcW w:w="1420" w:type="dxa"/>
            <w:noWrap/>
            <w:hideMark/>
          </w:tcPr>
          <w:p w14:paraId="681916DF" w14:textId="77777777" w:rsidR="00831D7F" w:rsidRPr="00831D7F" w:rsidRDefault="00831D7F" w:rsidP="00BA7380">
            <w:pPr>
              <w:spacing w:line="240" w:lineRule="auto"/>
              <w:jc w:val="center"/>
            </w:pPr>
            <w:r w:rsidRPr="00831D7F">
              <w:t>3.25</w:t>
            </w:r>
          </w:p>
        </w:tc>
        <w:tc>
          <w:tcPr>
            <w:tcW w:w="1420" w:type="dxa"/>
            <w:noWrap/>
            <w:hideMark/>
          </w:tcPr>
          <w:p w14:paraId="258F4F71" w14:textId="77777777" w:rsidR="00831D7F" w:rsidRPr="00831D7F" w:rsidRDefault="00831D7F" w:rsidP="00BA7380">
            <w:pPr>
              <w:spacing w:line="240" w:lineRule="auto"/>
              <w:jc w:val="center"/>
            </w:pPr>
            <w:r w:rsidRPr="00831D7F">
              <w:t>2.6</w:t>
            </w:r>
          </w:p>
        </w:tc>
        <w:tc>
          <w:tcPr>
            <w:tcW w:w="1415" w:type="dxa"/>
            <w:noWrap/>
            <w:hideMark/>
          </w:tcPr>
          <w:p w14:paraId="05E76125" w14:textId="77777777" w:rsidR="00831D7F" w:rsidRPr="00831D7F" w:rsidRDefault="00831D7F" w:rsidP="00BA7380">
            <w:pPr>
              <w:spacing w:line="240" w:lineRule="auto"/>
              <w:jc w:val="center"/>
            </w:pPr>
            <w:r w:rsidRPr="00831D7F">
              <w:t>2.9</w:t>
            </w:r>
          </w:p>
        </w:tc>
      </w:tr>
      <w:tr w:rsidR="00831D7F" w:rsidRPr="00831D7F" w14:paraId="3BE2B0A3" w14:textId="77777777" w:rsidTr="00AF33BB">
        <w:trPr>
          <w:trHeight w:val="288"/>
          <w:jc w:val="center"/>
        </w:trPr>
        <w:tc>
          <w:tcPr>
            <w:tcW w:w="960" w:type="dxa"/>
            <w:noWrap/>
            <w:hideMark/>
          </w:tcPr>
          <w:p w14:paraId="79F67BEB" w14:textId="77777777" w:rsidR="00831D7F" w:rsidRPr="00831D7F" w:rsidRDefault="00831D7F" w:rsidP="00BA7380">
            <w:pPr>
              <w:spacing w:line="240" w:lineRule="auto"/>
              <w:jc w:val="center"/>
            </w:pPr>
            <w:r w:rsidRPr="00831D7F">
              <w:t>3</w:t>
            </w:r>
          </w:p>
        </w:tc>
        <w:tc>
          <w:tcPr>
            <w:tcW w:w="1340" w:type="dxa"/>
            <w:noWrap/>
            <w:hideMark/>
          </w:tcPr>
          <w:p w14:paraId="7FFCEEA9" w14:textId="77777777" w:rsidR="00831D7F" w:rsidRPr="00831D7F" w:rsidRDefault="00831D7F" w:rsidP="00BA7380">
            <w:pPr>
              <w:spacing w:line="240" w:lineRule="auto"/>
              <w:jc w:val="center"/>
            </w:pPr>
            <w:r w:rsidRPr="00831D7F">
              <w:t>2.2</w:t>
            </w:r>
          </w:p>
        </w:tc>
        <w:tc>
          <w:tcPr>
            <w:tcW w:w="1310" w:type="dxa"/>
            <w:noWrap/>
            <w:hideMark/>
          </w:tcPr>
          <w:p w14:paraId="255CD92F" w14:textId="77777777" w:rsidR="00831D7F" w:rsidRPr="00831D7F" w:rsidRDefault="00831D7F" w:rsidP="00BA7380">
            <w:pPr>
              <w:spacing w:line="240" w:lineRule="auto"/>
              <w:jc w:val="center"/>
            </w:pPr>
            <w:r w:rsidRPr="00831D7F">
              <w:t>3.5</w:t>
            </w:r>
          </w:p>
        </w:tc>
        <w:tc>
          <w:tcPr>
            <w:tcW w:w="1310" w:type="dxa"/>
            <w:noWrap/>
            <w:hideMark/>
          </w:tcPr>
          <w:p w14:paraId="7604A96D" w14:textId="77777777" w:rsidR="00831D7F" w:rsidRPr="00831D7F" w:rsidRDefault="00831D7F" w:rsidP="00BA7380">
            <w:pPr>
              <w:spacing w:line="240" w:lineRule="auto"/>
              <w:jc w:val="center"/>
            </w:pPr>
            <w:r w:rsidRPr="00831D7F">
              <w:t>2.9</w:t>
            </w:r>
          </w:p>
        </w:tc>
        <w:tc>
          <w:tcPr>
            <w:tcW w:w="1340" w:type="dxa"/>
            <w:noWrap/>
            <w:hideMark/>
          </w:tcPr>
          <w:p w14:paraId="2BE4B422" w14:textId="77777777" w:rsidR="00831D7F" w:rsidRPr="00831D7F" w:rsidRDefault="00831D7F" w:rsidP="00BA7380">
            <w:pPr>
              <w:spacing w:line="240" w:lineRule="auto"/>
              <w:jc w:val="center"/>
            </w:pPr>
            <w:r w:rsidRPr="00831D7F">
              <w:t>3.2</w:t>
            </w:r>
          </w:p>
        </w:tc>
        <w:tc>
          <w:tcPr>
            <w:tcW w:w="1360" w:type="dxa"/>
            <w:noWrap/>
            <w:hideMark/>
          </w:tcPr>
          <w:p w14:paraId="7FDF47CD" w14:textId="77777777" w:rsidR="00831D7F" w:rsidRPr="00831D7F" w:rsidRDefault="00831D7F" w:rsidP="00BA7380">
            <w:pPr>
              <w:spacing w:line="240" w:lineRule="auto"/>
              <w:jc w:val="center"/>
            </w:pPr>
            <w:r w:rsidRPr="00831D7F">
              <w:t>3.25</w:t>
            </w:r>
          </w:p>
        </w:tc>
        <w:tc>
          <w:tcPr>
            <w:tcW w:w="1420" w:type="dxa"/>
            <w:noWrap/>
            <w:hideMark/>
          </w:tcPr>
          <w:p w14:paraId="33D2804E" w14:textId="77777777" w:rsidR="00831D7F" w:rsidRPr="00831D7F" w:rsidRDefault="00831D7F" w:rsidP="00BA7380">
            <w:pPr>
              <w:spacing w:line="240" w:lineRule="auto"/>
              <w:jc w:val="center"/>
            </w:pPr>
            <w:r w:rsidRPr="00831D7F">
              <w:t>3.25</w:t>
            </w:r>
          </w:p>
        </w:tc>
        <w:tc>
          <w:tcPr>
            <w:tcW w:w="1420" w:type="dxa"/>
            <w:noWrap/>
            <w:hideMark/>
          </w:tcPr>
          <w:p w14:paraId="2D90FB7E" w14:textId="77777777" w:rsidR="00831D7F" w:rsidRPr="00831D7F" w:rsidRDefault="00831D7F" w:rsidP="00BA7380">
            <w:pPr>
              <w:spacing w:line="240" w:lineRule="auto"/>
              <w:jc w:val="center"/>
            </w:pPr>
            <w:r w:rsidRPr="00831D7F">
              <w:t>2.8</w:t>
            </w:r>
          </w:p>
        </w:tc>
        <w:tc>
          <w:tcPr>
            <w:tcW w:w="1415" w:type="dxa"/>
            <w:noWrap/>
            <w:hideMark/>
          </w:tcPr>
          <w:p w14:paraId="2E0CCB5E" w14:textId="77777777" w:rsidR="00831D7F" w:rsidRPr="00831D7F" w:rsidRDefault="00831D7F" w:rsidP="00BA7380">
            <w:pPr>
              <w:spacing w:line="240" w:lineRule="auto"/>
              <w:jc w:val="center"/>
            </w:pPr>
            <w:r w:rsidRPr="00831D7F">
              <w:t>3.1</w:t>
            </w:r>
          </w:p>
        </w:tc>
      </w:tr>
      <w:tr w:rsidR="00831D7F" w:rsidRPr="00831D7F" w14:paraId="523B4D29" w14:textId="77777777" w:rsidTr="00AF33BB">
        <w:trPr>
          <w:trHeight w:val="288"/>
          <w:jc w:val="center"/>
        </w:trPr>
        <w:tc>
          <w:tcPr>
            <w:tcW w:w="960" w:type="dxa"/>
            <w:noWrap/>
            <w:hideMark/>
          </w:tcPr>
          <w:p w14:paraId="029F2EBE" w14:textId="77777777" w:rsidR="00831D7F" w:rsidRPr="00831D7F" w:rsidRDefault="00831D7F" w:rsidP="00BA7380">
            <w:pPr>
              <w:spacing w:line="240" w:lineRule="auto"/>
              <w:jc w:val="center"/>
            </w:pPr>
            <w:r w:rsidRPr="00831D7F">
              <w:t>4</w:t>
            </w:r>
          </w:p>
        </w:tc>
        <w:tc>
          <w:tcPr>
            <w:tcW w:w="1340" w:type="dxa"/>
            <w:noWrap/>
            <w:hideMark/>
          </w:tcPr>
          <w:p w14:paraId="2FD0D41D" w14:textId="77777777" w:rsidR="00831D7F" w:rsidRPr="00831D7F" w:rsidRDefault="00831D7F" w:rsidP="00BA7380">
            <w:pPr>
              <w:spacing w:line="240" w:lineRule="auto"/>
              <w:jc w:val="center"/>
            </w:pPr>
            <w:r w:rsidRPr="00831D7F">
              <w:t>2.4</w:t>
            </w:r>
          </w:p>
        </w:tc>
        <w:tc>
          <w:tcPr>
            <w:tcW w:w="1310" w:type="dxa"/>
            <w:noWrap/>
            <w:hideMark/>
          </w:tcPr>
          <w:p w14:paraId="79663300" w14:textId="77777777" w:rsidR="00831D7F" w:rsidRPr="00831D7F" w:rsidRDefault="00831D7F" w:rsidP="00BA7380">
            <w:pPr>
              <w:spacing w:line="240" w:lineRule="auto"/>
              <w:jc w:val="center"/>
            </w:pPr>
            <w:r w:rsidRPr="00831D7F">
              <w:t>3.7</w:t>
            </w:r>
          </w:p>
        </w:tc>
        <w:tc>
          <w:tcPr>
            <w:tcW w:w="1310" w:type="dxa"/>
            <w:noWrap/>
            <w:hideMark/>
          </w:tcPr>
          <w:p w14:paraId="60BF8F5E" w14:textId="77777777" w:rsidR="00831D7F" w:rsidRPr="00831D7F" w:rsidRDefault="00831D7F" w:rsidP="00BA7380">
            <w:pPr>
              <w:spacing w:line="240" w:lineRule="auto"/>
              <w:jc w:val="center"/>
            </w:pPr>
            <w:r w:rsidRPr="00831D7F">
              <w:t>2.9</w:t>
            </w:r>
          </w:p>
        </w:tc>
        <w:tc>
          <w:tcPr>
            <w:tcW w:w="1340" w:type="dxa"/>
            <w:noWrap/>
            <w:hideMark/>
          </w:tcPr>
          <w:p w14:paraId="2FEBF978" w14:textId="77777777" w:rsidR="00831D7F" w:rsidRPr="00831D7F" w:rsidRDefault="00831D7F" w:rsidP="00BA7380">
            <w:pPr>
              <w:spacing w:line="240" w:lineRule="auto"/>
              <w:jc w:val="center"/>
            </w:pPr>
            <w:r w:rsidRPr="00831D7F">
              <w:t>3.2</w:t>
            </w:r>
          </w:p>
        </w:tc>
        <w:tc>
          <w:tcPr>
            <w:tcW w:w="1360" w:type="dxa"/>
            <w:noWrap/>
            <w:hideMark/>
          </w:tcPr>
          <w:p w14:paraId="0ACE2ECA" w14:textId="77777777" w:rsidR="00831D7F" w:rsidRPr="00831D7F" w:rsidRDefault="00831D7F" w:rsidP="00BA7380">
            <w:pPr>
              <w:spacing w:line="240" w:lineRule="auto"/>
              <w:jc w:val="center"/>
            </w:pPr>
            <w:r w:rsidRPr="00831D7F">
              <w:t>3.25</w:t>
            </w:r>
          </w:p>
        </w:tc>
        <w:tc>
          <w:tcPr>
            <w:tcW w:w="1420" w:type="dxa"/>
            <w:noWrap/>
            <w:hideMark/>
          </w:tcPr>
          <w:p w14:paraId="22E5A5B8" w14:textId="77777777" w:rsidR="00831D7F" w:rsidRPr="00831D7F" w:rsidRDefault="00831D7F" w:rsidP="00BA7380">
            <w:pPr>
              <w:spacing w:line="240" w:lineRule="auto"/>
              <w:jc w:val="center"/>
            </w:pPr>
            <w:r w:rsidRPr="00831D7F">
              <w:t>3.25</w:t>
            </w:r>
          </w:p>
        </w:tc>
        <w:tc>
          <w:tcPr>
            <w:tcW w:w="1420" w:type="dxa"/>
            <w:noWrap/>
            <w:hideMark/>
          </w:tcPr>
          <w:p w14:paraId="5F134F5F" w14:textId="77777777" w:rsidR="00831D7F" w:rsidRPr="00831D7F" w:rsidRDefault="00831D7F" w:rsidP="00BA7380">
            <w:pPr>
              <w:spacing w:line="240" w:lineRule="auto"/>
              <w:jc w:val="center"/>
            </w:pPr>
            <w:r w:rsidRPr="00831D7F">
              <w:t>2.9</w:t>
            </w:r>
          </w:p>
        </w:tc>
        <w:tc>
          <w:tcPr>
            <w:tcW w:w="1415" w:type="dxa"/>
            <w:noWrap/>
            <w:hideMark/>
          </w:tcPr>
          <w:p w14:paraId="02D8CCF4" w14:textId="77777777" w:rsidR="00831D7F" w:rsidRPr="00831D7F" w:rsidRDefault="00831D7F" w:rsidP="00BA7380">
            <w:pPr>
              <w:spacing w:line="240" w:lineRule="auto"/>
              <w:jc w:val="center"/>
            </w:pPr>
            <w:r w:rsidRPr="00831D7F">
              <w:t>3.7</w:t>
            </w:r>
          </w:p>
        </w:tc>
      </w:tr>
      <w:tr w:rsidR="00831D7F" w:rsidRPr="00831D7F" w14:paraId="7404DE76" w14:textId="77777777" w:rsidTr="00AF33BB">
        <w:trPr>
          <w:trHeight w:val="288"/>
          <w:jc w:val="center"/>
        </w:trPr>
        <w:tc>
          <w:tcPr>
            <w:tcW w:w="960" w:type="dxa"/>
            <w:noWrap/>
            <w:hideMark/>
          </w:tcPr>
          <w:p w14:paraId="480BF14B" w14:textId="77777777" w:rsidR="00831D7F" w:rsidRPr="00831D7F" w:rsidRDefault="00831D7F" w:rsidP="00BA7380">
            <w:pPr>
              <w:spacing w:line="240" w:lineRule="auto"/>
              <w:jc w:val="center"/>
            </w:pPr>
            <w:r w:rsidRPr="00831D7F">
              <w:t>5</w:t>
            </w:r>
          </w:p>
        </w:tc>
        <w:tc>
          <w:tcPr>
            <w:tcW w:w="1340" w:type="dxa"/>
            <w:noWrap/>
            <w:hideMark/>
          </w:tcPr>
          <w:p w14:paraId="0D349B19" w14:textId="77777777" w:rsidR="00831D7F" w:rsidRPr="00831D7F" w:rsidRDefault="00831D7F" w:rsidP="00BA7380">
            <w:pPr>
              <w:spacing w:line="240" w:lineRule="auto"/>
              <w:jc w:val="center"/>
            </w:pPr>
            <w:r w:rsidRPr="00831D7F">
              <w:t>2.6</w:t>
            </w:r>
          </w:p>
        </w:tc>
        <w:tc>
          <w:tcPr>
            <w:tcW w:w="1310" w:type="dxa"/>
            <w:noWrap/>
            <w:hideMark/>
          </w:tcPr>
          <w:p w14:paraId="362EC12F" w14:textId="77777777" w:rsidR="00831D7F" w:rsidRPr="00831D7F" w:rsidRDefault="00831D7F" w:rsidP="00BA7380">
            <w:pPr>
              <w:spacing w:line="240" w:lineRule="auto"/>
              <w:jc w:val="center"/>
            </w:pPr>
            <w:r w:rsidRPr="00831D7F">
              <w:t>4.2</w:t>
            </w:r>
          </w:p>
        </w:tc>
        <w:tc>
          <w:tcPr>
            <w:tcW w:w="1310" w:type="dxa"/>
            <w:noWrap/>
            <w:hideMark/>
          </w:tcPr>
          <w:p w14:paraId="3AB5FD45" w14:textId="77777777" w:rsidR="00831D7F" w:rsidRPr="00831D7F" w:rsidRDefault="00831D7F" w:rsidP="00BA7380">
            <w:pPr>
              <w:spacing w:line="240" w:lineRule="auto"/>
              <w:jc w:val="center"/>
            </w:pPr>
            <w:r w:rsidRPr="00831D7F">
              <w:t>3.9</w:t>
            </w:r>
          </w:p>
        </w:tc>
        <w:tc>
          <w:tcPr>
            <w:tcW w:w="1340" w:type="dxa"/>
            <w:noWrap/>
            <w:hideMark/>
          </w:tcPr>
          <w:p w14:paraId="72C207B2" w14:textId="77777777" w:rsidR="00831D7F" w:rsidRPr="00831D7F" w:rsidRDefault="00831D7F" w:rsidP="00BA7380">
            <w:pPr>
              <w:spacing w:line="240" w:lineRule="auto"/>
              <w:jc w:val="center"/>
            </w:pPr>
            <w:r w:rsidRPr="00831D7F">
              <w:t>3.2</w:t>
            </w:r>
          </w:p>
        </w:tc>
        <w:tc>
          <w:tcPr>
            <w:tcW w:w="1360" w:type="dxa"/>
            <w:noWrap/>
            <w:hideMark/>
          </w:tcPr>
          <w:p w14:paraId="18AE2A62" w14:textId="77777777" w:rsidR="00831D7F" w:rsidRPr="00831D7F" w:rsidRDefault="00831D7F" w:rsidP="00BA7380">
            <w:pPr>
              <w:spacing w:line="240" w:lineRule="auto"/>
              <w:jc w:val="center"/>
            </w:pPr>
            <w:r w:rsidRPr="00831D7F">
              <w:t>3.25</w:t>
            </w:r>
          </w:p>
        </w:tc>
        <w:tc>
          <w:tcPr>
            <w:tcW w:w="1420" w:type="dxa"/>
            <w:noWrap/>
            <w:hideMark/>
          </w:tcPr>
          <w:p w14:paraId="6C9CA8AC" w14:textId="77777777" w:rsidR="00831D7F" w:rsidRPr="00831D7F" w:rsidRDefault="00831D7F" w:rsidP="00BA7380">
            <w:pPr>
              <w:spacing w:line="240" w:lineRule="auto"/>
              <w:jc w:val="center"/>
            </w:pPr>
            <w:r w:rsidRPr="00831D7F">
              <w:t>3.25</w:t>
            </w:r>
          </w:p>
        </w:tc>
        <w:tc>
          <w:tcPr>
            <w:tcW w:w="1420" w:type="dxa"/>
            <w:noWrap/>
            <w:hideMark/>
          </w:tcPr>
          <w:p w14:paraId="50FFBBBB" w14:textId="77777777" w:rsidR="00831D7F" w:rsidRPr="00831D7F" w:rsidRDefault="00831D7F" w:rsidP="00BA7380">
            <w:pPr>
              <w:spacing w:line="240" w:lineRule="auto"/>
              <w:jc w:val="center"/>
            </w:pPr>
            <w:r w:rsidRPr="00831D7F">
              <w:t>2.95</w:t>
            </w:r>
          </w:p>
        </w:tc>
        <w:tc>
          <w:tcPr>
            <w:tcW w:w="1415" w:type="dxa"/>
            <w:noWrap/>
            <w:hideMark/>
          </w:tcPr>
          <w:p w14:paraId="7DD1C87A" w14:textId="77777777" w:rsidR="00831D7F" w:rsidRPr="00831D7F" w:rsidRDefault="00831D7F" w:rsidP="00BA7380">
            <w:pPr>
              <w:spacing w:line="240" w:lineRule="auto"/>
              <w:jc w:val="center"/>
            </w:pPr>
            <w:r w:rsidRPr="00831D7F">
              <w:t>4.1</w:t>
            </w:r>
          </w:p>
        </w:tc>
      </w:tr>
      <w:tr w:rsidR="00831D7F" w:rsidRPr="00831D7F" w14:paraId="06F75C5D" w14:textId="77777777" w:rsidTr="00AF33BB">
        <w:trPr>
          <w:trHeight w:val="288"/>
          <w:jc w:val="center"/>
        </w:trPr>
        <w:tc>
          <w:tcPr>
            <w:tcW w:w="960" w:type="dxa"/>
            <w:noWrap/>
            <w:hideMark/>
          </w:tcPr>
          <w:p w14:paraId="79D755AA" w14:textId="77777777" w:rsidR="00831D7F" w:rsidRPr="00831D7F" w:rsidRDefault="00831D7F" w:rsidP="00BA7380">
            <w:pPr>
              <w:spacing w:line="240" w:lineRule="auto"/>
              <w:jc w:val="center"/>
            </w:pPr>
            <w:r w:rsidRPr="00831D7F">
              <w:t>6</w:t>
            </w:r>
          </w:p>
        </w:tc>
        <w:tc>
          <w:tcPr>
            <w:tcW w:w="1340" w:type="dxa"/>
            <w:noWrap/>
            <w:hideMark/>
          </w:tcPr>
          <w:p w14:paraId="54FE6440" w14:textId="77777777" w:rsidR="00831D7F" w:rsidRPr="00831D7F" w:rsidRDefault="00831D7F" w:rsidP="00BA7380">
            <w:pPr>
              <w:spacing w:line="240" w:lineRule="auto"/>
              <w:jc w:val="center"/>
            </w:pPr>
            <w:r w:rsidRPr="00831D7F">
              <w:t>3.3</w:t>
            </w:r>
          </w:p>
        </w:tc>
        <w:tc>
          <w:tcPr>
            <w:tcW w:w="1310" w:type="dxa"/>
            <w:noWrap/>
            <w:hideMark/>
          </w:tcPr>
          <w:p w14:paraId="3E58D114" w14:textId="77777777" w:rsidR="00831D7F" w:rsidRPr="00831D7F" w:rsidRDefault="00831D7F" w:rsidP="00BA7380">
            <w:pPr>
              <w:spacing w:line="240" w:lineRule="auto"/>
              <w:jc w:val="center"/>
            </w:pPr>
            <w:r w:rsidRPr="00831D7F">
              <w:t>4.5</w:t>
            </w:r>
          </w:p>
        </w:tc>
        <w:tc>
          <w:tcPr>
            <w:tcW w:w="1310" w:type="dxa"/>
            <w:noWrap/>
            <w:hideMark/>
          </w:tcPr>
          <w:p w14:paraId="7059C055" w14:textId="77777777" w:rsidR="00831D7F" w:rsidRPr="00831D7F" w:rsidRDefault="00831D7F" w:rsidP="00BA7380">
            <w:pPr>
              <w:spacing w:line="240" w:lineRule="auto"/>
              <w:jc w:val="center"/>
            </w:pPr>
            <w:r w:rsidRPr="00831D7F">
              <w:t>4.5</w:t>
            </w:r>
          </w:p>
        </w:tc>
        <w:tc>
          <w:tcPr>
            <w:tcW w:w="1340" w:type="dxa"/>
            <w:noWrap/>
            <w:hideMark/>
          </w:tcPr>
          <w:p w14:paraId="3E347570" w14:textId="77777777" w:rsidR="00831D7F" w:rsidRPr="00831D7F" w:rsidRDefault="00831D7F" w:rsidP="00BA7380">
            <w:pPr>
              <w:spacing w:line="240" w:lineRule="auto"/>
              <w:jc w:val="center"/>
            </w:pPr>
            <w:r w:rsidRPr="00831D7F">
              <w:t>3.2</w:t>
            </w:r>
          </w:p>
        </w:tc>
        <w:tc>
          <w:tcPr>
            <w:tcW w:w="1360" w:type="dxa"/>
            <w:noWrap/>
            <w:hideMark/>
          </w:tcPr>
          <w:p w14:paraId="7D8A2D90" w14:textId="77777777" w:rsidR="00831D7F" w:rsidRPr="00831D7F" w:rsidRDefault="00831D7F" w:rsidP="00BA7380">
            <w:pPr>
              <w:spacing w:line="240" w:lineRule="auto"/>
              <w:jc w:val="center"/>
            </w:pPr>
            <w:r w:rsidRPr="00831D7F">
              <w:t>3.25</w:t>
            </w:r>
          </w:p>
        </w:tc>
        <w:tc>
          <w:tcPr>
            <w:tcW w:w="1420" w:type="dxa"/>
            <w:noWrap/>
            <w:hideMark/>
          </w:tcPr>
          <w:p w14:paraId="3902F263" w14:textId="77777777" w:rsidR="00831D7F" w:rsidRPr="00831D7F" w:rsidRDefault="00831D7F" w:rsidP="00BA7380">
            <w:pPr>
              <w:spacing w:line="240" w:lineRule="auto"/>
              <w:jc w:val="center"/>
            </w:pPr>
            <w:r w:rsidRPr="00831D7F">
              <w:t>3.25</w:t>
            </w:r>
          </w:p>
        </w:tc>
        <w:tc>
          <w:tcPr>
            <w:tcW w:w="1420" w:type="dxa"/>
            <w:noWrap/>
            <w:hideMark/>
          </w:tcPr>
          <w:p w14:paraId="41198A38" w14:textId="77777777" w:rsidR="00831D7F" w:rsidRPr="00831D7F" w:rsidRDefault="00831D7F" w:rsidP="00BA7380">
            <w:pPr>
              <w:spacing w:line="240" w:lineRule="auto"/>
              <w:jc w:val="center"/>
            </w:pPr>
            <w:r w:rsidRPr="00831D7F">
              <w:t>3.05</w:t>
            </w:r>
          </w:p>
        </w:tc>
        <w:tc>
          <w:tcPr>
            <w:tcW w:w="1415" w:type="dxa"/>
            <w:noWrap/>
            <w:hideMark/>
          </w:tcPr>
          <w:p w14:paraId="0BD86069" w14:textId="77777777" w:rsidR="00831D7F" w:rsidRPr="00831D7F" w:rsidRDefault="00831D7F" w:rsidP="00BA7380">
            <w:pPr>
              <w:spacing w:line="240" w:lineRule="auto"/>
              <w:jc w:val="center"/>
            </w:pPr>
            <w:r w:rsidRPr="00831D7F">
              <w:t>5.1</w:t>
            </w:r>
          </w:p>
        </w:tc>
      </w:tr>
      <w:tr w:rsidR="00831D7F" w:rsidRPr="00831D7F" w14:paraId="388E3E01" w14:textId="77777777" w:rsidTr="00AF33BB">
        <w:trPr>
          <w:trHeight w:val="288"/>
          <w:jc w:val="center"/>
        </w:trPr>
        <w:tc>
          <w:tcPr>
            <w:tcW w:w="960" w:type="dxa"/>
            <w:noWrap/>
            <w:hideMark/>
          </w:tcPr>
          <w:p w14:paraId="5A9F0272" w14:textId="77777777" w:rsidR="00831D7F" w:rsidRPr="00831D7F" w:rsidRDefault="00831D7F" w:rsidP="00BA7380">
            <w:pPr>
              <w:spacing w:line="240" w:lineRule="auto"/>
              <w:jc w:val="center"/>
            </w:pPr>
            <w:r w:rsidRPr="00831D7F">
              <w:t>7</w:t>
            </w:r>
          </w:p>
        </w:tc>
        <w:tc>
          <w:tcPr>
            <w:tcW w:w="1340" w:type="dxa"/>
            <w:noWrap/>
            <w:hideMark/>
          </w:tcPr>
          <w:p w14:paraId="212DC521" w14:textId="77777777" w:rsidR="00831D7F" w:rsidRPr="00831D7F" w:rsidRDefault="00831D7F" w:rsidP="00BA7380">
            <w:pPr>
              <w:spacing w:line="240" w:lineRule="auto"/>
              <w:jc w:val="center"/>
            </w:pPr>
            <w:r w:rsidRPr="00831D7F">
              <w:t>3.4</w:t>
            </w:r>
          </w:p>
        </w:tc>
        <w:tc>
          <w:tcPr>
            <w:tcW w:w="1310" w:type="dxa"/>
            <w:noWrap/>
            <w:hideMark/>
          </w:tcPr>
          <w:p w14:paraId="73F0442C" w14:textId="77777777" w:rsidR="00831D7F" w:rsidRPr="00831D7F" w:rsidRDefault="00831D7F" w:rsidP="00BA7380">
            <w:pPr>
              <w:spacing w:line="240" w:lineRule="auto"/>
              <w:jc w:val="center"/>
            </w:pPr>
            <w:r w:rsidRPr="00831D7F">
              <w:t>5</w:t>
            </w:r>
          </w:p>
        </w:tc>
        <w:tc>
          <w:tcPr>
            <w:tcW w:w="1310" w:type="dxa"/>
            <w:noWrap/>
            <w:hideMark/>
          </w:tcPr>
          <w:p w14:paraId="63744D3C" w14:textId="77777777" w:rsidR="00831D7F" w:rsidRPr="00831D7F" w:rsidRDefault="00831D7F" w:rsidP="00BA7380">
            <w:pPr>
              <w:spacing w:line="240" w:lineRule="auto"/>
              <w:jc w:val="center"/>
            </w:pPr>
            <w:r w:rsidRPr="00831D7F">
              <w:t>4.6</w:t>
            </w:r>
          </w:p>
        </w:tc>
        <w:tc>
          <w:tcPr>
            <w:tcW w:w="1340" w:type="dxa"/>
            <w:noWrap/>
            <w:hideMark/>
          </w:tcPr>
          <w:p w14:paraId="7FC3DD5F" w14:textId="77777777" w:rsidR="00831D7F" w:rsidRPr="00831D7F" w:rsidRDefault="00831D7F" w:rsidP="00BA7380">
            <w:pPr>
              <w:spacing w:line="240" w:lineRule="auto"/>
              <w:jc w:val="center"/>
            </w:pPr>
            <w:r w:rsidRPr="00831D7F">
              <w:t>3.2</w:t>
            </w:r>
          </w:p>
        </w:tc>
        <w:tc>
          <w:tcPr>
            <w:tcW w:w="1360" w:type="dxa"/>
            <w:noWrap/>
            <w:hideMark/>
          </w:tcPr>
          <w:p w14:paraId="181078E7" w14:textId="77777777" w:rsidR="00831D7F" w:rsidRPr="00831D7F" w:rsidRDefault="00831D7F" w:rsidP="00BA7380">
            <w:pPr>
              <w:spacing w:line="240" w:lineRule="auto"/>
              <w:jc w:val="center"/>
            </w:pPr>
            <w:r w:rsidRPr="00831D7F">
              <w:t>3.25</w:t>
            </w:r>
          </w:p>
        </w:tc>
        <w:tc>
          <w:tcPr>
            <w:tcW w:w="1420" w:type="dxa"/>
            <w:noWrap/>
            <w:hideMark/>
          </w:tcPr>
          <w:p w14:paraId="4AFB0544" w14:textId="77777777" w:rsidR="00831D7F" w:rsidRPr="00831D7F" w:rsidRDefault="00831D7F" w:rsidP="00BA7380">
            <w:pPr>
              <w:spacing w:line="240" w:lineRule="auto"/>
              <w:jc w:val="center"/>
            </w:pPr>
            <w:r w:rsidRPr="00831D7F">
              <w:t>3.25</w:t>
            </w:r>
          </w:p>
        </w:tc>
        <w:tc>
          <w:tcPr>
            <w:tcW w:w="1420" w:type="dxa"/>
            <w:noWrap/>
            <w:hideMark/>
          </w:tcPr>
          <w:p w14:paraId="1B05E942" w14:textId="77777777" w:rsidR="00831D7F" w:rsidRPr="00831D7F" w:rsidRDefault="00831D7F" w:rsidP="00BA7380">
            <w:pPr>
              <w:spacing w:line="240" w:lineRule="auto"/>
              <w:jc w:val="center"/>
            </w:pPr>
            <w:r w:rsidRPr="00831D7F">
              <w:t>3</w:t>
            </w:r>
          </w:p>
        </w:tc>
        <w:tc>
          <w:tcPr>
            <w:tcW w:w="1415" w:type="dxa"/>
            <w:noWrap/>
            <w:hideMark/>
          </w:tcPr>
          <w:p w14:paraId="4CD23D80" w14:textId="77777777" w:rsidR="00831D7F" w:rsidRPr="00831D7F" w:rsidRDefault="00831D7F" w:rsidP="00BA7380">
            <w:pPr>
              <w:spacing w:line="240" w:lineRule="auto"/>
              <w:jc w:val="center"/>
            </w:pPr>
            <w:r w:rsidRPr="00831D7F">
              <w:t>4.2</w:t>
            </w:r>
          </w:p>
        </w:tc>
      </w:tr>
      <w:tr w:rsidR="00831D7F" w:rsidRPr="00831D7F" w14:paraId="539F4873" w14:textId="77777777" w:rsidTr="00AF33BB">
        <w:trPr>
          <w:trHeight w:val="288"/>
          <w:jc w:val="center"/>
        </w:trPr>
        <w:tc>
          <w:tcPr>
            <w:tcW w:w="960" w:type="dxa"/>
            <w:noWrap/>
            <w:hideMark/>
          </w:tcPr>
          <w:p w14:paraId="43ED726C" w14:textId="77777777" w:rsidR="00831D7F" w:rsidRPr="00831D7F" w:rsidRDefault="00831D7F" w:rsidP="00BA7380">
            <w:pPr>
              <w:spacing w:line="240" w:lineRule="auto"/>
              <w:jc w:val="center"/>
            </w:pPr>
            <w:r w:rsidRPr="00831D7F">
              <w:t>8</w:t>
            </w:r>
          </w:p>
        </w:tc>
        <w:tc>
          <w:tcPr>
            <w:tcW w:w="1340" w:type="dxa"/>
            <w:noWrap/>
            <w:hideMark/>
          </w:tcPr>
          <w:p w14:paraId="074B6CB5" w14:textId="77777777" w:rsidR="00831D7F" w:rsidRPr="00831D7F" w:rsidRDefault="00831D7F" w:rsidP="00BA7380">
            <w:pPr>
              <w:spacing w:line="240" w:lineRule="auto"/>
              <w:jc w:val="center"/>
            </w:pPr>
            <w:r w:rsidRPr="00831D7F">
              <w:t>3.3</w:t>
            </w:r>
          </w:p>
        </w:tc>
        <w:tc>
          <w:tcPr>
            <w:tcW w:w="1310" w:type="dxa"/>
            <w:noWrap/>
            <w:hideMark/>
          </w:tcPr>
          <w:p w14:paraId="73961C90" w14:textId="77777777" w:rsidR="00831D7F" w:rsidRPr="00831D7F" w:rsidRDefault="00831D7F" w:rsidP="00BA7380">
            <w:pPr>
              <w:spacing w:line="240" w:lineRule="auto"/>
              <w:jc w:val="center"/>
            </w:pPr>
            <w:r w:rsidRPr="00831D7F">
              <w:t>5.2</w:t>
            </w:r>
          </w:p>
        </w:tc>
        <w:tc>
          <w:tcPr>
            <w:tcW w:w="1310" w:type="dxa"/>
            <w:noWrap/>
            <w:hideMark/>
          </w:tcPr>
          <w:p w14:paraId="60D2C515" w14:textId="77777777" w:rsidR="00831D7F" w:rsidRPr="00831D7F" w:rsidRDefault="00831D7F" w:rsidP="00BA7380">
            <w:pPr>
              <w:spacing w:line="240" w:lineRule="auto"/>
              <w:jc w:val="center"/>
            </w:pPr>
            <w:r w:rsidRPr="00831D7F">
              <w:t>4.3</w:t>
            </w:r>
          </w:p>
        </w:tc>
        <w:tc>
          <w:tcPr>
            <w:tcW w:w="1340" w:type="dxa"/>
            <w:noWrap/>
            <w:hideMark/>
          </w:tcPr>
          <w:p w14:paraId="10DFB1BD" w14:textId="77777777" w:rsidR="00831D7F" w:rsidRPr="00831D7F" w:rsidRDefault="00831D7F" w:rsidP="00BA7380">
            <w:pPr>
              <w:spacing w:line="240" w:lineRule="auto"/>
              <w:jc w:val="center"/>
            </w:pPr>
            <w:r w:rsidRPr="00831D7F">
              <w:t>3.3</w:t>
            </w:r>
          </w:p>
        </w:tc>
        <w:tc>
          <w:tcPr>
            <w:tcW w:w="1360" w:type="dxa"/>
            <w:noWrap/>
            <w:hideMark/>
          </w:tcPr>
          <w:p w14:paraId="70B263D8" w14:textId="77777777" w:rsidR="00831D7F" w:rsidRPr="00831D7F" w:rsidRDefault="00831D7F" w:rsidP="00BA7380">
            <w:pPr>
              <w:spacing w:line="240" w:lineRule="auto"/>
              <w:jc w:val="center"/>
            </w:pPr>
            <w:r w:rsidRPr="00831D7F">
              <w:t>3.25</w:t>
            </w:r>
          </w:p>
        </w:tc>
        <w:tc>
          <w:tcPr>
            <w:tcW w:w="1420" w:type="dxa"/>
            <w:noWrap/>
            <w:hideMark/>
          </w:tcPr>
          <w:p w14:paraId="06AD3A8D" w14:textId="77777777" w:rsidR="00831D7F" w:rsidRPr="00831D7F" w:rsidRDefault="00831D7F" w:rsidP="00BA7380">
            <w:pPr>
              <w:spacing w:line="240" w:lineRule="auto"/>
              <w:jc w:val="center"/>
            </w:pPr>
            <w:r w:rsidRPr="00831D7F">
              <w:t>3.25</w:t>
            </w:r>
          </w:p>
        </w:tc>
        <w:tc>
          <w:tcPr>
            <w:tcW w:w="1420" w:type="dxa"/>
            <w:noWrap/>
            <w:hideMark/>
          </w:tcPr>
          <w:p w14:paraId="3EABE80C" w14:textId="77777777" w:rsidR="00831D7F" w:rsidRPr="00831D7F" w:rsidRDefault="00831D7F" w:rsidP="00BA7380">
            <w:pPr>
              <w:spacing w:line="240" w:lineRule="auto"/>
              <w:jc w:val="center"/>
            </w:pPr>
            <w:r w:rsidRPr="00831D7F">
              <w:t>3.1</w:t>
            </w:r>
          </w:p>
        </w:tc>
        <w:tc>
          <w:tcPr>
            <w:tcW w:w="1415" w:type="dxa"/>
            <w:noWrap/>
            <w:hideMark/>
          </w:tcPr>
          <w:p w14:paraId="63F1F05F" w14:textId="77777777" w:rsidR="00831D7F" w:rsidRPr="00831D7F" w:rsidRDefault="00831D7F" w:rsidP="00BA7380">
            <w:pPr>
              <w:spacing w:line="240" w:lineRule="auto"/>
              <w:jc w:val="center"/>
            </w:pPr>
            <w:r w:rsidRPr="00831D7F">
              <w:t>3.3</w:t>
            </w:r>
          </w:p>
        </w:tc>
      </w:tr>
      <w:tr w:rsidR="00831D7F" w:rsidRPr="00831D7F" w14:paraId="7478FCB7" w14:textId="77777777" w:rsidTr="00AF33BB">
        <w:trPr>
          <w:trHeight w:val="288"/>
          <w:jc w:val="center"/>
        </w:trPr>
        <w:tc>
          <w:tcPr>
            <w:tcW w:w="960" w:type="dxa"/>
            <w:noWrap/>
            <w:hideMark/>
          </w:tcPr>
          <w:p w14:paraId="20AB38C0" w14:textId="77777777" w:rsidR="00831D7F" w:rsidRPr="00831D7F" w:rsidRDefault="00831D7F" w:rsidP="00BA7380">
            <w:pPr>
              <w:spacing w:line="240" w:lineRule="auto"/>
              <w:jc w:val="center"/>
            </w:pPr>
            <w:r w:rsidRPr="00831D7F">
              <w:t>9</w:t>
            </w:r>
          </w:p>
        </w:tc>
        <w:tc>
          <w:tcPr>
            <w:tcW w:w="1340" w:type="dxa"/>
            <w:noWrap/>
            <w:hideMark/>
          </w:tcPr>
          <w:p w14:paraId="63ACD079" w14:textId="77777777" w:rsidR="00831D7F" w:rsidRPr="00831D7F" w:rsidRDefault="00831D7F" w:rsidP="00BA7380">
            <w:pPr>
              <w:spacing w:line="240" w:lineRule="auto"/>
              <w:jc w:val="center"/>
            </w:pPr>
            <w:r w:rsidRPr="00831D7F">
              <w:t>3</w:t>
            </w:r>
          </w:p>
        </w:tc>
        <w:tc>
          <w:tcPr>
            <w:tcW w:w="1310" w:type="dxa"/>
            <w:noWrap/>
            <w:hideMark/>
          </w:tcPr>
          <w:p w14:paraId="77C6B108" w14:textId="77777777" w:rsidR="00831D7F" w:rsidRPr="00831D7F" w:rsidRDefault="00831D7F" w:rsidP="00BA7380">
            <w:pPr>
              <w:spacing w:line="240" w:lineRule="auto"/>
              <w:jc w:val="center"/>
            </w:pPr>
            <w:r w:rsidRPr="00831D7F">
              <w:t>4.6</w:t>
            </w:r>
          </w:p>
        </w:tc>
        <w:tc>
          <w:tcPr>
            <w:tcW w:w="1310" w:type="dxa"/>
            <w:noWrap/>
            <w:hideMark/>
          </w:tcPr>
          <w:p w14:paraId="1C828282" w14:textId="77777777" w:rsidR="00831D7F" w:rsidRPr="00831D7F" w:rsidRDefault="00831D7F" w:rsidP="00BA7380">
            <w:pPr>
              <w:spacing w:line="240" w:lineRule="auto"/>
              <w:jc w:val="center"/>
            </w:pPr>
            <w:r w:rsidRPr="00831D7F">
              <w:t>3.7</w:t>
            </w:r>
          </w:p>
        </w:tc>
        <w:tc>
          <w:tcPr>
            <w:tcW w:w="1340" w:type="dxa"/>
            <w:noWrap/>
            <w:hideMark/>
          </w:tcPr>
          <w:p w14:paraId="55D57FC7" w14:textId="77777777" w:rsidR="00831D7F" w:rsidRPr="00831D7F" w:rsidRDefault="00831D7F" w:rsidP="00BA7380">
            <w:pPr>
              <w:spacing w:line="240" w:lineRule="auto"/>
              <w:jc w:val="center"/>
            </w:pPr>
            <w:r w:rsidRPr="00831D7F">
              <w:t>3.2</w:t>
            </w:r>
          </w:p>
        </w:tc>
        <w:tc>
          <w:tcPr>
            <w:tcW w:w="1360" w:type="dxa"/>
            <w:noWrap/>
            <w:hideMark/>
          </w:tcPr>
          <w:p w14:paraId="7A93EB3A" w14:textId="77777777" w:rsidR="00831D7F" w:rsidRPr="00831D7F" w:rsidRDefault="00831D7F" w:rsidP="00BA7380">
            <w:pPr>
              <w:spacing w:line="240" w:lineRule="auto"/>
              <w:jc w:val="center"/>
            </w:pPr>
            <w:r w:rsidRPr="00831D7F">
              <w:t>3.25</w:t>
            </w:r>
          </w:p>
        </w:tc>
        <w:tc>
          <w:tcPr>
            <w:tcW w:w="1420" w:type="dxa"/>
            <w:noWrap/>
            <w:hideMark/>
          </w:tcPr>
          <w:p w14:paraId="17B40C87" w14:textId="77777777" w:rsidR="00831D7F" w:rsidRPr="00831D7F" w:rsidRDefault="00831D7F" w:rsidP="00BA7380">
            <w:pPr>
              <w:spacing w:line="240" w:lineRule="auto"/>
              <w:jc w:val="center"/>
            </w:pPr>
            <w:r w:rsidRPr="00831D7F">
              <w:t>3.25</w:t>
            </w:r>
          </w:p>
        </w:tc>
        <w:tc>
          <w:tcPr>
            <w:tcW w:w="1420" w:type="dxa"/>
            <w:noWrap/>
            <w:hideMark/>
          </w:tcPr>
          <w:p w14:paraId="715165A4" w14:textId="77777777" w:rsidR="00831D7F" w:rsidRPr="00831D7F" w:rsidRDefault="00831D7F" w:rsidP="00BA7380">
            <w:pPr>
              <w:spacing w:line="240" w:lineRule="auto"/>
              <w:jc w:val="center"/>
            </w:pPr>
            <w:r w:rsidRPr="00831D7F">
              <w:t>3.1</w:t>
            </w:r>
          </w:p>
        </w:tc>
        <w:tc>
          <w:tcPr>
            <w:tcW w:w="1415" w:type="dxa"/>
            <w:noWrap/>
            <w:hideMark/>
          </w:tcPr>
          <w:p w14:paraId="5AB5332C" w14:textId="77777777" w:rsidR="00831D7F" w:rsidRPr="00831D7F" w:rsidRDefault="00831D7F" w:rsidP="00BA7380">
            <w:pPr>
              <w:spacing w:line="240" w:lineRule="auto"/>
              <w:jc w:val="center"/>
            </w:pPr>
            <w:r w:rsidRPr="00831D7F">
              <w:t>3.1</w:t>
            </w:r>
          </w:p>
        </w:tc>
      </w:tr>
      <w:tr w:rsidR="00831D7F" w:rsidRPr="00831D7F" w14:paraId="332DD280" w14:textId="77777777" w:rsidTr="00AF33BB">
        <w:trPr>
          <w:trHeight w:val="288"/>
          <w:jc w:val="center"/>
        </w:trPr>
        <w:tc>
          <w:tcPr>
            <w:tcW w:w="960" w:type="dxa"/>
            <w:noWrap/>
            <w:hideMark/>
          </w:tcPr>
          <w:p w14:paraId="60840199" w14:textId="77777777" w:rsidR="00831D7F" w:rsidRPr="00831D7F" w:rsidRDefault="00831D7F" w:rsidP="00BA7380">
            <w:pPr>
              <w:spacing w:line="240" w:lineRule="auto"/>
              <w:jc w:val="center"/>
            </w:pPr>
            <w:r w:rsidRPr="00831D7F">
              <w:t>10</w:t>
            </w:r>
          </w:p>
        </w:tc>
        <w:tc>
          <w:tcPr>
            <w:tcW w:w="1340" w:type="dxa"/>
            <w:noWrap/>
            <w:hideMark/>
          </w:tcPr>
          <w:p w14:paraId="433E3402" w14:textId="77777777" w:rsidR="00831D7F" w:rsidRPr="00831D7F" w:rsidRDefault="00831D7F" w:rsidP="00BA7380">
            <w:pPr>
              <w:spacing w:line="240" w:lineRule="auto"/>
              <w:jc w:val="center"/>
            </w:pPr>
            <w:r w:rsidRPr="00831D7F">
              <w:t>3.2</w:t>
            </w:r>
          </w:p>
        </w:tc>
        <w:tc>
          <w:tcPr>
            <w:tcW w:w="1310" w:type="dxa"/>
            <w:noWrap/>
            <w:hideMark/>
          </w:tcPr>
          <w:p w14:paraId="445DFA02" w14:textId="77777777" w:rsidR="00831D7F" w:rsidRPr="00831D7F" w:rsidRDefault="00831D7F" w:rsidP="00BA7380">
            <w:pPr>
              <w:spacing w:line="240" w:lineRule="auto"/>
              <w:jc w:val="center"/>
            </w:pPr>
            <w:r w:rsidRPr="00831D7F">
              <w:t>3.6</w:t>
            </w:r>
          </w:p>
        </w:tc>
        <w:tc>
          <w:tcPr>
            <w:tcW w:w="1310" w:type="dxa"/>
            <w:noWrap/>
            <w:hideMark/>
          </w:tcPr>
          <w:p w14:paraId="644CEAED" w14:textId="77777777" w:rsidR="00831D7F" w:rsidRPr="00831D7F" w:rsidRDefault="00831D7F" w:rsidP="00BA7380">
            <w:pPr>
              <w:spacing w:line="240" w:lineRule="auto"/>
              <w:jc w:val="center"/>
            </w:pPr>
            <w:r w:rsidRPr="00831D7F">
              <w:t>3.4</w:t>
            </w:r>
          </w:p>
        </w:tc>
        <w:tc>
          <w:tcPr>
            <w:tcW w:w="1340" w:type="dxa"/>
            <w:noWrap/>
            <w:hideMark/>
          </w:tcPr>
          <w:p w14:paraId="75DD7BE2" w14:textId="77777777" w:rsidR="00831D7F" w:rsidRPr="00831D7F" w:rsidRDefault="00831D7F" w:rsidP="00BA7380">
            <w:pPr>
              <w:spacing w:line="240" w:lineRule="auto"/>
              <w:jc w:val="center"/>
            </w:pPr>
            <w:r w:rsidRPr="00831D7F">
              <w:t>3.3</w:t>
            </w:r>
          </w:p>
        </w:tc>
        <w:tc>
          <w:tcPr>
            <w:tcW w:w="1360" w:type="dxa"/>
            <w:noWrap/>
            <w:hideMark/>
          </w:tcPr>
          <w:p w14:paraId="4CE67B9F" w14:textId="77777777" w:rsidR="00831D7F" w:rsidRPr="00831D7F" w:rsidRDefault="00831D7F" w:rsidP="00BA7380">
            <w:pPr>
              <w:spacing w:line="240" w:lineRule="auto"/>
              <w:jc w:val="center"/>
            </w:pPr>
            <w:r w:rsidRPr="00831D7F">
              <w:t>3.25</w:t>
            </w:r>
          </w:p>
        </w:tc>
        <w:tc>
          <w:tcPr>
            <w:tcW w:w="1420" w:type="dxa"/>
            <w:noWrap/>
            <w:hideMark/>
          </w:tcPr>
          <w:p w14:paraId="4121599B" w14:textId="77777777" w:rsidR="00831D7F" w:rsidRPr="00831D7F" w:rsidRDefault="00831D7F" w:rsidP="00BA7380">
            <w:pPr>
              <w:spacing w:line="240" w:lineRule="auto"/>
              <w:jc w:val="center"/>
            </w:pPr>
            <w:r w:rsidRPr="00831D7F">
              <w:t>3.25</w:t>
            </w:r>
          </w:p>
        </w:tc>
        <w:tc>
          <w:tcPr>
            <w:tcW w:w="1420" w:type="dxa"/>
            <w:noWrap/>
            <w:hideMark/>
          </w:tcPr>
          <w:p w14:paraId="377756CB" w14:textId="77777777" w:rsidR="00831D7F" w:rsidRPr="00831D7F" w:rsidRDefault="00831D7F" w:rsidP="00BA7380">
            <w:pPr>
              <w:spacing w:line="240" w:lineRule="auto"/>
              <w:jc w:val="center"/>
            </w:pPr>
            <w:r w:rsidRPr="00831D7F">
              <w:t>3.25</w:t>
            </w:r>
          </w:p>
        </w:tc>
        <w:tc>
          <w:tcPr>
            <w:tcW w:w="1415" w:type="dxa"/>
            <w:noWrap/>
            <w:hideMark/>
          </w:tcPr>
          <w:p w14:paraId="78496829" w14:textId="77777777" w:rsidR="00831D7F" w:rsidRPr="00831D7F" w:rsidRDefault="00831D7F" w:rsidP="00BA7380">
            <w:pPr>
              <w:spacing w:line="240" w:lineRule="auto"/>
              <w:jc w:val="center"/>
            </w:pPr>
            <w:r w:rsidRPr="00831D7F">
              <w:t>2.8</w:t>
            </w:r>
          </w:p>
        </w:tc>
      </w:tr>
      <w:tr w:rsidR="00831D7F" w:rsidRPr="00831D7F" w14:paraId="40919BA6" w14:textId="77777777" w:rsidTr="00AF33BB">
        <w:trPr>
          <w:trHeight w:val="288"/>
          <w:jc w:val="center"/>
        </w:trPr>
        <w:tc>
          <w:tcPr>
            <w:tcW w:w="960" w:type="dxa"/>
            <w:noWrap/>
            <w:hideMark/>
          </w:tcPr>
          <w:p w14:paraId="7FF137A9" w14:textId="77777777" w:rsidR="00831D7F" w:rsidRPr="00831D7F" w:rsidRDefault="00831D7F" w:rsidP="00BA7380">
            <w:pPr>
              <w:spacing w:line="240" w:lineRule="auto"/>
              <w:jc w:val="center"/>
            </w:pPr>
            <w:r w:rsidRPr="00831D7F">
              <w:t>11</w:t>
            </w:r>
          </w:p>
        </w:tc>
        <w:tc>
          <w:tcPr>
            <w:tcW w:w="1340" w:type="dxa"/>
            <w:noWrap/>
            <w:hideMark/>
          </w:tcPr>
          <w:p w14:paraId="63F15351" w14:textId="77777777" w:rsidR="00831D7F" w:rsidRPr="00831D7F" w:rsidRDefault="00831D7F" w:rsidP="00BA7380">
            <w:pPr>
              <w:spacing w:line="240" w:lineRule="auto"/>
              <w:jc w:val="center"/>
            </w:pPr>
            <w:r w:rsidRPr="00831D7F">
              <w:t>3.2</w:t>
            </w:r>
          </w:p>
        </w:tc>
        <w:tc>
          <w:tcPr>
            <w:tcW w:w="1310" w:type="dxa"/>
            <w:noWrap/>
            <w:hideMark/>
          </w:tcPr>
          <w:p w14:paraId="3C162D42" w14:textId="77777777" w:rsidR="00831D7F" w:rsidRPr="00831D7F" w:rsidRDefault="00831D7F" w:rsidP="00BA7380">
            <w:pPr>
              <w:spacing w:line="240" w:lineRule="auto"/>
              <w:jc w:val="center"/>
            </w:pPr>
            <w:r w:rsidRPr="00831D7F">
              <w:t>3.6</w:t>
            </w:r>
          </w:p>
        </w:tc>
        <w:tc>
          <w:tcPr>
            <w:tcW w:w="1310" w:type="dxa"/>
            <w:noWrap/>
            <w:hideMark/>
          </w:tcPr>
          <w:p w14:paraId="39D306DB" w14:textId="77777777" w:rsidR="00831D7F" w:rsidRPr="00831D7F" w:rsidRDefault="00831D7F" w:rsidP="00BA7380">
            <w:pPr>
              <w:spacing w:line="240" w:lineRule="auto"/>
              <w:jc w:val="center"/>
            </w:pPr>
            <w:r w:rsidRPr="00831D7F">
              <w:t>2.9</w:t>
            </w:r>
          </w:p>
        </w:tc>
        <w:tc>
          <w:tcPr>
            <w:tcW w:w="1340" w:type="dxa"/>
            <w:noWrap/>
            <w:hideMark/>
          </w:tcPr>
          <w:p w14:paraId="6FBADD24" w14:textId="77777777" w:rsidR="00831D7F" w:rsidRPr="00831D7F" w:rsidRDefault="00831D7F" w:rsidP="00BA7380">
            <w:pPr>
              <w:spacing w:line="240" w:lineRule="auto"/>
              <w:jc w:val="center"/>
            </w:pPr>
            <w:r w:rsidRPr="00831D7F">
              <w:t>3</w:t>
            </w:r>
          </w:p>
        </w:tc>
        <w:tc>
          <w:tcPr>
            <w:tcW w:w="1360" w:type="dxa"/>
            <w:noWrap/>
            <w:hideMark/>
          </w:tcPr>
          <w:p w14:paraId="6EC2A942" w14:textId="77777777" w:rsidR="00831D7F" w:rsidRPr="00831D7F" w:rsidRDefault="00831D7F" w:rsidP="00BA7380">
            <w:pPr>
              <w:spacing w:line="240" w:lineRule="auto"/>
              <w:jc w:val="center"/>
            </w:pPr>
            <w:r w:rsidRPr="00831D7F">
              <w:t>3.25</w:t>
            </w:r>
          </w:p>
        </w:tc>
        <w:tc>
          <w:tcPr>
            <w:tcW w:w="1420" w:type="dxa"/>
            <w:noWrap/>
            <w:hideMark/>
          </w:tcPr>
          <w:p w14:paraId="3CE43A7E" w14:textId="77777777" w:rsidR="00831D7F" w:rsidRPr="00831D7F" w:rsidRDefault="00831D7F" w:rsidP="00BA7380">
            <w:pPr>
              <w:spacing w:line="240" w:lineRule="auto"/>
              <w:jc w:val="center"/>
            </w:pPr>
            <w:r w:rsidRPr="00831D7F">
              <w:t>3.25</w:t>
            </w:r>
          </w:p>
        </w:tc>
        <w:tc>
          <w:tcPr>
            <w:tcW w:w="1420" w:type="dxa"/>
            <w:noWrap/>
            <w:hideMark/>
          </w:tcPr>
          <w:p w14:paraId="1AA4D4CF" w14:textId="77777777" w:rsidR="00831D7F" w:rsidRPr="00831D7F" w:rsidRDefault="00831D7F" w:rsidP="00BA7380">
            <w:pPr>
              <w:spacing w:line="240" w:lineRule="auto"/>
              <w:jc w:val="center"/>
            </w:pPr>
            <w:r w:rsidRPr="00831D7F">
              <w:t>3.25</w:t>
            </w:r>
          </w:p>
        </w:tc>
        <w:tc>
          <w:tcPr>
            <w:tcW w:w="1415" w:type="dxa"/>
            <w:noWrap/>
            <w:hideMark/>
          </w:tcPr>
          <w:p w14:paraId="4084C54B" w14:textId="77777777" w:rsidR="00831D7F" w:rsidRPr="00831D7F" w:rsidRDefault="00831D7F" w:rsidP="00BA7380">
            <w:pPr>
              <w:spacing w:line="240" w:lineRule="auto"/>
              <w:jc w:val="center"/>
            </w:pPr>
            <w:r w:rsidRPr="00831D7F">
              <w:t>2.8</w:t>
            </w:r>
          </w:p>
        </w:tc>
      </w:tr>
      <w:tr w:rsidR="00831D7F" w:rsidRPr="00831D7F" w14:paraId="3A0476C9" w14:textId="77777777" w:rsidTr="00AF33BB">
        <w:trPr>
          <w:trHeight w:val="288"/>
          <w:jc w:val="center"/>
        </w:trPr>
        <w:tc>
          <w:tcPr>
            <w:tcW w:w="960" w:type="dxa"/>
            <w:noWrap/>
            <w:hideMark/>
          </w:tcPr>
          <w:p w14:paraId="2D0CFB22" w14:textId="77777777" w:rsidR="00831D7F" w:rsidRPr="00831D7F" w:rsidRDefault="00831D7F" w:rsidP="00BA7380">
            <w:pPr>
              <w:spacing w:line="240" w:lineRule="auto"/>
              <w:jc w:val="center"/>
            </w:pPr>
            <w:r w:rsidRPr="00831D7F">
              <w:t>12</w:t>
            </w:r>
          </w:p>
        </w:tc>
        <w:tc>
          <w:tcPr>
            <w:tcW w:w="1340" w:type="dxa"/>
            <w:noWrap/>
            <w:hideMark/>
          </w:tcPr>
          <w:p w14:paraId="660B1A4C" w14:textId="77777777" w:rsidR="00831D7F" w:rsidRPr="00831D7F" w:rsidRDefault="00831D7F" w:rsidP="00BA7380">
            <w:pPr>
              <w:spacing w:line="240" w:lineRule="auto"/>
              <w:jc w:val="center"/>
            </w:pPr>
            <w:r w:rsidRPr="00831D7F">
              <w:t>3.25</w:t>
            </w:r>
          </w:p>
        </w:tc>
        <w:tc>
          <w:tcPr>
            <w:tcW w:w="1310" w:type="dxa"/>
            <w:noWrap/>
            <w:hideMark/>
          </w:tcPr>
          <w:p w14:paraId="52FCB25F" w14:textId="77777777" w:rsidR="00831D7F" w:rsidRPr="00831D7F" w:rsidRDefault="00831D7F" w:rsidP="00BA7380">
            <w:pPr>
              <w:spacing w:line="240" w:lineRule="auto"/>
              <w:jc w:val="center"/>
            </w:pPr>
            <w:r w:rsidRPr="00831D7F">
              <w:t>3.6</w:t>
            </w:r>
          </w:p>
        </w:tc>
        <w:tc>
          <w:tcPr>
            <w:tcW w:w="1310" w:type="dxa"/>
            <w:noWrap/>
            <w:hideMark/>
          </w:tcPr>
          <w:p w14:paraId="4353BB68" w14:textId="77777777" w:rsidR="00831D7F" w:rsidRPr="00831D7F" w:rsidRDefault="00831D7F" w:rsidP="00BA7380">
            <w:pPr>
              <w:spacing w:line="240" w:lineRule="auto"/>
              <w:jc w:val="center"/>
            </w:pPr>
            <w:r w:rsidRPr="00831D7F">
              <w:t>3</w:t>
            </w:r>
          </w:p>
        </w:tc>
        <w:tc>
          <w:tcPr>
            <w:tcW w:w="1340" w:type="dxa"/>
            <w:noWrap/>
            <w:hideMark/>
          </w:tcPr>
          <w:p w14:paraId="7E4956E6" w14:textId="77777777" w:rsidR="00831D7F" w:rsidRPr="00831D7F" w:rsidRDefault="00831D7F" w:rsidP="00BA7380">
            <w:pPr>
              <w:spacing w:line="240" w:lineRule="auto"/>
              <w:jc w:val="center"/>
            </w:pPr>
            <w:r w:rsidRPr="00831D7F">
              <w:t>3</w:t>
            </w:r>
          </w:p>
        </w:tc>
        <w:tc>
          <w:tcPr>
            <w:tcW w:w="1360" w:type="dxa"/>
            <w:noWrap/>
            <w:hideMark/>
          </w:tcPr>
          <w:p w14:paraId="5E97B8C1" w14:textId="77777777" w:rsidR="00831D7F" w:rsidRPr="00831D7F" w:rsidRDefault="00831D7F" w:rsidP="00BA7380">
            <w:pPr>
              <w:spacing w:line="240" w:lineRule="auto"/>
              <w:jc w:val="center"/>
            </w:pPr>
            <w:r w:rsidRPr="00831D7F">
              <w:t>3.25</w:t>
            </w:r>
          </w:p>
        </w:tc>
        <w:tc>
          <w:tcPr>
            <w:tcW w:w="1420" w:type="dxa"/>
            <w:noWrap/>
            <w:hideMark/>
          </w:tcPr>
          <w:p w14:paraId="7D97A00C" w14:textId="77777777" w:rsidR="00831D7F" w:rsidRPr="00831D7F" w:rsidRDefault="00831D7F" w:rsidP="00BA7380">
            <w:pPr>
              <w:spacing w:line="240" w:lineRule="auto"/>
              <w:jc w:val="center"/>
            </w:pPr>
            <w:r w:rsidRPr="00831D7F">
              <w:t>3.25</w:t>
            </w:r>
          </w:p>
        </w:tc>
        <w:tc>
          <w:tcPr>
            <w:tcW w:w="1420" w:type="dxa"/>
            <w:noWrap/>
            <w:hideMark/>
          </w:tcPr>
          <w:p w14:paraId="3CE3E7B1" w14:textId="77777777" w:rsidR="00831D7F" w:rsidRPr="00831D7F" w:rsidRDefault="00831D7F" w:rsidP="00BA7380">
            <w:pPr>
              <w:spacing w:line="240" w:lineRule="auto"/>
              <w:jc w:val="center"/>
            </w:pPr>
            <w:r w:rsidRPr="00831D7F">
              <w:t>3.4</w:t>
            </w:r>
          </w:p>
        </w:tc>
        <w:tc>
          <w:tcPr>
            <w:tcW w:w="1415" w:type="dxa"/>
            <w:noWrap/>
            <w:hideMark/>
          </w:tcPr>
          <w:p w14:paraId="0E3C4A8B" w14:textId="77777777" w:rsidR="00831D7F" w:rsidRPr="00831D7F" w:rsidRDefault="00831D7F" w:rsidP="00BA7380">
            <w:pPr>
              <w:spacing w:line="240" w:lineRule="auto"/>
              <w:jc w:val="center"/>
            </w:pPr>
            <w:r w:rsidRPr="00831D7F">
              <w:t>2.9</w:t>
            </w:r>
          </w:p>
        </w:tc>
      </w:tr>
      <w:tr w:rsidR="00831D7F" w:rsidRPr="00831D7F" w14:paraId="733450C1" w14:textId="77777777" w:rsidTr="00AF33BB">
        <w:trPr>
          <w:trHeight w:val="288"/>
          <w:jc w:val="center"/>
        </w:trPr>
        <w:tc>
          <w:tcPr>
            <w:tcW w:w="960" w:type="dxa"/>
            <w:noWrap/>
            <w:hideMark/>
          </w:tcPr>
          <w:p w14:paraId="584DD103" w14:textId="77777777" w:rsidR="00831D7F" w:rsidRPr="00831D7F" w:rsidRDefault="00831D7F" w:rsidP="00BA7380">
            <w:pPr>
              <w:spacing w:line="240" w:lineRule="auto"/>
              <w:jc w:val="center"/>
            </w:pPr>
            <w:r w:rsidRPr="00831D7F">
              <w:t>13</w:t>
            </w:r>
          </w:p>
        </w:tc>
        <w:tc>
          <w:tcPr>
            <w:tcW w:w="1340" w:type="dxa"/>
            <w:noWrap/>
            <w:hideMark/>
          </w:tcPr>
          <w:p w14:paraId="3C5851AF" w14:textId="77777777" w:rsidR="00831D7F" w:rsidRPr="00831D7F" w:rsidRDefault="00831D7F" w:rsidP="00BA7380">
            <w:pPr>
              <w:spacing w:line="240" w:lineRule="auto"/>
              <w:jc w:val="center"/>
            </w:pPr>
            <w:r w:rsidRPr="00831D7F">
              <w:t>3.3</w:t>
            </w:r>
          </w:p>
        </w:tc>
        <w:tc>
          <w:tcPr>
            <w:tcW w:w="1310" w:type="dxa"/>
            <w:noWrap/>
            <w:hideMark/>
          </w:tcPr>
          <w:p w14:paraId="23426823" w14:textId="77777777" w:rsidR="00831D7F" w:rsidRPr="00831D7F" w:rsidRDefault="00831D7F" w:rsidP="00BA7380">
            <w:pPr>
              <w:spacing w:line="240" w:lineRule="auto"/>
              <w:jc w:val="center"/>
            </w:pPr>
            <w:r w:rsidRPr="00831D7F">
              <w:t>3.7</w:t>
            </w:r>
          </w:p>
        </w:tc>
        <w:tc>
          <w:tcPr>
            <w:tcW w:w="1310" w:type="dxa"/>
            <w:noWrap/>
            <w:hideMark/>
          </w:tcPr>
          <w:p w14:paraId="45A1DE15" w14:textId="77777777" w:rsidR="00831D7F" w:rsidRPr="00831D7F" w:rsidRDefault="00831D7F" w:rsidP="00BA7380">
            <w:pPr>
              <w:spacing w:line="240" w:lineRule="auto"/>
              <w:jc w:val="center"/>
            </w:pPr>
            <w:r w:rsidRPr="00831D7F">
              <w:t>3</w:t>
            </w:r>
          </w:p>
        </w:tc>
        <w:tc>
          <w:tcPr>
            <w:tcW w:w="1340" w:type="dxa"/>
            <w:noWrap/>
            <w:hideMark/>
          </w:tcPr>
          <w:p w14:paraId="6DD19D86" w14:textId="77777777" w:rsidR="00831D7F" w:rsidRPr="00831D7F" w:rsidRDefault="00831D7F" w:rsidP="00BA7380">
            <w:pPr>
              <w:spacing w:line="240" w:lineRule="auto"/>
              <w:jc w:val="center"/>
            </w:pPr>
            <w:r w:rsidRPr="00831D7F">
              <w:t>3</w:t>
            </w:r>
          </w:p>
        </w:tc>
        <w:tc>
          <w:tcPr>
            <w:tcW w:w="1360" w:type="dxa"/>
            <w:noWrap/>
            <w:hideMark/>
          </w:tcPr>
          <w:p w14:paraId="1D950BFA" w14:textId="77777777" w:rsidR="00831D7F" w:rsidRPr="00831D7F" w:rsidRDefault="00831D7F" w:rsidP="00BA7380">
            <w:pPr>
              <w:spacing w:line="240" w:lineRule="auto"/>
              <w:jc w:val="center"/>
            </w:pPr>
            <w:r w:rsidRPr="00831D7F">
              <w:t>3.25</w:t>
            </w:r>
          </w:p>
        </w:tc>
        <w:tc>
          <w:tcPr>
            <w:tcW w:w="1420" w:type="dxa"/>
            <w:noWrap/>
            <w:hideMark/>
          </w:tcPr>
          <w:p w14:paraId="79F937AE" w14:textId="77777777" w:rsidR="00831D7F" w:rsidRPr="00831D7F" w:rsidRDefault="00831D7F" w:rsidP="00BA7380">
            <w:pPr>
              <w:spacing w:line="240" w:lineRule="auto"/>
              <w:jc w:val="center"/>
            </w:pPr>
            <w:r w:rsidRPr="00831D7F">
              <w:t>3.25</w:t>
            </w:r>
          </w:p>
        </w:tc>
        <w:tc>
          <w:tcPr>
            <w:tcW w:w="1420" w:type="dxa"/>
            <w:noWrap/>
            <w:hideMark/>
          </w:tcPr>
          <w:p w14:paraId="68DA0173" w14:textId="77777777" w:rsidR="00831D7F" w:rsidRPr="00831D7F" w:rsidRDefault="00831D7F" w:rsidP="00BA7380">
            <w:pPr>
              <w:spacing w:line="240" w:lineRule="auto"/>
              <w:jc w:val="center"/>
            </w:pPr>
            <w:r w:rsidRPr="00831D7F">
              <w:t>3.45</w:t>
            </w:r>
          </w:p>
        </w:tc>
        <w:tc>
          <w:tcPr>
            <w:tcW w:w="1415" w:type="dxa"/>
            <w:noWrap/>
            <w:hideMark/>
          </w:tcPr>
          <w:p w14:paraId="0E7680B5" w14:textId="77777777" w:rsidR="00831D7F" w:rsidRPr="00831D7F" w:rsidRDefault="00831D7F" w:rsidP="00BA7380">
            <w:pPr>
              <w:spacing w:line="240" w:lineRule="auto"/>
              <w:jc w:val="center"/>
            </w:pPr>
            <w:r w:rsidRPr="00831D7F">
              <w:t>2.9</w:t>
            </w:r>
          </w:p>
        </w:tc>
      </w:tr>
      <w:tr w:rsidR="00831D7F" w:rsidRPr="00831D7F" w14:paraId="6AE0DBC7" w14:textId="77777777" w:rsidTr="00AF33BB">
        <w:trPr>
          <w:trHeight w:val="288"/>
          <w:jc w:val="center"/>
        </w:trPr>
        <w:tc>
          <w:tcPr>
            <w:tcW w:w="960" w:type="dxa"/>
            <w:noWrap/>
            <w:hideMark/>
          </w:tcPr>
          <w:p w14:paraId="390AF460" w14:textId="77777777" w:rsidR="00831D7F" w:rsidRPr="00831D7F" w:rsidRDefault="00831D7F" w:rsidP="00BA7380">
            <w:pPr>
              <w:spacing w:line="240" w:lineRule="auto"/>
              <w:jc w:val="center"/>
            </w:pPr>
            <w:r w:rsidRPr="00831D7F">
              <w:t>14</w:t>
            </w:r>
          </w:p>
        </w:tc>
        <w:tc>
          <w:tcPr>
            <w:tcW w:w="1340" w:type="dxa"/>
            <w:noWrap/>
            <w:hideMark/>
          </w:tcPr>
          <w:p w14:paraId="744DCEE1" w14:textId="77777777" w:rsidR="00831D7F" w:rsidRPr="00831D7F" w:rsidRDefault="00831D7F" w:rsidP="00BA7380">
            <w:pPr>
              <w:spacing w:line="240" w:lineRule="auto"/>
              <w:jc w:val="center"/>
            </w:pPr>
            <w:r w:rsidRPr="00831D7F">
              <w:t>3.2</w:t>
            </w:r>
          </w:p>
        </w:tc>
        <w:tc>
          <w:tcPr>
            <w:tcW w:w="1310" w:type="dxa"/>
            <w:noWrap/>
            <w:hideMark/>
          </w:tcPr>
          <w:p w14:paraId="68067CEE" w14:textId="77777777" w:rsidR="00831D7F" w:rsidRPr="00831D7F" w:rsidRDefault="00831D7F" w:rsidP="00BA7380">
            <w:pPr>
              <w:spacing w:line="240" w:lineRule="auto"/>
              <w:jc w:val="center"/>
            </w:pPr>
            <w:r w:rsidRPr="00831D7F">
              <w:t>3.6</w:t>
            </w:r>
          </w:p>
        </w:tc>
        <w:tc>
          <w:tcPr>
            <w:tcW w:w="1310" w:type="dxa"/>
            <w:noWrap/>
            <w:hideMark/>
          </w:tcPr>
          <w:p w14:paraId="5BF3A594" w14:textId="77777777" w:rsidR="00831D7F" w:rsidRPr="00831D7F" w:rsidRDefault="00831D7F" w:rsidP="00BA7380">
            <w:pPr>
              <w:spacing w:line="240" w:lineRule="auto"/>
              <w:jc w:val="center"/>
            </w:pPr>
            <w:r w:rsidRPr="00831D7F">
              <w:t>3.1</w:t>
            </w:r>
          </w:p>
        </w:tc>
        <w:tc>
          <w:tcPr>
            <w:tcW w:w="1340" w:type="dxa"/>
            <w:noWrap/>
            <w:hideMark/>
          </w:tcPr>
          <w:p w14:paraId="2D2406EB" w14:textId="77777777" w:rsidR="00831D7F" w:rsidRPr="00831D7F" w:rsidRDefault="00831D7F" w:rsidP="00BA7380">
            <w:pPr>
              <w:spacing w:line="240" w:lineRule="auto"/>
              <w:jc w:val="center"/>
            </w:pPr>
            <w:r w:rsidRPr="00831D7F">
              <w:t>3</w:t>
            </w:r>
          </w:p>
        </w:tc>
        <w:tc>
          <w:tcPr>
            <w:tcW w:w="1360" w:type="dxa"/>
            <w:noWrap/>
            <w:hideMark/>
          </w:tcPr>
          <w:p w14:paraId="5A2A2B47" w14:textId="77777777" w:rsidR="00831D7F" w:rsidRPr="00831D7F" w:rsidRDefault="00831D7F" w:rsidP="00BA7380">
            <w:pPr>
              <w:spacing w:line="240" w:lineRule="auto"/>
              <w:jc w:val="center"/>
            </w:pPr>
            <w:r w:rsidRPr="00831D7F">
              <w:t>3.25</w:t>
            </w:r>
          </w:p>
        </w:tc>
        <w:tc>
          <w:tcPr>
            <w:tcW w:w="1420" w:type="dxa"/>
            <w:noWrap/>
            <w:hideMark/>
          </w:tcPr>
          <w:p w14:paraId="1ECB2EB1" w14:textId="77777777" w:rsidR="00831D7F" w:rsidRPr="00831D7F" w:rsidRDefault="00831D7F" w:rsidP="00BA7380">
            <w:pPr>
              <w:spacing w:line="240" w:lineRule="auto"/>
              <w:jc w:val="center"/>
            </w:pPr>
            <w:r w:rsidRPr="00831D7F">
              <w:t>3.25</w:t>
            </w:r>
          </w:p>
        </w:tc>
        <w:tc>
          <w:tcPr>
            <w:tcW w:w="1420" w:type="dxa"/>
            <w:noWrap/>
            <w:hideMark/>
          </w:tcPr>
          <w:p w14:paraId="73CB055A" w14:textId="77777777" w:rsidR="00831D7F" w:rsidRPr="00831D7F" w:rsidRDefault="00831D7F" w:rsidP="00BA7380">
            <w:pPr>
              <w:spacing w:line="240" w:lineRule="auto"/>
              <w:jc w:val="center"/>
            </w:pPr>
            <w:r w:rsidRPr="00831D7F">
              <w:t>3.5</w:t>
            </w:r>
          </w:p>
        </w:tc>
        <w:tc>
          <w:tcPr>
            <w:tcW w:w="1415" w:type="dxa"/>
            <w:noWrap/>
            <w:hideMark/>
          </w:tcPr>
          <w:p w14:paraId="4E9951B8" w14:textId="77777777" w:rsidR="00831D7F" w:rsidRPr="00831D7F" w:rsidRDefault="00831D7F" w:rsidP="00BA7380">
            <w:pPr>
              <w:spacing w:line="240" w:lineRule="auto"/>
              <w:jc w:val="center"/>
            </w:pPr>
            <w:r w:rsidRPr="00831D7F">
              <w:t>2.8</w:t>
            </w:r>
          </w:p>
        </w:tc>
      </w:tr>
      <w:tr w:rsidR="00831D7F" w:rsidRPr="00831D7F" w14:paraId="74BD3861" w14:textId="77777777" w:rsidTr="00AF33BB">
        <w:trPr>
          <w:trHeight w:val="288"/>
          <w:jc w:val="center"/>
        </w:trPr>
        <w:tc>
          <w:tcPr>
            <w:tcW w:w="960" w:type="dxa"/>
            <w:noWrap/>
            <w:hideMark/>
          </w:tcPr>
          <w:p w14:paraId="4F5C5CA0" w14:textId="77777777" w:rsidR="00831D7F" w:rsidRPr="00831D7F" w:rsidRDefault="00831D7F" w:rsidP="00BA7380">
            <w:pPr>
              <w:spacing w:line="240" w:lineRule="auto"/>
              <w:jc w:val="center"/>
            </w:pPr>
            <w:r w:rsidRPr="00831D7F">
              <w:t>15</w:t>
            </w:r>
          </w:p>
        </w:tc>
        <w:tc>
          <w:tcPr>
            <w:tcW w:w="1340" w:type="dxa"/>
            <w:noWrap/>
            <w:hideMark/>
          </w:tcPr>
          <w:p w14:paraId="255A3F5E" w14:textId="77777777" w:rsidR="00831D7F" w:rsidRPr="00831D7F" w:rsidRDefault="00831D7F" w:rsidP="00BA7380">
            <w:pPr>
              <w:spacing w:line="240" w:lineRule="auto"/>
              <w:jc w:val="center"/>
            </w:pPr>
            <w:r w:rsidRPr="00831D7F">
              <w:t>4.2</w:t>
            </w:r>
          </w:p>
        </w:tc>
        <w:tc>
          <w:tcPr>
            <w:tcW w:w="1310" w:type="dxa"/>
            <w:noWrap/>
            <w:hideMark/>
          </w:tcPr>
          <w:p w14:paraId="123DB971" w14:textId="77777777" w:rsidR="00831D7F" w:rsidRPr="00831D7F" w:rsidRDefault="00831D7F" w:rsidP="00BA7380">
            <w:pPr>
              <w:spacing w:line="240" w:lineRule="auto"/>
              <w:jc w:val="center"/>
            </w:pPr>
            <w:r w:rsidRPr="00831D7F">
              <w:t>3.5</w:t>
            </w:r>
          </w:p>
        </w:tc>
        <w:tc>
          <w:tcPr>
            <w:tcW w:w="1310" w:type="dxa"/>
            <w:noWrap/>
            <w:hideMark/>
          </w:tcPr>
          <w:p w14:paraId="64FFD1AE" w14:textId="77777777" w:rsidR="00831D7F" w:rsidRPr="00831D7F" w:rsidRDefault="00831D7F" w:rsidP="00BA7380">
            <w:pPr>
              <w:spacing w:line="240" w:lineRule="auto"/>
              <w:jc w:val="center"/>
            </w:pPr>
            <w:r w:rsidRPr="00831D7F">
              <w:t>3.2</w:t>
            </w:r>
          </w:p>
        </w:tc>
        <w:tc>
          <w:tcPr>
            <w:tcW w:w="1340" w:type="dxa"/>
            <w:noWrap/>
            <w:hideMark/>
          </w:tcPr>
          <w:p w14:paraId="451BF1CD" w14:textId="77777777" w:rsidR="00831D7F" w:rsidRPr="00831D7F" w:rsidRDefault="00831D7F" w:rsidP="00BA7380">
            <w:pPr>
              <w:spacing w:line="240" w:lineRule="auto"/>
              <w:jc w:val="center"/>
            </w:pPr>
            <w:r w:rsidRPr="00831D7F">
              <w:t>3</w:t>
            </w:r>
          </w:p>
        </w:tc>
        <w:tc>
          <w:tcPr>
            <w:tcW w:w="1360" w:type="dxa"/>
            <w:noWrap/>
            <w:hideMark/>
          </w:tcPr>
          <w:p w14:paraId="5C182D66" w14:textId="77777777" w:rsidR="00831D7F" w:rsidRPr="00831D7F" w:rsidRDefault="00831D7F" w:rsidP="00BA7380">
            <w:pPr>
              <w:spacing w:line="240" w:lineRule="auto"/>
              <w:jc w:val="center"/>
            </w:pPr>
            <w:r w:rsidRPr="00831D7F">
              <w:t>3.25</w:t>
            </w:r>
          </w:p>
        </w:tc>
        <w:tc>
          <w:tcPr>
            <w:tcW w:w="1420" w:type="dxa"/>
            <w:noWrap/>
            <w:hideMark/>
          </w:tcPr>
          <w:p w14:paraId="2692796C" w14:textId="77777777" w:rsidR="00831D7F" w:rsidRPr="00831D7F" w:rsidRDefault="00831D7F" w:rsidP="00BA7380">
            <w:pPr>
              <w:spacing w:line="240" w:lineRule="auto"/>
              <w:jc w:val="center"/>
            </w:pPr>
            <w:r w:rsidRPr="00831D7F">
              <w:t>3.25</w:t>
            </w:r>
          </w:p>
        </w:tc>
        <w:tc>
          <w:tcPr>
            <w:tcW w:w="1420" w:type="dxa"/>
            <w:noWrap/>
            <w:hideMark/>
          </w:tcPr>
          <w:p w14:paraId="5C48F621" w14:textId="77777777" w:rsidR="00831D7F" w:rsidRPr="00831D7F" w:rsidRDefault="00831D7F" w:rsidP="00BA7380">
            <w:pPr>
              <w:spacing w:line="240" w:lineRule="auto"/>
              <w:jc w:val="center"/>
            </w:pPr>
            <w:r w:rsidRPr="00831D7F">
              <w:t>3.5</w:t>
            </w:r>
          </w:p>
        </w:tc>
        <w:tc>
          <w:tcPr>
            <w:tcW w:w="1415" w:type="dxa"/>
            <w:noWrap/>
            <w:hideMark/>
          </w:tcPr>
          <w:p w14:paraId="76173E48" w14:textId="77777777" w:rsidR="00831D7F" w:rsidRPr="00831D7F" w:rsidRDefault="00831D7F" w:rsidP="00BA7380">
            <w:pPr>
              <w:spacing w:line="240" w:lineRule="auto"/>
              <w:jc w:val="center"/>
            </w:pPr>
            <w:r w:rsidRPr="00831D7F">
              <w:t>2.8</w:t>
            </w:r>
          </w:p>
        </w:tc>
      </w:tr>
      <w:tr w:rsidR="00831D7F" w:rsidRPr="00831D7F" w14:paraId="2B865528" w14:textId="77777777" w:rsidTr="00AF33BB">
        <w:trPr>
          <w:trHeight w:val="288"/>
          <w:jc w:val="center"/>
        </w:trPr>
        <w:tc>
          <w:tcPr>
            <w:tcW w:w="960" w:type="dxa"/>
            <w:noWrap/>
            <w:hideMark/>
          </w:tcPr>
          <w:p w14:paraId="1A28D48E" w14:textId="77777777" w:rsidR="00831D7F" w:rsidRPr="00831D7F" w:rsidRDefault="00831D7F" w:rsidP="00BA7380">
            <w:pPr>
              <w:spacing w:line="240" w:lineRule="auto"/>
              <w:jc w:val="center"/>
            </w:pPr>
            <w:r w:rsidRPr="00831D7F">
              <w:t>16</w:t>
            </w:r>
          </w:p>
        </w:tc>
        <w:tc>
          <w:tcPr>
            <w:tcW w:w="1340" w:type="dxa"/>
            <w:noWrap/>
            <w:hideMark/>
          </w:tcPr>
          <w:p w14:paraId="2B6F140B" w14:textId="77777777" w:rsidR="00831D7F" w:rsidRPr="00831D7F" w:rsidRDefault="00831D7F" w:rsidP="00BA7380">
            <w:pPr>
              <w:spacing w:line="240" w:lineRule="auto"/>
              <w:jc w:val="center"/>
            </w:pPr>
            <w:r w:rsidRPr="00831D7F">
              <w:t>4.3</w:t>
            </w:r>
          </w:p>
        </w:tc>
        <w:tc>
          <w:tcPr>
            <w:tcW w:w="1310" w:type="dxa"/>
            <w:noWrap/>
            <w:hideMark/>
          </w:tcPr>
          <w:p w14:paraId="5F60B646" w14:textId="77777777" w:rsidR="00831D7F" w:rsidRPr="00831D7F" w:rsidRDefault="00831D7F" w:rsidP="00BA7380">
            <w:pPr>
              <w:spacing w:line="240" w:lineRule="auto"/>
              <w:jc w:val="center"/>
            </w:pPr>
            <w:r w:rsidRPr="00831D7F">
              <w:t>3.7</w:t>
            </w:r>
          </w:p>
        </w:tc>
        <w:tc>
          <w:tcPr>
            <w:tcW w:w="1310" w:type="dxa"/>
            <w:noWrap/>
            <w:hideMark/>
          </w:tcPr>
          <w:p w14:paraId="1C3D71D3" w14:textId="77777777" w:rsidR="00831D7F" w:rsidRPr="00831D7F" w:rsidRDefault="00831D7F" w:rsidP="00BA7380">
            <w:pPr>
              <w:spacing w:line="240" w:lineRule="auto"/>
              <w:jc w:val="center"/>
            </w:pPr>
            <w:r w:rsidRPr="00831D7F">
              <w:t>3.4</w:t>
            </w:r>
          </w:p>
        </w:tc>
        <w:tc>
          <w:tcPr>
            <w:tcW w:w="1340" w:type="dxa"/>
            <w:noWrap/>
            <w:hideMark/>
          </w:tcPr>
          <w:p w14:paraId="7C446FAF" w14:textId="77777777" w:rsidR="00831D7F" w:rsidRPr="00831D7F" w:rsidRDefault="00831D7F" w:rsidP="00BA7380">
            <w:pPr>
              <w:spacing w:line="240" w:lineRule="auto"/>
              <w:jc w:val="center"/>
            </w:pPr>
            <w:r w:rsidRPr="00831D7F">
              <w:t>3</w:t>
            </w:r>
          </w:p>
        </w:tc>
        <w:tc>
          <w:tcPr>
            <w:tcW w:w="1360" w:type="dxa"/>
            <w:noWrap/>
            <w:hideMark/>
          </w:tcPr>
          <w:p w14:paraId="687D8A14" w14:textId="77777777" w:rsidR="00831D7F" w:rsidRPr="00831D7F" w:rsidRDefault="00831D7F" w:rsidP="00BA7380">
            <w:pPr>
              <w:spacing w:line="240" w:lineRule="auto"/>
              <w:jc w:val="center"/>
            </w:pPr>
            <w:r w:rsidRPr="00831D7F">
              <w:t>3.25</w:t>
            </w:r>
          </w:p>
        </w:tc>
        <w:tc>
          <w:tcPr>
            <w:tcW w:w="1420" w:type="dxa"/>
            <w:noWrap/>
            <w:hideMark/>
          </w:tcPr>
          <w:p w14:paraId="332704B2" w14:textId="77777777" w:rsidR="00831D7F" w:rsidRPr="00831D7F" w:rsidRDefault="00831D7F" w:rsidP="00BA7380">
            <w:pPr>
              <w:spacing w:line="240" w:lineRule="auto"/>
              <w:jc w:val="center"/>
            </w:pPr>
            <w:r w:rsidRPr="00831D7F">
              <w:t>3.6</w:t>
            </w:r>
          </w:p>
        </w:tc>
        <w:tc>
          <w:tcPr>
            <w:tcW w:w="1420" w:type="dxa"/>
            <w:noWrap/>
            <w:hideMark/>
          </w:tcPr>
          <w:p w14:paraId="7AEBFBEC" w14:textId="77777777" w:rsidR="00831D7F" w:rsidRPr="00831D7F" w:rsidRDefault="00831D7F" w:rsidP="00BA7380">
            <w:pPr>
              <w:spacing w:line="240" w:lineRule="auto"/>
              <w:jc w:val="center"/>
            </w:pPr>
            <w:r w:rsidRPr="00831D7F">
              <w:t>3.6</w:t>
            </w:r>
          </w:p>
        </w:tc>
        <w:tc>
          <w:tcPr>
            <w:tcW w:w="1415" w:type="dxa"/>
            <w:noWrap/>
            <w:hideMark/>
          </w:tcPr>
          <w:p w14:paraId="4A2C9614" w14:textId="77777777" w:rsidR="00831D7F" w:rsidRPr="00831D7F" w:rsidRDefault="00831D7F" w:rsidP="00BA7380">
            <w:pPr>
              <w:spacing w:line="240" w:lineRule="auto"/>
              <w:jc w:val="center"/>
            </w:pPr>
            <w:r w:rsidRPr="00831D7F">
              <w:t>3</w:t>
            </w:r>
          </w:p>
        </w:tc>
      </w:tr>
      <w:tr w:rsidR="00831D7F" w:rsidRPr="00831D7F" w14:paraId="051AD4F5" w14:textId="77777777" w:rsidTr="00AF33BB">
        <w:trPr>
          <w:trHeight w:val="288"/>
          <w:jc w:val="center"/>
        </w:trPr>
        <w:tc>
          <w:tcPr>
            <w:tcW w:w="960" w:type="dxa"/>
            <w:noWrap/>
            <w:hideMark/>
          </w:tcPr>
          <w:p w14:paraId="5B7DBBD7" w14:textId="77777777" w:rsidR="00831D7F" w:rsidRPr="00831D7F" w:rsidRDefault="00831D7F" w:rsidP="00BA7380">
            <w:pPr>
              <w:spacing w:line="240" w:lineRule="auto"/>
              <w:jc w:val="center"/>
            </w:pPr>
            <w:r w:rsidRPr="00831D7F">
              <w:t>17</w:t>
            </w:r>
          </w:p>
        </w:tc>
        <w:tc>
          <w:tcPr>
            <w:tcW w:w="1340" w:type="dxa"/>
            <w:noWrap/>
            <w:hideMark/>
          </w:tcPr>
          <w:p w14:paraId="019C1EEC" w14:textId="77777777" w:rsidR="00831D7F" w:rsidRPr="00831D7F" w:rsidRDefault="00831D7F" w:rsidP="00BA7380">
            <w:pPr>
              <w:spacing w:line="240" w:lineRule="auto"/>
              <w:jc w:val="center"/>
            </w:pPr>
            <w:r w:rsidRPr="00831D7F">
              <w:t>4.3</w:t>
            </w:r>
          </w:p>
        </w:tc>
        <w:tc>
          <w:tcPr>
            <w:tcW w:w="1310" w:type="dxa"/>
            <w:noWrap/>
            <w:hideMark/>
          </w:tcPr>
          <w:p w14:paraId="5D5AE1DB" w14:textId="77777777" w:rsidR="00831D7F" w:rsidRPr="00831D7F" w:rsidRDefault="00831D7F" w:rsidP="00BA7380">
            <w:pPr>
              <w:spacing w:line="240" w:lineRule="auto"/>
              <w:jc w:val="center"/>
            </w:pPr>
            <w:r w:rsidRPr="00831D7F">
              <w:t>3.7</w:t>
            </w:r>
          </w:p>
        </w:tc>
        <w:tc>
          <w:tcPr>
            <w:tcW w:w="1310" w:type="dxa"/>
            <w:noWrap/>
            <w:hideMark/>
          </w:tcPr>
          <w:p w14:paraId="02976927" w14:textId="77777777" w:rsidR="00831D7F" w:rsidRPr="00831D7F" w:rsidRDefault="00831D7F" w:rsidP="00BA7380">
            <w:pPr>
              <w:spacing w:line="240" w:lineRule="auto"/>
              <w:jc w:val="center"/>
            </w:pPr>
            <w:r w:rsidRPr="00831D7F">
              <w:t>3.6</w:t>
            </w:r>
          </w:p>
        </w:tc>
        <w:tc>
          <w:tcPr>
            <w:tcW w:w="1340" w:type="dxa"/>
            <w:noWrap/>
            <w:hideMark/>
          </w:tcPr>
          <w:p w14:paraId="05A9ACE7" w14:textId="77777777" w:rsidR="00831D7F" w:rsidRPr="00831D7F" w:rsidRDefault="00831D7F" w:rsidP="00BA7380">
            <w:pPr>
              <w:spacing w:line="240" w:lineRule="auto"/>
              <w:jc w:val="center"/>
            </w:pPr>
            <w:r w:rsidRPr="00831D7F">
              <w:t>3</w:t>
            </w:r>
          </w:p>
        </w:tc>
        <w:tc>
          <w:tcPr>
            <w:tcW w:w="1360" w:type="dxa"/>
            <w:noWrap/>
            <w:hideMark/>
          </w:tcPr>
          <w:p w14:paraId="595AC215" w14:textId="77777777" w:rsidR="00831D7F" w:rsidRPr="00831D7F" w:rsidRDefault="00831D7F" w:rsidP="00BA7380">
            <w:pPr>
              <w:spacing w:line="240" w:lineRule="auto"/>
              <w:jc w:val="center"/>
            </w:pPr>
            <w:r w:rsidRPr="00831D7F">
              <w:t>3.25</w:t>
            </w:r>
          </w:p>
        </w:tc>
        <w:tc>
          <w:tcPr>
            <w:tcW w:w="1420" w:type="dxa"/>
            <w:noWrap/>
            <w:hideMark/>
          </w:tcPr>
          <w:p w14:paraId="09D477E4" w14:textId="77777777" w:rsidR="00831D7F" w:rsidRPr="00831D7F" w:rsidRDefault="00831D7F" w:rsidP="00BA7380">
            <w:pPr>
              <w:spacing w:line="240" w:lineRule="auto"/>
              <w:jc w:val="center"/>
            </w:pPr>
            <w:r w:rsidRPr="00831D7F">
              <w:t>4.05</w:t>
            </w:r>
          </w:p>
        </w:tc>
        <w:tc>
          <w:tcPr>
            <w:tcW w:w="1420" w:type="dxa"/>
            <w:noWrap/>
            <w:hideMark/>
          </w:tcPr>
          <w:p w14:paraId="370808F8" w14:textId="77777777" w:rsidR="00831D7F" w:rsidRPr="00831D7F" w:rsidRDefault="00831D7F" w:rsidP="00BA7380">
            <w:pPr>
              <w:spacing w:line="240" w:lineRule="auto"/>
              <w:jc w:val="center"/>
            </w:pPr>
            <w:r w:rsidRPr="00831D7F">
              <w:t>3.8</w:t>
            </w:r>
          </w:p>
        </w:tc>
        <w:tc>
          <w:tcPr>
            <w:tcW w:w="1415" w:type="dxa"/>
            <w:noWrap/>
            <w:hideMark/>
          </w:tcPr>
          <w:p w14:paraId="4A4CF333" w14:textId="77777777" w:rsidR="00831D7F" w:rsidRPr="00831D7F" w:rsidRDefault="00831D7F" w:rsidP="00BA7380">
            <w:pPr>
              <w:spacing w:line="240" w:lineRule="auto"/>
              <w:jc w:val="center"/>
            </w:pPr>
            <w:r w:rsidRPr="00831D7F">
              <w:t>3.3</w:t>
            </w:r>
          </w:p>
        </w:tc>
      </w:tr>
      <w:tr w:rsidR="00831D7F" w:rsidRPr="00831D7F" w14:paraId="648E7697" w14:textId="77777777" w:rsidTr="00AF33BB">
        <w:trPr>
          <w:trHeight w:val="288"/>
          <w:jc w:val="center"/>
        </w:trPr>
        <w:tc>
          <w:tcPr>
            <w:tcW w:w="960" w:type="dxa"/>
            <w:noWrap/>
            <w:hideMark/>
          </w:tcPr>
          <w:p w14:paraId="71685DEB" w14:textId="77777777" w:rsidR="00831D7F" w:rsidRPr="00831D7F" w:rsidRDefault="00831D7F" w:rsidP="00BA7380">
            <w:pPr>
              <w:spacing w:line="240" w:lineRule="auto"/>
              <w:jc w:val="center"/>
            </w:pPr>
            <w:r w:rsidRPr="00831D7F">
              <w:t>18</w:t>
            </w:r>
          </w:p>
        </w:tc>
        <w:tc>
          <w:tcPr>
            <w:tcW w:w="1340" w:type="dxa"/>
            <w:noWrap/>
            <w:hideMark/>
          </w:tcPr>
          <w:p w14:paraId="4BE7F2F0" w14:textId="77777777" w:rsidR="00831D7F" w:rsidRPr="00831D7F" w:rsidRDefault="00831D7F" w:rsidP="00BA7380">
            <w:pPr>
              <w:spacing w:line="240" w:lineRule="auto"/>
              <w:jc w:val="center"/>
            </w:pPr>
            <w:r w:rsidRPr="00831D7F">
              <w:t>4.4</w:t>
            </w:r>
          </w:p>
        </w:tc>
        <w:tc>
          <w:tcPr>
            <w:tcW w:w="1310" w:type="dxa"/>
            <w:noWrap/>
            <w:hideMark/>
          </w:tcPr>
          <w:p w14:paraId="1C5FB0B0" w14:textId="77777777" w:rsidR="00831D7F" w:rsidRPr="00831D7F" w:rsidRDefault="00831D7F" w:rsidP="00BA7380">
            <w:pPr>
              <w:spacing w:line="240" w:lineRule="auto"/>
              <w:jc w:val="center"/>
            </w:pPr>
            <w:r w:rsidRPr="00831D7F">
              <w:t>3.5</w:t>
            </w:r>
          </w:p>
        </w:tc>
        <w:tc>
          <w:tcPr>
            <w:tcW w:w="1310" w:type="dxa"/>
            <w:noWrap/>
            <w:hideMark/>
          </w:tcPr>
          <w:p w14:paraId="1E0A1F10" w14:textId="77777777" w:rsidR="00831D7F" w:rsidRPr="00831D7F" w:rsidRDefault="00831D7F" w:rsidP="00BA7380">
            <w:pPr>
              <w:spacing w:line="240" w:lineRule="auto"/>
              <w:jc w:val="center"/>
            </w:pPr>
            <w:r w:rsidRPr="00831D7F">
              <w:t>4.1</w:t>
            </w:r>
          </w:p>
        </w:tc>
        <w:tc>
          <w:tcPr>
            <w:tcW w:w="1340" w:type="dxa"/>
            <w:noWrap/>
            <w:hideMark/>
          </w:tcPr>
          <w:p w14:paraId="05567B76" w14:textId="77777777" w:rsidR="00831D7F" w:rsidRPr="00831D7F" w:rsidRDefault="00831D7F" w:rsidP="00BA7380">
            <w:pPr>
              <w:spacing w:line="240" w:lineRule="auto"/>
              <w:jc w:val="center"/>
            </w:pPr>
            <w:r w:rsidRPr="00831D7F">
              <w:t>3</w:t>
            </w:r>
          </w:p>
        </w:tc>
        <w:tc>
          <w:tcPr>
            <w:tcW w:w="1360" w:type="dxa"/>
            <w:noWrap/>
            <w:hideMark/>
          </w:tcPr>
          <w:p w14:paraId="61CB1EC1" w14:textId="77777777" w:rsidR="00831D7F" w:rsidRPr="00831D7F" w:rsidRDefault="00831D7F" w:rsidP="00BA7380">
            <w:pPr>
              <w:spacing w:line="240" w:lineRule="auto"/>
              <w:jc w:val="center"/>
            </w:pPr>
            <w:r w:rsidRPr="00831D7F">
              <w:t>3.25</w:t>
            </w:r>
          </w:p>
        </w:tc>
        <w:tc>
          <w:tcPr>
            <w:tcW w:w="1420" w:type="dxa"/>
            <w:noWrap/>
            <w:hideMark/>
          </w:tcPr>
          <w:p w14:paraId="4867B77E" w14:textId="77777777" w:rsidR="00831D7F" w:rsidRPr="00831D7F" w:rsidRDefault="00831D7F" w:rsidP="00BA7380">
            <w:pPr>
              <w:spacing w:line="240" w:lineRule="auto"/>
              <w:jc w:val="center"/>
            </w:pPr>
            <w:r w:rsidRPr="00831D7F">
              <w:t>4.5</w:t>
            </w:r>
          </w:p>
        </w:tc>
        <w:tc>
          <w:tcPr>
            <w:tcW w:w="1420" w:type="dxa"/>
            <w:noWrap/>
            <w:hideMark/>
          </w:tcPr>
          <w:p w14:paraId="4DF72D65" w14:textId="77777777" w:rsidR="00831D7F" w:rsidRPr="00831D7F" w:rsidRDefault="00831D7F" w:rsidP="00BA7380">
            <w:pPr>
              <w:spacing w:line="240" w:lineRule="auto"/>
              <w:jc w:val="center"/>
            </w:pPr>
            <w:r w:rsidRPr="00831D7F">
              <w:t>4</w:t>
            </w:r>
          </w:p>
        </w:tc>
        <w:tc>
          <w:tcPr>
            <w:tcW w:w="1415" w:type="dxa"/>
            <w:noWrap/>
            <w:hideMark/>
          </w:tcPr>
          <w:p w14:paraId="1E95669E" w14:textId="77777777" w:rsidR="00831D7F" w:rsidRPr="00831D7F" w:rsidRDefault="00831D7F" w:rsidP="00BA7380">
            <w:pPr>
              <w:spacing w:line="240" w:lineRule="auto"/>
              <w:jc w:val="center"/>
            </w:pPr>
            <w:r w:rsidRPr="00831D7F">
              <w:t>4.2</w:t>
            </w:r>
          </w:p>
        </w:tc>
      </w:tr>
      <w:tr w:rsidR="00831D7F" w:rsidRPr="00831D7F" w14:paraId="12E35BEB" w14:textId="77777777" w:rsidTr="00AF33BB">
        <w:trPr>
          <w:trHeight w:val="288"/>
          <w:jc w:val="center"/>
        </w:trPr>
        <w:tc>
          <w:tcPr>
            <w:tcW w:w="960" w:type="dxa"/>
            <w:noWrap/>
            <w:hideMark/>
          </w:tcPr>
          <w:p w14:paraId="48686BBA" w14:textId="77777777" w:rsidR="00831D7F" w:rsidRPr="00831D7F" w:rsidRDefault="00831D7F" w:rsidP="00BA7380">
            <w:pPr>
              <w:spacing w:line="240" w:lineRule="auto"/>
              <w:jc w:val="center"/>
            </w:pPr>
            <w:r w:rsidRPr="00831D7F">
              <w:t>19</w:t>
            </w:r>
          </w:p>
        </w:tc>
        <w:tc>
          <w:tcPr>
            <w:tcW w:w="1340" w:type="dxa"/>
            <w:noWrap/>
            <w:hideMark/>
          </w:tcPr>
          <w:p w14:paraId="68F9957C" w14:textId="77777777" w:rsidR="00831D7F" w:rsidRPr="00831D7F" w:rsidRDefault="00831D7F" w:rsidP="00BA7380">
            <w:pPr>
              <w:spacing w:line="240" w:lineRule="auto"/>
              <w:jc w:val="center"/>
            </w:pPr>
            <w:r w:rsidRPr="00831D7F">
              <w:t>5</w:t>
            </w:r>
          </w:p>
        </w:tc>
        <w:tc>
          <w:tcPr>
            <w:tcW w:w="1310" w:type="dxa"/>
            <w:noWrap/>
            <w:hideMark/>
          </w:tcPr>
          <w:p w14:paraId="49E8AADC" w14:textId="77777777" w:rsidR="00831D7F" w:rsidRPr="00831D7F" w:rsidRDefault="00831D7F" w:rsidP="00BA7380">
            <w:pPr>
              <w:spacing w:line="240" w:lineRule="auto"/>
              <w:jc w:val="center"/>
            </w:pPr>
            <w:r w:rsidRPr="00831D7F">
              <w:t>4.3</w:t>
            </w:r>
          </w:p>
        </w:tc>
        <w:tc>
          <w:tcPr>
            <w:tcW w:w="1310" w:type="dxa"/>
            <w:noWrap/>
            <w:hideMark/>
          </w:tcPr>
          <w:p w14:paraId="7DEF9A93" w14:textId="77777777" w:rsidR="00831D7F" w:rsidRPr="00831D7F" w:rsidRDefault="00831D7F" w:rsidP="00BA7380">
            <w:pPr>
              <w:spacing w:line="240" w:lineRule="auto"/>
              <w:jc w:val="center"/>
            </w:pPr>
            <w:r w:rsidRPr="00831D7F">
              <w:t>4.5</w:t>
            </w:r>
          </w:p>
        </w:tc>
        <w:tc>
          <w:tcPr>
            <w:tcW w:w="1340" w:type="dxa"/>
            <w:noWrap/>
            <w:hideMark/>
          </w:tcPr>
          <w:p w14:paraId="6C0A05BE" w14:textId="77777777" w:rsidR="00831D7F" w:rsidRPr="00831D7F" w:rsidRDefault="00831D7F" w:rsidP="00BA7380">
            <w:pPr>
              <w:spacing w:line="240" w:lineRule="auto"/>
              <w:jc w:val="center"/>
            </w:pPr>
            <w:r w:rsidRPr="00831D7F">
              <w:t>3</w:t>
            </w:r>
          </w:p>
        </w:tc>
        <w:tc>
          <w:tcPr>
            <w:tcW w:w="1360" w:type="dxa"/>
            <w:noWrap/>
            <w:hideMark/>
          </w:tcPr>
          <w:p w14:paraId="578B2C1A" w14:textId="77777777" w:rsidR="00831D7F" w:rsidRPr="00831D7F" w:rsidRDefault="00831D7F" w:rsidP="00BA7380">
            <w:pPr>
              <w:spacing w:line="240" w:lineRule="auto"/>
              <w:jc w:val="center"/>
            </w:pPr>
            <w:r w:rsidRPr="00831D7F">
              <w:t>3.25</w:t>
            </w:r>
          </w:p>
        </w:tc>
        <w:tc>
          <w:tcPr>
            <w:tcW w:w="1420" w:type="dxa"/>
            <w:noWrap/>
            <w:hideMark/>
          </w:tcPr>
          <w:p w14:paraId="1127D8CF" w14:textId="77777777" w:rsidR="00831D7F" w:rsidRPr="00831D7F" w:rsidRDefault="00831D7F" w:rsidP="00BA7380">
            <w:pPr>
              <w:spacing w:line="240" w:lineRule="auto"/>
              <w:jc w:val="center"/>
            </w:pPr>
            <w:r w:rsidRPr="00831D7F">
              <w:t>5</w:t>
            </w:r>
          </w:p>
        </w:tc>
        <w:tc>
          <w:tcPr>
            <w:tcW w:w="1420" w:type="dxa"/>
            <w:noWrap/>
            <w:hideMark/>
          </w:tcPr>
          <w:p w14:paraId="40B53E3D" w14:textId="77777777" w:rsidR="00831D7F" w:rsidRPr="00831D7F" w:rsidRDefault="00831D7F" w:rsidP="00BA7380">
            <w:pPr>
              <w:spacing w:line="240" w:lineRule="auto"/>
              <w:jc w:val="center"/>
            </w:pPr>
            <w:r w:rsidRPr="00831D7F">
              <w:t>5.3</w:t>
            </w:r>
          </w:p>
        </w:tc>
        <w:tc>
          <w:tcPr>
            <w:tcW w:w="1415" w:type="dxa"/>
            <w:noWrap/>
            <w:hideMark/>
          </w:tcPr>
          <w:p w14:paraId="0421771E" w14:textId="77777777" w:rsidR="00831D7F" w:rsidRPr="00831D7F" w:rsidRDefault="00831D7F" w:rsidP="00BA7380">
            <w:pPr>
              <w:spacing w:line="240" w:lineRule="auto"/>
              <w:jc w:val="center"/>
            </w:pPr>
            <w:r w:rsidRPr="00831D7F">
              <w:t>5.3</w:t>
            </w:r>
          </w:p>
        </w:tc>
      </w:tr>
      <w:tr w:rsidR="00831D7F" w:rsidRPr="00831D7F" w14:paraId="600144C7" w14:textId="77777777" w:rsidTr="00AF33BB">
        <w:trPr>
          <w:trHeight w:val="288"/>
          <w:jc w:val="center"/>
        </w:trPr>
        <w:tc>
          <w:tcPr>
            <w:tcW w:w="960" w:type="dxa"/>
            <w:noWrap/>
            <w:hideMark/>
          </w:tcPr>
          <w:p w14:paraId="374A0BAE" w14:textId="77777777" w:rsidR="00831D7F" w:rsidRPr="00831D7F" w:rsidRDefault="00831D7F" w:rsidP="00BA7380">
            <w:pPr>
              <w:spacing w:line="240" w:lineRule="auto"/>
              <w:jc w:val="center"/>
            </w:pPr>
            <w:r w:rsidRPr="00831D7F">
              <w:t>20</w:t>
            </w:r>
          </w:p>
        </w:tc>
        <w:tc>
          <w:tcPr>
            <w:tcW w:w="1340" w:type="dxa"/>
            <w:noWrap/>
            <w:hideMark/>
          </w:tcPr>
          <w:p w14:paraId="2EAEECBA" w14:textId="77777777" w:rsidR="00831D7F" w:rsidRPr="00831D7F" w:rsidRDefault="00831D7F" w:rsidP="00BA7380">
            <w:pPr>
              <w:spacing w:line="240" w:lineRule="auto"/>
              <w:jc w:val="center"/>
            </w:pPr>
            <w:r w:rsidRPr="00831D7F">
              <w:t>5.2</w:t>
            </w:r>
          </w:p>
        </w:tc>
        <w:tc>
          <w:tcPr>
            <w:tcW w:w="1310" w:type="dxa"/>
            <w:noWrap/>
            <w:hideMark/>
          </w:tcPr>
          <w:p w14:paraId="07BC5F3C" w14:textId="77777777" w:rsidR="00831D7F" w:rsidRPr="00831D7F" w:rsidRDefault="00831D7F" w:rsidP="00BA7380">
            <w:pPr>
              <w:spacing w:line="240" w:lineRule="auto"/>
              <w:jc w:val="center"/>
            </w:pPr>
            <w:r w:rsidRPr="00831D7F">
              <w:t>5.1</w:t>
            </w:r>
          </w:p>
        </w:tc>
        <w:tc>
          <w:tcPr>
            <w:tcW w:w="1310" w:type="dxa"/>
            <w:noWrap/>
            <w:hideMark/>
          </w:tcPr>
          <w:p w14:paraId="609E3518" w14:textId="77777777" w:rsidR="00831D7F" w:rsidRPr="00831D7F" w:rsidRDefault="00831D7F" w:rsidP="00BA7380">
            <w:pPr>
              <w:spacing w:line="240" w:lineRule="auto"/>
              <w:jc w:val="center"/>
            </w:pPr>
            <w:r w:rsidRPr="00831D7F">
              <w:t>5.8</w:t>
            </w:r>
          </w:p>
        </w:tc>
        <w:tc>
          <w:tcPr>
            <w:tcW w:w="1340" w:type="dxa"/>
            <w:noWrap/>
            <w:hideMark/>
          </w:tcPr>
          <w:p w14:paraId="3067D1AE" w14:textId="77777777" w:rsidR="00831D7F" w:rsidRPr="00831D7F" w:rsidRDefault="00831D7F" w:rsidP="00BA7380">
            <w:pPr>
              <w:spacing w:line="240" w:lineRule="auto"/>
              <w:jc w:val="center"/>
            </w:pPr>
            <w:r w:rsidRPr="00831D7F">
              <w:t>3</w:t>
            </w:r>
          </w:p>
        </w:tc>
        <w:tc>
          <w:tcPr>
            <w:tcW w:w="1360" w:type="dxa"/>
            <w:noWrap/>
            <w:hideMark/>
          </w:tcPr>
          <w:p w14:paraId="19E3D2A2" w14:textId="77777777" w:rsidR="00831D7F" w:rsidRPr="00831D7F" w:rsidRDefault="00831D7F" w:rsidP="00BA7380">
            <w:pPr>
              <w:spacing w:line="240" w:lineRule="auto"/>
              <w:jc w:val="center"/>
            </w:pPr>
            <w:r w:rsidRPr="00831D7F">
              <w:t>3.25</w:t>
            </w:r>
          </w:p>
        </w:tc>
        <w:tc>
          <w:tcPr>
            <w:tcW w:w="1420" w:type="dxa"/>
            <w:noWrap/>
            <w:hideMark/>
          </w:tcPr>
          <w:p w14:paraId="54146332" w14:textId="77777777" w:rsidR="00831D7F" w:rsidRPr="00831D7F" w:rsidRDefault="00831D7F" w:rsidP="00BA7380">
            <w:pPr>
              <w:spacing w:line="240" w:lineRule="auto"/>
              <w:jc w:val="center"/>
            </w:pPr>
            <w:r w:rsidRPr="00831D7F">
              <w:t>5</w:t>
            </w:r>
          </w:p>
        </w:tc>
        <w:tc>
          <w:tcPr>
            <w:tcW w:w="1420" w:type="dxa"/>
            <w:noWrap/>
            <w:hideMark/>
          </w:tcPr>
          <w:p w14:paraId="2D2E66E8" w14:textId="77777777" w:rsidR="00831D7F" w:rsidRPr="00831D7F" w:rsidRDefault="00831D7F" w:rsidP="00BA7380">
            <w:pPr>
              <w:spacing w:line="240" w:lineRule="auto"/>
              <w:jc w:val="center"/>
            </w:pPr>
            <w:r w:rsidRPr="00831D7F">
              <w:t>4.9</w:t>
            </w:r>
          </w:p>
        </w:tc>
        <w:tc>
          <w:tcPr>
            <w:tcW w:w="1415" w:type="dxa"/>
            <w:noWrap/>
            <w:hideMark/>
          </w:tcPr>
          <w:p w14:paraId="682EA1C7" w14:textId="77777777" w:rsidR="00831D7F" w:rsidRPr="00831D7F" w:rsidRDefault="00831D7F" w:rsidP="00BA7380">
            <w:pPr>
              <w:spacing w:line="240" w:lineRule="auto"/>
              <w:jc w:val="center"/>
            </w:pPr>
            <w:r w:rsidRPr="00831D7F">
              <w:t>5.6</w:t>
            </w:r>
          </w:p>
        </w:tc>
      </w:tr>
      <w:tr w:rsidR="00831D7F" w:rsidRPr="00831D7F" w14:paraId="18FC926B" w14:textId="77777777" w:rsidTr="00AF33BB">
        <w:trPr>
          <w:trHeight w:val="288"/>
          <w:jc w:val="center"/>
        </w:trPr>
        <w:tc>
          <w:tcPr>
            <w:tcW w:w="960" w:type="dxa"/>
            <w:noWrap/>
            <w:hideMark/>
          </w:tcPr>
          <w:p w14:paraId="2BB87F4E" w14:textId="77777777" w:rsidR="00831D7F" w:rsidRPr="00831D7F" w:rsidRDefault="00831D7F" w:rsidP="00BA7380">
            <w:pPr>
              <w:spacing w:line="240" w:lineRule="auto"/>
              <w:jc w:val="center"/>
            </w:pPr>
            <w:r w:rsidRPr="00831D7F">
              <w:t>21</w:t>
            </w:r>
          </w:p>
        </w:tc>
        <w:tc>
          <w:tcPr>
            <w:tcW w:w="1340" w:type="dxa"/>
            <w:noWrap/>
            <w:hideMark/>
          </w:tcPr>
          <w:p w14:paraId="5FF89439" w14:textId="77777777" w:rsidR="00831D7F" w:rsidRPr="00831D7F" w:rsidRDefault="00831D7F" w:rsidP="00BA7380">
            <w:pPr>
              <w:spacing w:line="240" w:lineRule="auto"/>
              <w:jc w:val="center"/>
            </w:pPr>
            <w:r w:rsidRPr="00831D7F">
              <w:t>4.7</w:t>
            </w:r>
          </w:p>
        </w:tc>
        <w:tc>
          <w:tcPr>
            <w:tcW w:w="1310" w:type="dxa"/>
            <w:noWrap/>
            <w:hideMark/>
          </w:tcPr>
          <w:p w14:paraId="5E5B3415" w14:textId="77777777" w:rsidR="00831D7F" w:rsidRPr="00831D7F" w:rsidRDefault="00831D7F" w:rsidP="00BA7380">
            <w:pPr>
              <w:spacing w:line="240" w:lineRule="auto"/>
              <w:jc w:val="center"/>
            </w:pPr>
            <w:r w:rsidRPr="00831D7F">
              <w:t>4.5</w:t>
            </w:r>
          </w:p>
        </w:tc>
        <w:tc>
          <w:tcPr>
            <w:tcW w:w="1310" w:type="dxa"/>
            <w:noWrap/>
            <w:hideMark/>
          </w:tcPr>
          <w:p w14:paraId="6BEA009D" w14:textId="77777777" w:rsidR="00831D7F" w:rsidRPr="00831D7F" w:rsidRDefault="00831D7F" w:rsidP="00BA7380">
            <w:pPr>
              <w:spacing w:line="240" w:lineRule="auto"/>
              <w:jc w:val="center"/>
            </w:pPr>
            <w:r w:rsidRPr="00831D7F">
              <w:t>5.4</w:t>
            </w:r>
          </w:p>
        </w:tc>
        <w:tc>
          <w:tcPr>
            <w:tcW w:w="1340" w:type="dxa"/>
            <w:noWrap/>
            <w:hideMark/>
          </w:tcPr>
          <w:p w14:paraId="0B2671F6" w14:textId="77777777" w:rsidR="00831D7F" w:rsidRPr="00831D7F" w:rsidRDefault="00831D7F" w:rsidP="00BA7380">
            <w:pPr>
              <w:spacing w:line="240" w:lineRule="auto"/>
              <w:jc w:val="center"/>
            </w:pPr>
            <w:r w:rsidRPr="00831D7F">
              <w:t>3</w:t>
            </w:r>
          </w:p>
        </w:tc>
        <w:tc>
          <w:tcPr>
            <w:tcW w:w="1360" w:type="dxa"/>
            <w:noWrap/>
            <w:hideMark/>
          </w:tcPr>
          <w:p w14:paraId="5CEEA5A2" w14:textId="77777777" w:rsidR="00831D7F" w:rsidRPr="00831D7F" w:rsidRDefault="00831D7F" w:rsidP="00BA7380">
            <w:pPr>
              <w:spacing w:line="240" w:lineRule="auto"/>
              <w:jc w:val="center"/>
            </w:pPr>
            <w:r w:rsidRPr="00831D7F">
              <w:t>3.25</w:t>
            </w:r>
          </w:p>
        </w:tc>
        <w:tc>
          <w:tcPr>
            <w:tcW w:w="1420" w:type="dxa"/>
            <w:noWrap/>
            <w:hideMark/>
          </w:tcPr>
          <w:p w14:paraId="4A552BB1" w14:textId="77777777" w:rsidR="00831D7F" w:rsidRPr="00831D7F" w:rsidRDefault="00831D7F" w:rsidP="00BA7380">
            <w:pPr>
              <w:spacing w:line="240" w:lineRule="auto"/>
              <w:jc w:val="center"/>
            </w:pPr>
            <w:r w:rsidRPr="00831D7F">
              <w:t>4.6</w:t>
            </w:r>
          </w:p>
        </w:tc>
        <w:tc>
          <w:tcPr>
            <w:tcW w:w="1420" w:type="dxa"/>
            <w:noWrap/>
            <w:hideMark/>
          </w:tcPr>
          <w:p w14:paraId="4079F819" w14:textId="77777777" w:rsidR="00831D7F" w:rsidRPr="00831D7F" w:rsidRDefault="00831D7F" w:rsidP="00BA7380">
            <w:pPr>
              <w:spacing w:line="240" w:lineRule="auto"/>
              <w:jc w:val="center"/>
            </w:pPr>
            <w:r w:rsidRPr="00831D7F">
              <w:t>4.2</w:t>
            </w:r>
          </w:p>
        </w:tc>
        <w:tc>
          <w:tcPr>
            <w:tcW w:w="1415" w:type="dxa"/>
            <w:noWrap/>
            <w:hideMark/>
          </w:tcPr>
          <w:p w14:paraId="222FA5E9" w14:textId="77777777" w:rsidR="00831D7F" w:rsidRPr="00831D7F" w:rsidRDefault="00831D7F" w:rsidP="00BA7380">
            <w:pPr>
              <w:spacing w:line="240" w:lineRule="auto"/>
              <w:jc w:val="center"/>
            </w:pPr>
            <w:r w:rsidRPr="00831D7F">
              <w:t>4.5</w:t>
            </w:r>
          </w:p>
        </w:tc>
      </w:tr>
      <w:tr w:rsidR="00831D7F" w:rsidRPr="00831D7F" w14:paraId="384FB7F9" w14:textId="77777777" w:rsidTr="00AF33BB">
        <w:trPr>
          <w:trHeight w:val="288"/>
          <w:jc w:val="center"/>
        </w:trPr>
        <w:tc>
          <w:tcPr>
            <w:tcW w:w="960" w:type="dxa"/>
            <w:noWrap/>
            <w:hideMark/>
          </w:tcPr>
          <w:p w14:paraId="2C89E43F" w14:textId="77777777" w:rsidR="00831D7F" w:rsidRPr="00831D7F" w:rsidRDefault="00831D7F" w:rsidP="00BA7380">
            <w:pPr>
              <w:spacing w:line="240" w:lineRule="auto"/>
              <w:jc w:val="center"/>
            </w:pPr>
            <w:r w:rsidRPr="00831D7F">
              <w:t>22</w:t>
            </w:r>
          </w:p>
        </w:tc>
        <w:tc>
          <w:tcPr>
            <w:tcW w:w="1340" w:type="dxa"/>
            <w:noWrap/>
            <w:hideMark/>
          </w:tcPr>
          <w:p w14:paraId="41060267" w14:textId="77777777" w:rsidR="00831D7F" w:rsidRPr="00831D7F" w:rsidRDefault="00831D7F" w:rsidP="00BA7380">
            <w:pPr>
              <w:spacing w:line="240" w:lineRule="auto"/>
              <w:jc w:val="center"/>
            </w:pPr>
            <w:r w:rsidRPr="00831D7F">
              <w:t>4.2</w:t>
            </w:r>
          </w:p>
        </w:tc>
        <w:tc>
          <w:tcPr>
            <w:tcW w:w="1310" w:type="dxa"/>
            <w:noWrap/>
            <w:hideMark/>
          </w:tcPr>
          <w:p w14:paraId="1E970821" w14:textId="77777777" w:rsidR="00831D7F" w:rsidRPr="00831D7F" w:rsidRDefault="00831D7F" w:rsidP="00BA7380">
            <w:pPr>
              <w:spacing w:line="240" w:lineRule="auto"/>
              <w:jc w:val="center"/>
            </w:pPr>
            <w:r w:rsidRPr="00831D7F">
              <w:t>3.6</w:t>
            </w:r>
          </w:p>
        </w:tc>
        <w:tc>
          <w:tcPr>
            <w:tcW w:w="1310" w:type="dxa"/>
            <w:noWrap/>
            <w:hideMark/>
          </w:tcPr>
          <w:p w14:paraId="231FA43F" w14:textId="77777777" w:rsidR="00831D7F" w:rsidRPr="00831D7F" w:rsidRDefault="00831D7F" w:rsidP="00BA7380">
            <w:pPr>
              <w:spacing w:line="240" w:lineRule="auto"/>
              <w:jc w:val="center"/>
            </w:pPr>
            <w:r w:rsidRPr="00831D7F">
              <w:t>3.7</w:t>
            </w:r>
          </w:p>
        </w:tc>
        <w:tc>
          <w:tcPr>
            <w:tcW w:w="1340" w:type="dxa"/>
            <w:noWrap/>
            <w:hideMark/>
          </w:tcPr>
          <w:p w14:paraId="0FECB897" w14:textId="77777777" w:rsidR="00831D7F" w:rsidRPr="00831D7F" w:rsidRDefault="00831D7F" w:rsidP="00BA7380">
            <w:pPr>
              <w:spacing w:line="240" w:lineRule="auto"/>
              <w:jc w:val="center"/>
            </w:pPr>
            <w:r w:rsidRPr="00831D7F">
              <w:t>3</w:t>
            </w:r>
          </w:p>
        </w:tc>
        <w:tc>
          <w:tcPr>
            <w:tcW w:w="1360" w:type="dxa"/>
            <w:noWrap/>
            <w:hideMark/>
          </w:tcPr>
          <w:p w14:paraId="07723913" w14:textId="77777777" w:rsidR="00831D7F" w:rsidRPr="00831D7F" w:rsidRDefault="00831D7F" w:rsidP="00BA7380">
            <w:pPr>
              <w:spacing w:line="240" w:lineRule="auto"/>
              <w:jc w:val="center"/>
            </w:pPr>
            <w:r w:rsidRPr="00831D7F">
              <w:t>3.25</w:t>
            </w:r>
          </w:p>
        </w:tc>
        <w:tc>
          <w:tcPr>
            <w:tcW w:w="1420" w:type="dxa"/>
            <w:noWrap/>
            <w:hideMark/>
          </w:tcPr>
          <w:p w14:paraId="44043491" w14:textId="77777777" w:rsidR="00831D7F" w:rsidRPr="00831D7F" w:rsidRDefault="00831D7F" w:rsidP="00BA7380">
            <w:pPr>
              <w:spacing w:line="240" w:lineRule="auto"/>
              <w:jc w:val="center"/>
            </w:pPr>
            <w:r w:rsidRPr="00831D7F">
              <w:t>3.4</w:t>
            </w:r>
          </w:p>
        </w:tc>
        <w:tc>
          <w:tcPr>
            <w:tcW w:w="1420" w:type="dxa"/>
            <w:noWrap/>
            <w:hideMark/>
          </w:tcPr>
          <w:p w14:paraId="70616E06" w14:textId="77777777" w:rsidR="00831D7F" w:rsidRPr="00831D7F" w:rsidRDefault="00831D7F" w:rsidP="00BA7380">
            <w:pPr>
              <w:spacing w:line="240" w:lineRule="auto"/>
              <w:jc w:val="center"/>
            </w:pPr>
            <w:r w:rsidRPr="00831D7F">
              <w:t>3.6</w:t>
            </w:r>
          </w:p>
        </w:tc>
        <w:tc>
          <w:tcPr>
            <w:tcW w:w="1415" w:type="dxa"/>
            <w:noWrap/>
            <w:hideMark/>
          </w:tcPr>
          <w:p w14:paraId="64C6C3BB" w14:textId="77777777" w:rsidR="00831D7F" w:rsidRPr="00831D7F" w:rsidRDefault="00831D7F" w:rsidP="00BA7380">
            <w:pPr>
              <w:spacing w:line="240" w:lineRule="auto"/>
              <w:jc w:val="center"/>
            </w:pPr>
            <w:r w:rsidRPr="00831D7F">
              <w:t>3.4</w:t>
            </w:r>
          </w:p>
        </w:tc>
      </w:tr>
      <w:tr w:rsidR="00831D7F" w:rsidRPr="00831D7F" w14:paraId="2298C426" w14:textId="77777777" w:rsidTr="00AF33BB">
        <w:trPr>
          <w:trHeight w:val="288"/>
          <w:jc w:val="center"/>
        </w:trPr>
        <w:tc>
          <w:tcPr>
            <w:tcW w:w="960" w:type="dxa"/>
            <w:noWrap/>
            <w:hideMark/>
          </w:tcPr>
          <w:p w14:paraId="65519988" w14:textId="77777777" w:rsidR="00831D7F" w:rsidRPr="00831D7F" w:rsidRDefault="00831D7F" w:rsidP="00BA7380">
            <w:pPr>
              <w:spacing w:line="240" w:lineRule="auto"/>
              <w:jc w:val="center"/>
            </w:pPr>
            <w:r w:rsidRPr="00831D7F">
              <w:t>23</w:t>
            </w:r>
          </w:p>
        </w:tc>
        <w:tc>
          <w:tcPr>
            <w:tcW w:w="1340" w:type="dxa"/>
            <w:noWrap/>
            <w:hideMark/>
          </w:tcPr>
          <w:p w14:paraId="067BDA97" w14:textId="77777777" w:rsidR="00831D7F" w:rsidRPr="00831D7F" w:rsidRDefault="00831D7F" w:rsidP="00BA7380">
            <w:pPr>
              <w:spacing w:line="240" w:lineRule="auto"/>
              <w:jc w:val="center"/>
            </w:pPr>
            <w:r w:rsidRPr="00831D7F">
              <w:t>3.8</w:t>
            </w:r>
          </w:p>
        </w:tc>
        <w:tc>
          <w:tcPr>
            <w:tcW w:w="1310" w:type="dxa"/>
            <w:noWrap/>
            <w:hideMark/>
          </w:tcPr>
          <w:p w14:paraId="587D80B6" w14:textId="77777777" w:rsidR="00831D7F" w:rsidRPr="00831D7F" w:rsidRDefault="00831D7F" w:rsidP="00BA7380">
            <w:pPr>
              <w:spacing w:line="240" w:lineRule="auto"/>
              <w:jc w:val="center"/>
            </w:pPr>
            <w:r w:rsidRPr="00831D7F">
              <w:t>3.1</w:t>
            </w:r>
          </w:p>
        </w:tc>
        <w:tc>
          <w:tcPr>
            <w:tcW w:w="1310" w:type="dxa"/>
            <w:noWrap/>
            <w:hideMark/>
          </w:tcPr>
          <w:p w14:paraId="61BFA640" w14:textId="77777777" w:rsidR="00831D7F" w:rsidRPr="00831D7F" w:rsidRDefault="00831D7F" w:rsidP="00BA7380">
            <w:pPr>
              <w:spacing w:line="240" w:lineRule="auto"/>
              <w:jc w:val="center"/>
            </w:pPr>
            <w:r w:rsidRPr="00831D7F">
              <w:t>3.2</w:t>
            </w:r>
          </w:p>
        </w:tc>
        <w:tc>
          <w:tcPr>
            <w:tcW w:w="1340" w:type="dxa"/>
            <w:noWrap/>
            <w:hideMark/>
          </w:tcPr>
          <w:p w14:paraId="1059C0D1" w14:textId="77777777" w:rsidR="00831D7F" w:rsidRPr="00831D7F" w:rsidRDefault="00831D7F" w:rsidP="00BA7380">
            <w:pPr>
              <w:spacing w:line="240" w:lineRule="auto"/>
              <w:jc w:val="center"/>
            </w:pPr>
            <w:r w:rsidRPr="00831D7F">
              <w:t>3</w:t>
            </w:r>
          </w:p>
        </w:tc>
        <w:tc>
          <w:tcPr>
            <w:tcW w:w="1360" w:type="dxa"/>
            <w:noWrap/>
            <w:hideMark/>
          </w:tcPr>
          <w:p w14:paraId="5E46C40D" w14:textId="77777777" w:rsidR="00831D7F" w:rsidRPr="00831D7F" w:rsidRDefault="00831D7F" w:rsidP="00BA7380">
            <w:pPr>
              <w:spacing w:line="240" w:lineRule="auto"/>
              <w:jc w:val="center"/>
            </w:pPr>
            <w:r w:rsidRPr="00831D7F">
              <w:t>3.25</w:t>
            </w:r>
          </w:p>
        </w:tc>
        <w:tc>
          <w:tcPr>
            <w:tcW w:w="1420" w:type="dxa"/>
            <w:noWrap/>
            <w:hideMark/>
          </w:tcPr>
          <w:p w14:paraId="5BDC146B" w14:textId="77777777" w:rsidR="00831D7F" w:rsidRPr="00831D7F" w:rsidRDefault="00831D7F" w:rsidP="00BA7380">
            <w:pPr>
              <w:spacing w:line="240" w:lineRule="auto"/>
              <w:jc w:val="center"/>
            </w:pPr>
            <w:r w:rsidRPr="00831D7F">
              <w:t>3.1</w:t>
            </w:r>
          </w:p>
        </w:tc>
        <w:tc>
          <w:tcPr>
            <w:tcW w:w="1420" w:type="dxa"/>
            <w:noWrap/>
            <w:hideMark/>
          </w:tcPr>
          <w:p w14:paraId="250823B7" w14:textId="77777777" w:rsidR="00831D7F" w:rsidRPr="00831D7F" w:rsidRDefault="00831D7F" w:rsidP="00BA7380">
            <w:pPr>
              <w:spacing w:line="240" w:lineRule="auto"/>
              <w:jc w:val="center"/>
            </w:pPr>
            <w:r w:rsidRPr="00831D7F">
              <w:t>3.1</w:t>
            </w:r>
          </w:p>
        </w:tc>
        <w:tc>
          <w:tcPr>
            <w:tcW w:w="1415" w:type="dxa"/>
            <w:noWrap/>
            <w:hideMark/>
          </w:tcPr>
          <w:p w14:paraId="444EEAF6" w14:textId="77777777" w:rsidR="00831D7F" w:rsidRPr="00831D7F" w:rsidRDefault="00831D7F" w:rsidP="00BA7380">
            <w:pPr>
              <w:spacing w:line="240" w:lineRule="auto"/>
              <w:jc w:val="center"/>
            </w:pPr>
            <w:r w:rsidRPr="00831D7F">
              <w:t>3.3</w:t>
            </w:r>
          </w:p>
        </w:tc>
      </w:tr>
      <w:tr w:rsidR="00831D7F" w:rsidRPr="00831D7F" w14:paraId="3AD55379" w14:textId="77777777" w:rsidTr="00AF33BB">
        <w:trPr>
          <w:trHeight w:val="288"/>
          <w:jc w:val="center"/>
        </w:trPr>
        <w:tc>
          <w:tcPr>
            <w:tcW w:w="960" w:type="dxa"/>
            <w:noWrap/>
            <w:hideMark/>
          </w:tcPr>
          <w:p w14:paraId="59A9A50B" w14:textId="77777777" w:rsidR="00831D7F" w:rsidRPr="00831D7F" w:rsidRDefault="00831D7F" w:rsidP="00BA7380">
            <w:pPr>
              <w:spacing w:line="240" w:lineRule="auto"/>
              <w:jc w:val="center"/>
            </w:pPr>
            <w:r w:rsidRPr="00831D7F">
              <w:t>24</w:t>
            </w:r>
          </w:p>
        </w:tc>
        <w:tc>
          <w:tcPr>
            <w:tcW w:w="1340" w:type="dxa"/>
            <w:noWrap/>
            <w:hideMark/>
          </w:tcPr>
          <w:p w14:paraId="5C2D7C86" w14:textId="77777777" w:rsidR="00831D7F" w:rsidRPr="00831D7F" w:rsidRDefault="00831D7F" w:rsidP="00BA7380">
            <w:pPr>
              <w:spacing w:line="240" w:lineRule="auto"/>
              <w:jc w:val="center"/>
            </w:pPr>
            <w:r w:rsidRPr="00831D7F">
              <w:t>3.2</w:t>
            </w:r>
          </w:p>
        </w:tc>
        <w:tc>
          <w:tcPr>
            <w:tcW w:w="1310" w:type="dxa"/>
            <w:noWrap/>
            <w:hideMark/>
          </w:tcPr>
          <w:p w14:paraId="580EFF3D" w14:textId="77777777" w:rsidR="00831D7F" w:rsidRPr="00831D7F" w:rsidRDefault="00831D7F" w:rsidP="00BA7380">
            <w:pPr>
              <w:spacing w:line="240" w:lineRule="auto"/>
              <w:jc w:val="center"/>
            </w:pPr>
            <w:r w:rsidRPr="00831D7F">
              <w:t>2.9</w:t>
            </w:r>
          </w:p>
        </w:tc>
        <w:tc>
          <w:tcPr>
            <w:tcW w:w="1310" w:type="dxa"/>
            <w:noWrap/>
            <w:hideMark/>
          </w:tcPr>
          <w:p w14:paraId="5262A9D7" w14:textId="77777777" w:rsidR="00831D7F" w:rsidRPr="00831D7F" w:rsidRDefault="00831D7F" w:rsidP="00BA7380">
            <w:pPr>
              <w:spacing w:line="240" w:lineRule="auto"/>
              <w:jc w:val="center"/>
            </w:pPr>
            <w:r w:rsidRPr="00831D7F">
              <w:t>3</w:t>
            </w:r>
          </w:p>
        </w:tc>
        <w:tc>
          <w:tcPr>
            <w:tcW w:w="1340" w:type="dxa"/>
            <w:noWrap/>
            <w:hideMark/>
          </w:tcPr>
          <w:p w14:paraId="2E1A7F6A" w14:textId="77777777" w:rsidR="00831D7F" w:rsidRPr="00831D7F" w:rsidRDefault="00831D7F" w:rsidP="00BA7380">
            <w:pPr>
              <w:spacing w:line="240" w:lineRule="auto"/>
              <w:jc w:val="center"/>
            </w:pPr>
            <w:r w:rsidRPr="00831D7F">
              <w:t>3</w:t>
            </w:r>
          </w:p>
        </w:tc>
        <w:tc>
          <w:tcPr>
            <w:tcW w:w="1360" w:type="dxa"/>
            <w:noWrap/>
            <w:hideMark/>
          </w:tcPr>
          <w:p w14:paraId="4996C4F9" w14:textId="77777777" w:rsidR="00831D7F" w:rsidRPr="00831D7F" w:rsidRDefault="00831D7F" w:rsidP="00BA7380">
            <w:pPr>
              <w:spacing w:line="240" w:lineRule="auto"/>
              <w:jc w:val="center"/>
            </w:pPr>
            <w:r w:rsidRPr="00831D7F">
              <w:t>3.25</w:t>
            </w:r>
          </w:p>
        </w:tc>
        <w:tc>
          <w:tcPr>
            <w:tcW w:w="1420" w:type="dxa"/>
            <w:noWrap/>
            <w:hideMark/>
          </w:tcPr>
          <w:p w14:paraId="380F5887" w14:textId="77777777" w:rsidR="00831D7F" w:rsidRPr="00831D7F" w:rsidRDefault="00831D7F" w:rsidP="00BA7380">
            <w:pPr>
              <w:spacing w:line="240" w:lineRule="auto"/>
              <w:jc w:val="center"/>
            </w:pPr>
            <w:r w:rsidRPr="00831D7F">
              <w:t>3</w:t>
            </w:r>
          </w:p>
        </w:tc>
        <w:tc>
          <w:tcPr>
            <w:tcW w:w="1420" w:type="dxa"/>
            <w:noWrap/>
            <w:hideMark/>
          </w:tcPr>
          <w:p w14:paraId="3FC4053D" w14:textId="77777777" w:rsidR="00831D7F" w:rsidRPr="00831D7F" w:rsidRDefault="00831D7F" w:rsidP="00BA7380">
            <w:pPr>
              <w:spacing w:line="240" w:lineRule="auto"/>
              <w:jc w:val="center"/>
            </w:pPr>
            <w:r w:rsidRPr="00831D7F">
              <w:t>2.9</w:t>
            </w:r>
          </w:p>
        </w:tc>
        <w:tc>
          <w:tcPr>
            <w:tcW w:w="1415" w:type="dxa"/>
            <w:noWrap/>
            <w:hideMark/>
          </w:tcPr>
          <w:p w14:paraId="5E09D8F7" w14:textId="77777777" w:rsidR="00831D7F" w:rsidRPr="00831D7F" w:rsidRDefault="00831D7F" w:rsidP="00BA7380">
            <w:pPr>
              <w:spacing w:line="240" w:lineRule="auto"/>
              <w:jc w:val="center"/>
            </w:pPr>
            <w:r w:rsidRPr="00831D7F">
              <w:t>2.7</w:t>
            </w:r>
          </w:p>
        </w:tc>
      </w:tr>
    </w:tbl>
    <w:p w14:paraId="6AD2DEB1" w14:textId="33BC6F5E" w:rsidR="00831D7F" w:rsidRDefault="00831D7F" w:rsidP="00F03645">
      <w:pPr>
        <w:spacing w:line="480" w:lineRule="auto"/>
        <w:rPr>
          <w:lang w:val="en-US"/>
        </w:rPr>
      </w:pPr>
    </w:p>
    <w:p w14:paraId="26C437B7" w14:textId="69234EF6" w:rsidR="00DC31CB" w:rsidRPr="00A0481F" w:rsidRDefault="002F4348" w:rsidP="00F03645">
      <w:pPr>
        <w:spacing w:line="480" w:lineRule="auto"/>
        <w:jc w:val="center"/>
        <w:rPr>
          <w:b/>
          <w:lang w:val="en-US"/>
        </w:rPr>
      </w:pPr>
      <w:r>
        <w:rPr>
          <w:b/>
          <w:lang w:val="en-US"/>
        </w:rPr>
        <w:t>Table 3.6</w:t>
      </w:r>
      <w:r w:rsidR="00DC31CB" w:rsidRPr="00A0481F">
        <w:rPr>
          <w:b/>
          <w:lang w:val="en-US"/>
        </w:rPr>
        <w:t xml:space="preserve">  - Monthly Average Hydropower Data  (Measured </w:t>
      </w:r>
      <w:r w:rsidR="00A346D7" w:rsidRPr="00A0481F">
        <w:rPr>
          <w:b/>
          <w:lang w:val="en-US"/>
        </w:rPr>
        <w:t>directly</w:t>
      </w:r>
      <w:r w:rsidR="00DC31CB" w:rsidRPr="00A0481F">
        <w:rPr>
          <w:b/>
          <w:lang w:val="en-US"/>
        </w:rPr>
        <w:t xml:space="preserve"> and</w:t>
      </w:r>
      <w:r w:rsidR="00A346D7" w:rsidRPr="00A0481F">
        <w:rPr>
          <w:b/>
          <w:lang w:val="en-US"/>
        </w:rPr>
        <w:t>/or</w:t>
      </w:r>
      <w:r w:rsidR="00DC31CB" w:rsidRPr="00A0481F">
        <w:rPr>
          <w:b/>
          <w:lang w:val="en-US"/>
        </w:rPr>
        <w:t xml:space="preserve"> Estimated using precipitation data).</w:t>
      </w:r>
    </w:p>
    <w:tbl>
      <w:tblPr>
        <w:tblW w:w="0" w:type="auto"/>
        <w:jc w:val="center"/>
        <w:tblBorders>
          <w:top w:val="single" w:sz="4" w:space="0" w:color="auto"/>
          <w:bottom w:val="single" w:sz="4" w:space="0" w:color="auto"/>
        </w:tblBorders>
        <w:tblLook w:val="04A0" w:firstRow="1" w:lastRow="0" w:firstColumn="1" w:lastColumn="0" w:noHBand="0" w:noVBand="1"/>
      </w:tblPr>
      <w:tblGrid>
        <w:gridCol w:w="4315"/>
        <w:gridCol w:w="4315"/>
      </w:tblGrid>
      <w:tr w:rsidR="00DC31CB" w14:paraId="20F6B458" w14:textId="77777777" w:rsidTr="00A0481F">
        <w:trPr>
          <w:jc w:val="center"/>
        </w:trPr>
        <w:tc>
          <w:tcPr>
            <w:tcW w:w="4315" w:type="dxa"/>
            <w:tcBorders>
              <w:top w:val="single" w:sz="4" w:space="0" w:color="auto"/>
              <w:bottom w:val="single" w:sz="4" w:space="0" w:color="auto"/>
            </w:tcBorders>
          </w:tcPr>
          <w:p w14:paraId="071AAC20" w14:textId="77777777" w:rsidR="00DC31CB" w:rsidRDefault="00DC31CB" w:rsidP="00BA7380">
            <w:pPr>
              <w:spacing w:line="240" w:lineRule="auto"/>
              <w:jc w:val="center"/>
              <w:rPr>
                <w:rFonts w:eastAsiaTheme="minorEastAsia"/>
                <w:lang w:val="en-US"/>
              </w:rPr>
            </w:pPr>
            <w:r>
              <w:rPr>
                <w:rFonts w:eastAsiaTheme="minorEastAsia"/>
                <w:lang w:val="en-US"/>
              </w:rPr>
              <w:t>Month</w:t>
            </w:r>
          </w:p>
        </w:tc>
        <w:tc>
          <w:tcPr>
            <w:tcW w:w="4315" w:type="dxa"/>
            <w:tcBorders>
              <w:top w:val="single" w:sz="4" w:space="0" w:color="auto"/>
              <w:bottom w:val="single" w:sz="4" w:space="0" w:color="auto"/>
            </w:tcBorders>
          </w:tcPr>
          <w:p w14:paraId="2549F2DC" w14:textId="75100066" w:rsidR="00DC31CB" w:rsidRPr="007A5C77" w:rsidRDefault="00DC31CB" w:rsidP="00BA7380">
            <w:pPr>
              <w:spacing w:line="240" w:lineRule="auto"/>
              <w:jc w:val="center"/>
              <w:rPr>
                <w:rFonts w:eastAsiaTheme="minorEastAsia"/>
                <w:lang w:val="en-US"/>
              </w:rPr>
            </w:pPr>
            <w:r>
              <w:rPr>
                <w:rFonts w:eastAsiaTheme="minorEastAsia"/>
                <w:lang w:val="en-US"/>
              </w:rPr>
              <w:t>Streamflow in Litres/s</w:t>
            </w:r>
          </w:p>
        </w:tc>
      </w:tr>
      <w:tr w:rsidR="00DC31CB" w14:paraId="5CE53A55" w14:textId="77777777" w:rsidTr="00A0481F">
        <w:trPr>
          <w:jc w:val="center"/>
        </w:trPr>
        <w:tc>
          <w:tcPr>
            <w:tcW w:w="4315" w:type="dxa"/>
            <w:tcBorders>
              <w:top w:val="single" w:sz="4" w:space="0" w:color="auto"/>
            </w:tcBorders>
          </w:tcPr>
          <w:p w14:paraId="33716651" w14:textId="77777777" w:rsidR="00DC31CB" w:rsidRDefault="00DC31CB" w:rsidP="00BA7380">
            <w:pPr>
              <w:spacing w:line="240" w:lineRule="auto"/>
              <w:jc w:val="center"/>
              <w:rPr>
                <w:rFonts w:eastAsiaTheme="minorEastAsia"/>
                <w:lang w:val="en-US"/>
              </w:rPr>
            </w:pPr>
            <w:r>
              <w:rPr>
                <w:rFonts w:eastAsiaTheme="minorEastAsia"/>
                <w:lang w:val="en-US"/>
              </w:rPr>
              <w:t>January</w:t>
            </w:r>
          </w:p>
        </w:tc>
        <w:tc>
          <w:tcPr>
            <w:tcW w:w="4315" w:type="dxa"/>
            <w:tcBorders>
              <w:top w:val="single" w:sz="4" w:space="0" w:color="auto"/>
            </w:tcBorders>
          </w:tcPr>
          <w:p w14:paraId="206EFCCE" w14:textId="37E8F295" w:rsidR="00DC31CB" w:rsidRDefault="00DC31CB" w:rsidP="00BA7380">
            <w:pPr>
              <w:spacing w:line="240" w:lineRule="auto"/>
              <w:jc w:val="center"/>
              <w:rPr>
                <w:rFonts w:eastAsiaTheme="minorEastAsia"/>
                <w:lang w:val="en-US"/>
              </w:rPr>
            </w:pPr>
            <w:r>
              <w:t>250</w:t>
            </w:r>
          </w:p>
        </w:tc>
      </w:tr>
      <w:tr w:rsidR="00DC31CB" w14:paraId="33C27F00" w14:textId="77777777" w:rsidTr="00A0481F">
        <w:trPr>
          <w:jc w:val="center"/>
        </w:trPr>
        <w:tc>
          <w:tcPr>
            <w:tcW w:w="4315" w:type="dxa"/>
          </w:tcPr>
          <w:p w14:paraId="60FBC45D" w14:textId="77777777" w:rsidR="00DC31CB" w:rsidRDefault="00DC31CB" w:rsidP="00BA7380">
            <w:pPr>
              <w:spacing w:line="240" w:lineRule="auto"/>
              <w:jc w:val="center"/>
              <w:rPr>
                <w:rFonts w:eastAsiaTheme="minorEastAsia"/>
                <w:lang w:val="en-US"/>
              </w:rPr>
            </w:pPr>
            <w:r>
              <w:rPr>
                <w:rFonts w:eastAsiaTheme="minorEastAsia"/>
                <w:lang w:val="en-US"/>
              </w:rPr>
              <w:t>February</w:t>
            </w:r>
          </w:p>
        </w:tc>
        <w:tc>
          <w:tcPr>
            <w:tcW w:w="4315" w:type="dxa"/>
          </w:tcPr>
          <w:p w14:paraId="35A91CCC" w14:textId="3F232A44" w:rsidR="00DC31CB" w:rsidRDefault="00DC31CB" w:rsidP="00BA7380">
            <w:pPr>
              <w:spacing w:line="240" w:lineRule="auto"/>
              <w:jc w:val="center"/>
              <w:rPr>
                <w:rFonts w:eastAsiaTheme="minorEastAsia"/>
                <w:lang w:val="en-US"/>
              </w:rPr>
            </w:pPr>
            <w:r>
              <w:t>255 (measured)</w:t>
            </w:r>
          </w:p>
        </w:tc>
      </w:tr>
      <w:tr w:rsidR="00DC31CB" w14:paraId="36B4B7D3" w14:textId="77777777" w:rsidTr="00A0481F">
        <w:trPr>
          <w:jc w:val="center"/>
        </w:trPr>
        <w:tc>
          <w:tcPr>
            <w:tcW w:w="4315" w:type="dxa"/>
          </w:tcPr>
          <w:p w14:paraId="478EE204" w14:textId="77777777" w:rsidR="00DC31CB" w:rsidRDefault="00DC31CB" w:rsidP="00BA7380">
            <w:pPr>
              <w:spacing w:line="240" w:lineRule="auto"/>
              <w:jc w:val="center"/>
              <w:rPr>
                <w:rFonts w:eastAsiaTheme="minorEastAsia"/>
                <w:lang w:val="en-US"/>
              </w:rPr>
            </w:pPr>
            <w:r>
              <w:rPr>
                <w:rFonts w:eastAsiaTheme="minorEastAsia"/>
                <w:lang w:val="en-US"/>
              </w:rPr>
              <w:t>March</w:t>
            </w:r>
          </w:p>
        </w:tc>
        <w:tc>
          <w:tcPr>
            <w:tcW w:w="4315" w:type="dxa"/>
          </w:tcPr>
          <w:p w14:paraId="4F818413" w14:textId="48096461" w:rsidR="00DC31CB" w:rsidRDefault="00DC31CB" w:rsidP="00BA7380">
            <w:pPr>
              <w:spacing w:line="240" w:lineRule="auto"/>
              <w:jc w:val="center"/>
              <w:rPr>
                <w:rFonts w:eastAsiaTheme="minorEastAsia"/>
                <w:lang w:val="en-US"/>
              </w:rPr>
            </w:pPr>
            <w:r>
              <w:t>1834</w:t>
            </w:r>
          </w:p>
        </w:tc>
      </w:tr>
      <w:tr w:rsidR="00DC31CB" w14:paraId="508A5B8B" w14:textId="77777777" w:rsidTr="00A0481F">
        <w:trPr>
          <w:jc w:val="center"/>
        </w:trPr>
        <w:tc>
          <w:tcPr>
            <w:tcW w:w="4315" w:type="dxa"/>
          </w:tcPr>
          <w:p w14:paraId="4DFCFB35" w14:textId="77777777" w:rsidR="00DC31CB" w:rsidRDefault="00DC31CB" w:rsidP="00BA7380">
            <w:pPr>
              <w:spacing w:line="240" w:lineRule="auto"/>
              <w:jc w:val="center"/>
              <w:rPr>
                <w:rFonts w:eastAsiaTheme="minorEastAsia"/>
                <w:lang w:val="en-US"/>
              </w:rPr>
            </w:pPr>
            <w:r>
              <w:rPr>
                <w:rFonts w:eastAsiaTheme="minorEastAsia"/>
                <w:lang w:val="en-US"/>
              </w:rPr>
              <w:t>April</w:t>
            </w:r>
          </w:p>
        </w:tc>
        <w:tc>
          <w:tcPr>
            <w:tcW w:w="4315" w:type="dxa"/>
          </w:tcPr>
          <w:p w14:paraId="7D3E0D1F" w14:textId="505C9953" w:rsidR="00DC31CB" w:rsidRDefault="00DC31CB" w:rsidP="00BA7380">
            <w:pPr>
              <w:spacing w:line="240" w:lineRule="auto"/>
              <w:jc w:val="center"/>
              <w:rPr>
                <w:rFonts w:eastAsiaTheme="minorEastAsia"/>
                <w:lang w:val="en-US"/>
              </w:rPr>
            </w:pPr>
            <w:r>
              <w:t>5239</w:t>
            </w:r>
          </w:p>
        </w:tc>
      </w:tr>
      <w:tr w:rsidR="00DC31CB" w14:paraId="7222D404" w14:textId="77777777" w:rsidTr="00A0481F">
        <w:trPr>
          <w:jc w:val="center"/>
        </w:trPr>
        <w:tc>
          <w:tcPr>
            <w:tcW w:w="4315" w:type="dxa"/>
          </w:tcPr>
          <w:p w14:paraId="66E6B1F2" w14:textId="77777777" w:rsidR="00DC31CB" w:rsidRDefault="00DC31CB" w:rsidP="00BA7380">
            <w:pPr>
              <w:spacing w:line="240" w:lineRule="auto"/>
              <w:jc w:val="center"/>
              <w:rPr>
                <w:rFonts w:eastAsiaTheme="minorEastAsia"/>
                <w:lang w:val="en-US"/>
              </w:rPr>
            </w:pPr>
            <w:r>
              <w:rPr>
                <w:rFonts w:eastAsiaTheme="minorEastAsia"/>
                <w:lang w:val="en-US"/>
              </w:rPr>
              <w:t>May</w:t>
            </w:r>
          </w:p>
        </w:tc>
        <w:tc>
          <w:tcPr>
            <w:tcW w:w="4315" w:type="dxa"/>
          </w:tcPr>
          <w:p w14:paraId="3B457192" w14:textId="6916B0B9" w:rsidR="00DC31CB" w:rsidRDefault="00DC31CB" w:rsidP="00BA7380">
            <w:pPr>
              <w:spacing w:line="240" w:lineRule="auto"/>
              <w:jc w:val="center"/>
              <w:rPr>
                <w:rFonts w:eastAsiaTheme="minorEastAsia"/>
                <w:lang w:val="en-US"/>
              </w:rPr>
            </w:pPr>
            <w:r w:rsidRPr="00D44914">
              <w:t>8153</w:t>
            </w:r>
          </w:p>
        </w:tc>
      </w:tr>
      <w:tr w:rsidR="00DC31CB" w14:paraId="1DC0ABD8" w14:textId="77777777" w:rsidTr="00A0481F">
        <w:trPr>
          <w:jc w:val="center"/>
        </w:trPr>
        <w:tc>
          <w:tcPr>
            <w:tcW w:w="4315" w:type="dxa"/>
          </w:tcPr>
          <w:p w14:paraId="3D2C7F76" w14:textId="77777777" w:rsidR="00DC31CB" w:rsidRDefault="00DC31CB" w:rsidP="00BA7380">
            <w:pPr>
              <w:spacing w:line="240" w:lineRule="auto"/>
              <w:jc w:val="center"/>
              <w:rPr>
                <w:rFonts w:eastAsiaTheme="minorEastAsia"/>
                <w:lang w:val="en-US"/>
              </w:rPr>
            </w:pPr>
            <w:r>
              <w:rPr>
                <w:rFonts w:eastAsiaTheme="minorEastAsia"/>
                <w:lang w:val="en-US"/>
              </w:rPr>
              <w:t>June</w:t>
            </w:r>
          </w:p>
        </w:tc>
        <w:tc>
          <w:tcPr>
            <w:tcW w:w="4315" w:type="dxa"/>
          </w:tcPr>
          <w:p w14:paraId="6F229BD2" w14:textId="18879DF5" w:rsidR="00DC31CB" w:rsidRDefault="00DC31CB" w:rsidP="00BA7380">
            <w:pPr>
              <w:spacing w:line="240" w:lineRule="auto"/>
              <w:jc w:val="center"/>
              <w:rPr>
                <w:rFonts w:eastAsiaTheme="minorEastAsia"/>
                <w:lang w:val="en-US"/>
              </w:rPr>
            </w:pPr>
            <w:r w:rsidRPr="00D44914">
              <w:t>27789</w:t>
            </w:r>
            <w:r w:rsidR="00A346D7">
              <w:t xml:space="preserve"> (measured)</w:t>
            </w:r>
          </w:p>
        </w:tc>
      </w:tr>
      <w:tr w:rsidR="00DC31CB" w14:paraId="7732CA05" w14:textId="77777777" w:rsidTr="00A0481F">
        <w:trPr>
          <w:jc w:val="center"/>
        </w:trPr>
        <w:tc>
          <w:tcPr>
            <w:tcW w:w="4315" w:type="dxa"/>
          </w:tcPr>
          <w:p w14:paraId="038D4E52" w14:textId="77777777" w:rsidR="00DC31CB" w:rsidRDefault="00DC31CB" w:rsidP="00BA7380">
            <w:pPr>
              <w:spacing w:line="240" w:lineRule="auto"/>
              <w:jc w:val="center"/>
              <w:rPr>
                <w:rFonts w:eastAsiaTheme="minorEastAsia"/>
                <w:lang w:val="en-US"/>
              </w:rPr>
            </w:pPr>
            <w:r>
              <w:rPr>
                <w:rFonts w:eastAsiaTheme="minorEastAsia"/>
                <w:lang w:val="en-US"/>
              </w:rPr>
              <w:t>July</w:t>
            </w:r>
          </w:p>
        </w:tc>
        <w:tc>
          <w:tcPr>
            <w:tcW w:w="4315" w:type="dxa"/>
          </w:tcPr>
          <w:p w14:paraId="5F0252E3" w14:textId="09B1F049" w:rsidR="00DC31CB" w:rsidRDefault="00DC31CB" w:rsidP="00BA7380">
            <w:pPr>
              <w:spacing w:line="240" w:lineRule="auto"/>
              <w:jc w:val="center"/>
              <w:rPr>
                <w:rFonts w:eastAsiaTheme="minorEastAsia"/>
                <w:lang w:val="en-US"/>
              </w:rPr>
            </w:pPr>
            <w:r w:rsidRPr="00D44914">
              <w:t>15906</w:t>
            </w:r>
          </w:p>
        </w:tc>
      </w:tr>
      <w:tr w:rsidR="00DC31CB" w14:paraId="6A167071" w14:textId="77777777" w:rsidTr="00A0481F">
        <w:trPr>
          <w:jc w:val="center"/>
        </w:trPr>
        <w:tc>
          <w:tcPr>
            <w:tcW w:w="4315" w:type="dxa"/>
          </w:tcPr>
          <w:p w14:paraId="727D0FCF" w14:textId="77777777" w:rsidR="00DC31CB" w:rsidRDefault="00DC31CB" w:rsidP="00BA7380">
            <w:pPr>
              <w:spacing w:line="240" w:lineRule="auto"/>
              <w:jc w:val="center"/>
              <w:rPr>
                <w:rFonts w:eastAsiaTheme="minorEastAsia"/>
                <w:lang w:val="en-US"/>
              </w:rPr>
            </w:pPr>
            <w:r>
              <w:rPr>
                <w:rFonts w:eastAsiaTheme="minorEastAsia"/>
                <w:lang w:val="en-US"/>
              </w:rPr>
              <w:t>August</w:t>
            </w:r>
          </w:p>
        </w:tc>
        <w:tc>
          <w:tcPr>
            <w:tcW w:w="4315" w:type="dxa"/>
          </w:tcPr>
          <w:p w14:paraId="42D46AEA" w14:textId="52001401" w:rsidR="00DC31CB" w:rsidRDefault="00DC31CB" w:rsidP="00BA7380">
            <w:pPr>
              <w:spacing w:line="240" w:lineRule="auto"/>
              <w:jc w:val="center"/>
              <w:rPr>
                <w:rFonts w:eastAsiaTheme="minorEastAsia"/>
                <w:lang w:val="en-US"/>
              </w:rPr>
            </w:pPr>
            <w:r w:rsidRPr="00D44914">
              <w:t>16695</w:t>
            </w:r>
          </w:p>
        </w:tc>
      </w:tr>
      <w:tr w:rsidR="00DC31CB" w14:paraId="6ED0EDA5" w14:textId="77777777" w:rsidTr="00A0481F">
        <w:trPr>
          <w:jc w:val="center"/>
        </w:trPr>
        <w:tc>
          <w:tcPr>
            <w:tcW w:w="4315" w:type="dxa"/>
          </w:tcPr>
          <w:p w14:paraId="79E48C4B" w14:textId="77777777" w:rsidR="00DC31CB" w:rsidRDefault="00DC31CB" w:rsidP="00BA7380">
            <w:pPr>
              <w:spacing w:line="240" w:lineRule="auto"/>
              <w:jc w:val="center"/>
              <w:rPr>
                <w:rFonts w:eastAsiaTheme="minorEastAsia"/>
                <w:lang w:val="en-US"/>
              </w:rPr>
            </w:pPr>
            <w:r>
              <w:rPr>
                <w:rFonts w:eastAsiaTheme="minorEastAsia"/>
                <w:lang w:val="en-US"/>
              </w:rPr>
              <w:t>September</w:t>
            </w:r>
          </w:p>
        </w:tc>
        <w:tc>
          <w:tcPr>
            <w:tcW w:w="4315" w:type="dxa"/>
          </w:tcPr>
          <w:p w14:paraId="4FE71301" w14:textId="0E23D3D3" w:rsidR="00DC31CB" w:rsidRDefault="00DC31CB" w:rsidP="00BA7380">
            <w:pPr>
              <w:spacing w:line="240" w:lineRule="auto"/>
              <w:jc w:val="center"/>
              <w:rPr>
                <w:rFonts w:eastAsiaTheme="minorEastAsia"/>
                <w:lang w:val="en-US"/>
              </w:rPr>
            </w:pPr>
            <w:r w:rsidRPr="00D44914">
              <w:t>4966</w:t>
            </w:r>
          </w:p>
        </w:tc>
      </w:tr>
      <w:tr w:rsidR="00DC31CB" w14:paraId="5061510E" w14:textId="77777777" w:rsidTr="00A0481F">
        <w:trPr>
          <w:jc w:val="center"/>
        </w:trPr>
        <w:tc>
          <w:tcPr>
            <w:tcW w:w="4315" w:type="dxa"/>
          </w:tcPr>
          <w:p w14:paraId="6039BC70" w14:textId="77777777" w:rsidR="00DC31CB" w:rsidRDefault="00DC31CB" w:rsidP="00BA7380">
            <w:pPr>
              <w:spacing w:line="240" w:lineRule="auto"/>
              <w:jc w:val="center"/>
              <w:rPr>
                <w:rFonts w:eastAsiaTheme="minorEastAsia"/>
                <w:lang w:val="en-US"/>
              </w:rPr>
            </w:pPr>
            <w:r>
              <w:rPr>
                <w:rFonts w:eastAsiaTheme="minorEastAsia"/>
                <w:lang w:val="en-US"/>
              </w:rPr>
              <w:t>October</w:t>
            </w:r>
          </w:p>
        </w:tc>
        <w:tc>
          <w:tcPr>
            <w:tcW w:w="4315" w:type="dxa"/>
          </w:tcPr>
          <w:p w14:paraId="21FF0B4D" w14:textId="5EF6CBF1" w:rsidR="00DC31CB" w:rsidRDefault="00DC31CB" w:rsidP="00BA7380">
            <w:pPr>
              <w:spacing w:line="240" w:lineRule="auto"/>
              <w:jc w:val="center"/>
              <w:rPr>
                <w:rFonts w:eastAsiaTheme="minorEastAsia"/>
                <w:lang w:val="en-US"/>
              </w:rPr>
            </w:pPr>
            <w:r w:rsidRPr="00D44914">
              <w:t>1936</w:t>
            </w:r>
          </w:p>
        </w:tc>
      </w:tr>
      <w:tr w:rsidR="00DC31CB" w14:paraId="2110699C" w14:textId="77777777" w:rsidTr="00A0481F">
        <w:trPr>
          <w:jc w:val="center"/>
        </w:trPr>
        <w:tc>
          <w:tcPr>
            <w:tcW w:w="4315" w:type="dxa"/>
          </w:tcPr>
          <w:p w14:paraId="406F55E3" w14:textId="77777777" w:rsidR="00DC31CB" w:rsidRDefault="00DC31CB" w:rsidP="00BA7380">
            <w:pPr>
              <w:spacing w:line="240" w:lineRule="auto"/>
              <w:jc w:val="center"/>
              <w:rPr>
                <w:rFonts w:eastAsiaTheme="minorEastAsia"/>
                <w:lang w:val="en-US"/>
              </w:rPr>
            </w:pPr>
            <w:r>
              <w:rPr>
                <w:rFonts w:eastAsiaTheme="minorEastAsia"/>
                <w:lang w:val="en-US"/>
              </w:rPr>
              <w:t>November</w:t>
            </w:r>
          </w:p>
        </w:tc>
        <w:tc>
          <w:tcPr>
            <w:tcW w:w="4315" w:type="dxa"/>
          </w:tcPr>
          <w:p w14:paraId="0A3EAA1A" w14:textId="3175D772" w:rsidR="00DC31CB" w:rsidRDefault="00DC31CB" w:rsidP="00BA7380">
            <w:pPr>
              <w:spacing w:line="240" w:lineRule="auto"/>
              <w:jc w:val="center"/>
              <w:rPr>
                <w:rFonts w:eastAsiaTheme="minorEastAsia"/>
                <w:lang w:val="en-US"/>
              </w:rPr>
            </w:pPr>
            <w:r w:rsidRPr="00D44914">
              <w:t>545</w:t>
            </w:r>
          </w:p>
        </w:tc>
      </w:tr>
      <w:tr w:rsidR="00DC31CB" w14:paraId="4978C9F4" w14:textId="77777777" w:rsidTr="00A0481F">
        <w:trPr>
          <w:jc w:val="center"/>
        </w:trPr>
        <w:tc>
          <w:tcPr>
            <w:tcW w:w="4315" w:type="dxa"/>
          </w:tcPr>
          <w:p w14:paraId="0DB04810" w14:textId="77777777" w:rsidR="00DC31CB" w:rsidRDefault="00DC31CB" w:rsidP="00BA7380">
            <w:pPr>
              <w:spacing w:line="240" w:lineRule="auto"/>
              <w:jc w:val="center"/>
              <w:rPr>
                <w:rFonts w:eastAsiaTheme="minorEastAsia"/>
                <w:lang w:val="en-US"/>
              </w:rPr>
            </w:pPr>
            <w:r>
              <w:rPr>
                <w:rFonts w:eastAsiaTheme="minorEastAsia"/>
                <w:lang w:val="en-US"/>
              </w:rPr>
              <w:t>December</w:t>
            </w:r>
          </w:p>
        </w:tc>
        <w:tc>
          <w:tcPr>
            <w:tcW w:w="4315" w:type="dxa"/>
          </w:tcPr>
          <w:p w14:paraId="3EC93EBE" w14:textId="5127979B" w:rsidR="00DC31CB" w:rsidRDefault="00DC31CB" w:rsidP="00BA7380">
            <w:pPr>
              <w:spacing w:line="240" w:lineRule="auto"/>
              <w:jc w:val="center"/>
              <w:rPr>
                <w:rFonts w:eastAsiaTheme="minorEastAsia"/>
                <w:lang w:val="en-US"/>
              </w:rPr>
            </w:pPr>
            <w:r w:rsidRPr="00D44914">
              <w:t>261</w:t>
            </w:r>
          </w:p>
        </w:tc>
      </w:tr>
    </w:tbl>
    <w:p w14:paraId="51091760" w14:textId="77777777" w:rsidR="00004A40" w:rsidRDefault="00004A40" w:rsidP="00F03645">
      <w:pPr>
        <w:spacing w:line="480" w:lineRule="auto"/>
        <w:jc w:val="center"/>
        <w:rPr>
          <w:b/>
          <w:lang w:val="en-US"/>
        </w:rPr>
      </w:pPr>
    </w:p>
    <w:p w14:paraId="085AFF70" w14:textId="6EFB3A0B" w:rsidR="00DC31CB" w:rsidRPr="009F7871" w:rsidRDefault="002F4348" w:rsidP="00F03645">
      <w:pPr>
        <w:spacing w:line="480" w:lineRule="auto"/>
        <w:jc w:val="center"/>
        <w:rPr>
          <w:b/>
          <w:lang w:val="en-US"/>
        </w:rPr>
      </w:pPr>
      <w:r>
        <w:rPr>
          <w:b/>
          <w:lang w:val="en-US"/>
        </w:rPr>
        <w:t>Table 3.7</w:t>
      </w:r>
      <w:r w:rsidR="00004A40">
        <w:rPr>
          <w:b/>
          <w:lang w:val="en-US"/>
        </w:rPr>
        <w:t xml:space="preserve"> Extract of </w:t>
      </w:r>
      <w:r w:rsidR="009F7871" w:rsidRPr="009F7871">
        <w:rPr>
          <w:b/>
          <w:lang w:val="en-US"/>
        </w:rPr>
        <w:t xml:space="preserve"> </w:t>
      </w:r>
      <w:r w:rsidR="00004A40">
        <w:rPr>
          <w:b/>
          <w:lang w:val="en-US"/>
        </w:rPr>
        <w:t xml:space="preserve">Daily </w:t>
      </w:r>
      <w:r w:rsidR="009F7871" w:rsidRPr="009F7871">
        <w:rPr>
          <w:b/>
          <w:lang w:val="en-US"/>
        </w:rPr>
        <w:t>Solar Influx Data for January 2021 for Arandun Coordinates (Used with Permission of NASA POWER Langley Research Centre)</w:t>
      </w:r>
      <w:r w:rsidR="00004A40">
        <w:rPr>
          <w:b/>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887"/>
        <w:gridCol w:w="887"/>
        <w:gridCol w:w="887"/>
        <w:gridCol w:w="2883"/>
        <w:gridCol w:w="2884"/>
        <w:gridCol w:w="1603"/>
        <w:gridCol w:w="2896"/>
      </w:tblGrid>
      <w:tr w:rsidR="009F7871" w:rsidRPr="009F7871" w14:paraId="06F05C42" w14:textId="77777777" w:rsidTr="00004A40">
        <w:trPr>
          <w:trHeight w:val="288"/>
        </w:trPr>
        <w:tc>
          <w:tcPr>
            <w:tcW w:w="887" w:type="dxa"/>
            <w:tcBorders>
              <w:top w:val="single" w:sz="4" w:space="0" w:color="auto"/>
              <w:bottom w:val="single" w:sz="4" w:space="0" w:color="auto"/>
            </w:tcBorders>
            <w:noWrap/>
            <w:hideMark/>
          </w:tcPr>
          <w:p w14:paraId="78B9494E" w14:textId="77777777" w:rsidR="009F7871" w:rsidRPr="009F7871" w:rsidRDefault="009F7871" w:rsidP="00BA7380">
            <w:pPr>
              <w:spacing w:line="240" w:lineRule="auto"/>
              <w:rPr>
                <w:lang w:val="en-US"/>
              </w:rPr>
            </w:pPr>
            <w:r w:rsidRPr="009F7871">
              <w:t>YEAR</w:t>
            </w:r>
          </w:p>
        </w:tc>
        <w:tc>
          <w:tcPr>
            <w:tcW w:w="887" w:type="dxa"/>
            <w:tcBorders>
              <w:top w:val="single" w:sz="4" w:space="0" w:color="auto"/>
              <w:bottom w:val="single" w:sz="4" w:space="0" w:color="auto"/>
            </w:tcBorders>
            <w:noWrap/>
            <w:hideMark/>
          </w:tcPr>
          <w:p w14:paraId="773E25A7" w14:textId="77777777" w:rsidR="009F7871" w:rsidRPr="009F7871" w:rsidRDefault="009F7871" w:rsidP="00BA7380">
            <w:pPr>
              <w:spacing w:line="240" w:lineRule="auto"/>
            </w:pPr>
            <w:r w:rsidRPr="009F7871">
              <w:t>MO</w:t>
            </w:r>
          </w:p>
        </w:tc>
        <w:tc>
          <w:tcPr>
            <w:tcW w:w="887" w:type="dxa"/>
            <w:tcBorders>
              <w:top w:val="single" w:sz="4" w:space="0" w:color="auto"/>
              <w:bottom w:val="single" w:sz="4" w:space="0" w:color="auto"/>
            </w:tcBorders>
            <w:noWrap/>
            <w:hideMark/>
          </w:tcPr>
          <w:p w14:paraId="26375C4C" w14:textId="77777777" w:rsidR="009F7871" w:rsidRPr="009F7871" w:rsidRDefault="009F7871" w:rsidP="00BA7380">
            <w:pPr>
              <w:spacing w:line="240" w:lineRule="auto"/>
            </w:pPr>
            <w:r w:rsidRPr="009F7871">
              <w:t>DY</w:t>
            </w:r>
          </w:p>
        </w:tc>
        <w:tc>
          <w:tcPr>
            <w:tcW w:w="1923" w:type="dxa"/>
            <w:tcBorders>
              <w:top w:val="single" w:sz="4" w:space="0" w:color="auto"/>
              <w:bottom w:val="single" w:sz="4" w:space="0" w:color="auto"/>
            </w:tcBorders>
            <w:noWrap/>
            <w:hideMark/>
          </w:tcPr>
          <w:p w14:paraId="34DCA75A" w14:textId="77777777" w:rsidR="009F7871" w:rsidRPr="009F7871" w:rsidRDefault="009F7871" w:rsidP="00BA7380">
            <w:pPr>
              <w:spacing w:line="240" w:lineRule="auto"/>
            </w:pPr>
            <w:r w:rsidRPr="009F7871">
              <w:t>ALLSKY_SFC_SW_DWN</w:t>
            </w:r>
          </w:p>
        </w:tc>
        <w:tc>
          <w:tcPr>
            <w:tcW w:w="1939" w:type="dxa"/>
            <w:tcBorders>
              <w:top w:val="single" w:sz="4" w:space="0" w:color="auto"/>
              <w:bottom w:val="single" w:sz="4" w:space="0" w:color="auto"/>
            </w:tcBorders>
            <w:noWrap/>
            <w:hideMark/>
          </w:tcPr>
          <w:p w14:paraId="100CF613" w14:textId="77777777" w:rsidR="009F7871" w:rsidRPr="009F7871" w:rsidRDefault="009F7871" w:rsidP="00BA7380">
            <w:pPr>
              <w:spacing w:line="240" w:lineRule="auto"/>
            </w:pPr>
            <w:r w:rsidRPr="009F7871">
              <w:t>CLRSKY_SFC_SW_DWN</w:t>
            </w:r>
          </w:p>
        </w:tc>
        <w:tc>
          <w:tcPr>
            <w:tcW w:w="921" w:type="dxa"/>
            <w:tcBorders>
              <w:top w:val="single" w:sz="4" w:space="0" w:color="auto"/>
              <w:bottom w:val="single" w:sz="4" w:space="0" w:color="auto"/>
            </w:tcBorders>
            <w:noWrap/>
            <w:hideMark/>
          </w:tcPr>
          <w:p w14:paraId="5C48EA3A" w14:textId="77777777" w:rsidR="009F7871" w:rsidRPr="009F7871" w:rsidRDefault="009F7871" w:rsidP="00BA7380">
            <w:pPr>
              <w:spacing w:line="240" w:lineRule="auto"/>
            </w:pPr>
            <w:r w:rsidRPr="009F7871">
              <w:t>ALLSKY_KT</w:t>
            </w:r>
          </w:p>
        </w:tc>
        <w:tc>
          <w:tcPr>
            <w:tcW w:w="1916" w:type="dxa"/>
            <w:tcBorders>
              <w:top w:val="single" w:sz="4" w:space="0" w:color="auto"/>
              <w:bottom w:val="single" w:sz="4" w:space="0" w:color="auto"/>
            </w:tcBorders>
            <w:noWrap/>
            <w:hideMark/>
          </w:tcPr>
          <w:p w14:paraId="744E9D2A" w14:textId="77777777" w:rsidR="009F7871" w:rsidRPr="009F7871" w:rsidRDefault="009F7871" w:rsidP="00BA7380">
            <w:pPr>
              <w:spacing w:line="240" w:lineRule="auto"/>
            </w:pPr>
            <w:r w:rsidRPr="009F7871">
              <w:t>ALLSKY_SFC_LW_DWN</w:t>
            </w:r>
          </w:p>
        </w:tc>
      </w:tr>
      <w:tr w:rsidR="009F7871" w:rsidRPr="009F7871" w14:paraId="6A467A88" w14:textId="77777777" w:rsidTr="00004A40">
        <w:trPr>
          <w:trHeight w:val="288"/>
        </w:trPr>
        <w:tc>
          <w:tcPr>
            <w:tcW w:w="887" w:type="dxa"/>
            <w:tcBorders>
              <w:top w:val="single" w:sz="4" w:space="0" w:color="auto"/>
            </w:tcBorders>
            <w:noWrap/>
            <w:hideMark/>
          </w:tcPr>
          <w:p w14:paraId="4E0FF72A" w14:textId="77777777" w:rsidR="009F7871" w:rsidRPr="009F7871" w:rsidRDefault="009F7871" w:rsidP="00BA7380">
            <w:pPr>
              <w:spacing w:line="240" w:lineRule="auto"/>
              <w:jc w:val="center"/>
            </w:pPr>
            <w:r w:rsidRPr="009F7871">
              <w:t>2021</w:t>
            </w:r>
          </w:p>
        </w:tc>
        <w:tc>
          <w:tcPr>
            <w:tcW w:w="887" w:type="dxa"/>
            <w:tcBorders>
              <w:top w:val="single" w:sz="4" w:space="0" w:color="auto"/>
            </w:tcBorders>
            <w:noWrap/>
            <w:hideMark/>
          </w:tcPr>
          <w:p w14:paraId="5589E005" w14:textId="77777777" w:rsidR="009F7871" w:rsidRPr="009F7871" w:rsidRDefault="009F7871" w:rsidP="00BA7380">
            <w:pPr>
              <w:spacing w:line="240" w:lineRule="auto"/>
              <w:jc w:val="center"/>
            </w:pPr>
            <w:r w:rsidRPr="009F7871">
              <w:t>1</w:t>
            </w:r>
          </w:p>
        </w:tc>
        <w:tc>
          <w:tcPr>
            <w:tcW w:w="887" w:type="dxa"/>
            <w:tcBorders>
              <w:top w:val="single" w:sz="4" w:space="0" w:color="auto"/>
            </w:tcBorders>
            <w:noWrap/>
            <w:hideMark/>
          </w:tcPr>
          <w:p w14:paraId="256410E3" w14:textId="77777777" w:rsidR="009F7871" w:rsidRPr="009F7871" w:rsidRDefault="009F7871" w:rsidP="00BA7380">
            <w:pPr>
              <w:spacing w:line="240" w:lineRule="auto"/>
              <w:jc w:val="center"/>
            </w:pPr>
            <w:r w:rsidRPr="009F7871">
              <w:t>1</w:t>
            </w:r>
          </w:p>
        </w:tc>
        <w:tc>
          <w:tcPr>
            <w:tcW w:w="1923" w:type="dxa"/>
            <w:tcBorders>
              <w:top w:val="single" w:sz="4" w:space="0" w:color="auto"/>
            </w:tcBorders>
            <w:noWrap/>
            <w:hideMark/>
          </w:tcPr>
          <w:p w14:paraId="0AE88B9E" w14:textId="77777777" w:rsidR="009F7871" w:rsidRPr="009F7871" w:rsidRDefault="009F7871" w:rsidP="00BA7380">
            <w:pPr>
              <w:spacing w:line="240" w:lineRule="auto"/>
              <w:jc w:val="center"/>
            </w:pPr>
            <w:r w:rsidRPr="009F7871">
              <w:t>5.6</w:t>
            </w:r>
          </w:p>
        </w:tc>
        <w:tc>
          <w:tcPr>
            <w:tcW w:w="1939" w:type="dxa"/>
            <w:tcBorders>
              <w:top w:val="single" w:sz="4" w:space="0" w:color="auto"/>
            </w:tcBorders>
            <w:noWrap/>
            <w:hideMark/>
          </w:tcPr>
          <w:p w14:paraId="1640D3E3" w14:textId="77777777" w:rsidR="009F7871" w:rsidRPr="009F7871" w:rsidRDefault="009F7871" w:rsidP="00BA7380">
            <w:pPr>
              <w:spacing w:line="240" w:lineRule="auto"/>
              <w:jc w:val="center"/>
            </w:pPr>
            <w:r w:rsidRPr="009F7871">
              <w:t>5.68</w:t>
            </w:r>
          </w:p>
        </w:tc>
        <w:tc>
          <w:tcPr>
            <w:tcW w:w="921" w:type="dxa"/>
            <w:tcBorders>
              <w:top w:val="single" w:sz="4" w:space="0" w:color="auto"/>
            </w:tcBorders>
            <w:noWrap/>
            <w:hideMark/>
          </w:tcPr>
          <w:p w14:paraId="500D7ABD" w14:textId="77777777" w:rsidR="009F7871" w:rsidRPr="009F7871" w:rsidRDefault="009F7871" w:rsidP="00BA7380">
            <w:pPr>
              <w:spacing w:line="240" w:lineRule="auto"/>
              <w:jc w:val="center"/>
            </w:pPr>
            <w:r w:rsidRPr="009F7871">
              <w:t>0.63</w:t>
            </w:r>
          </w:p>
        </w:tc>
        <w:tc>
          <w:tcPr>
            <w:tcW w:w="1916" w:type="dxa"/>
            <w:tcBorders>
              <w:top w:val="single" w:sz="4" w:space="0" w:color="auto"/>
            </w:tcBorders>
            <w:noWrap/>
            <w:hideMark/>
          </w:tcPr>
          <w:p w14:paraId="302A853E" w14:textId="77777777" w:rsidR="009F7871" w:rsidRPr="009F7871" w:rsidRDefault="009F7871" w:rsidP="00BA7380">
            <w:pPr>
              <w:spacing w:line="240" w:lineRule="auto"/>
              <w:jc w:val="center"/>
            </w:pPr>
            <w:r w:rsidRPr="009F7871">
              <w:t>362.96</w:t>
            </w:r>
          </w:p>
        </w:tc>
      </w:tr>
      <w:tr w:rsidR="009F7871" w:rsidRPr="009F7871" w14:paraId="58BFFBF6" w14:textId="77777777" w:rsidTr="00004A40">
        <w:trPr>
          <w:trHeight w:val="288"/>
        </w:trPr>
        <w:tc>
          <w:tcPr>
            <w:tcW w:w="887" w:type="dxa"/>
            <w:noWrap/>
            <w:hideMark/>
          </w:tcPr>
          <w:p w14:paraId="2CD79989" w14:textId="77777777" w:rsidR="009F7871" w:rsidRPr="009F7871" w:rsidRDefault="009F7871" w:rsidP="00BA7380">
            <w:pPr>
              <w:spacing w:line="240" w:lineRule="auto"/>
              <w:jc w:val="center"/>
            </w:pPr>
            <w:r w:rsidRPr="009F7871">
              <w:t>2021</w:t>
            </w:r>
          </w:p>
        </w:tc>
        <w:tc>
          <w:tcPr>
            <w:tcW w:w="887" w:type="dxa"/>
            <w:noWrap/>
            <w:hideMark/>
          </w:tcPr>
          <w:p w14:paraId="6629E659" w14:textId="77777777" w:rsidR="009F7871" w:rsidRPr="009F7871" w:rsidRDefault="009F7871" w:rsidP="00BA7380">
            <w:pPr>
              <w:spacing w:line="240" w:lineRule="auto"/>
              <w:jc w:val="center"/>
            </w:pPr>
            <w:r w:rsidRPr="009F7871">
              <w:t>1</w:t>
            </w:r>
          </w:p>
        </w:tc>
        <w:tc>
          <w:tcPr>
            <w:tcW w:w="887" w:type="dxa"/>
            <w:noWrap/>
            <w:hideMark/>
          </w:tcPr>
          <w:p w14:paraId="7076CC68" w14:textId="77777777" w:rsidR="009F7871" w:rsidRPr="009F7871" w:rsidRDefault="009F7871" w:rsidP="00BA7380">
            <w:pPr>
              <w:spacing w:line="240" w:lineRule="auto"/>
              <w:jc w:val="center"/>
            </w:pPr>
            <w:r w:rsidRPr="009F7871">
              <w:t>2</w:t>
            </w:r>
          </w:p>
        </w:tc>
        <w:tc>
          <w:tcPr>
            <w:tcW w:w="1923" w:type="dxa"/>
            <w:noWrap/>
            <w:hideMark/>
          </w:tcPr>
          <w:p w14:paraId="188C9716" w14:textId="77777777" w:rsidR="009F7871" w:rsidRPr="009F7871" w:rsidRDefault="009F7871" w:rsidP="00BA7380">
            <w:pPr>
              <w:spacing w:line="240" w:lineRule="auto"/>
              <w:jc w:val="center"/>
            </w:pPr>
            <w:r w:rsidRPr="009F7871">
              <w:t>5.27</w:t>
            </w:r>
          </w:p>
        </w:tc>
        <w:tc>
          <w:tcPr>
            <w:tcW w:w="1939" w:type="dxa"/>
            <w:noWrap/>
            <w:hideMark/>
          </w:tcPr>
          <w:p w14:paraId="648CF0A5" w14:textId="77777777" w:rsidR="009F7871" w:rsidRPr="009F7871" w:rsidRDefault="009F7871" w:rsidP="00BA7380">
            <w:pPr>
              <w:spacing w:line="240" w:lineRule="auto"/>
              <w:jc w:val="center"/>
            </w:pPr>
            <w:r w:rsidRPr="009F7871">
              <w:t>5.62</w:t>
            </w:r>
          </w:p>
        </w:tc>
        <w:tc>
          <w:tcPr>
            <w:tcW w:w="921" w:type="dxa"/>
            <w:noWrap/>
            <w:hideMark/>
          </w:tcPr>
          <w:p w14:paraId="0DF8D8FD" w14:textId="77777777" w:rsidR="009F7871" w:rsidRPr="009F7871" w:rsidRDefault="009F7871" w:rsidP="00BA7380">
            <w:pPr>
              <w:spacing w:line="240" w:lineRule="auto"/>
              <w:jc w:val="center"/>
            </w:pPr>
            <w:r w:rsidRPr="009F7871">
              <w:t>0.59</w:t>
            </w:r>
          </w:p>
        </w:tc>
        <w:tc>
          <w:tcPr>
            <w:tcW w:w="1916" w:type="dxa"/>
            <w:noWrap/>
            <w:hideMark/>
          </w:tcPr>
          <w:p w14:paraId="1EA91CBB" w14:textId="77777777" w:rsidR="009F7871" w:rsidRPr="009F7871" w:rsidRDefault="009F7871" w:rsidP="00BA7380">
            <w:pPr>
              <w:spacing w:line="240" w:lineRule="auto"/>
              <w:jc w:val="center"/>
            </w:pPr>
            <w:r w:rsidRPr="009F7871">
              <w:t>388.27</w:t>
            </w:r>
          </w:p>
        </w:tc>
      </w:tr>
      <w:tr w:rsidR="009F7871" w:rsidRPr="009F7871" w14:paraId="4605D49B" w14:textId="77777777" w:rsidTr="00004A40">
        <w:trPr>
          <w:trHeight w:val="288"/>
        </w:trPr>
        <w:tc>
          <w:tcPr>
            <w:tcW w:w="887" w:type="dxa"/>
            <w:noWrap/>
            <w:hideMark/>
          </w:tcPr>
          <w:p w14:paraId="5831F7E3" w14:textId="77777777" w:rsidR="009F7871" w:rsidRPr="009F7871" w:rsidRDefault="009F7871" w:rsidP="00BA7380">
            <w:pPr>
              <w:spacing w:line="240" w:lineRule="auto"/>
              <w:jc w:val="center"/>
            </w:pPr>
            <w:r w:rsidRPr="009F7871">
              <w:t>2021</w:t>
            </w:r>
          </w:p>
        </w:tc>
        <w:tc>
          <w:tcPr>
            <w:tcW w:w="887" w:type="dxa"/>
            <w:noWrap/>
            <w:hideMark/>
          </w:tcPr>
          <w:p w14:paraId="0FFFB268" w14:textId="77777777" w:rsidR="009F7871" w:rsidRPr="009F7871" w:rsidRDefault="009F7871" w:rsidP="00BA7380">
            <w:pPr>
              <w:spacing w:line="240" w:lineRule="auto"/>
              <w:jc w:val="center"/>
            </w:pPr>
            <w:r w:rsidRPr="009F7871">
              <w:t>1</w:t>
            </w:r>
          </w:p>
        </w:tc>
        <w:tc>
          <w:tcPr>
            <w:tcW w:w="887" w:type="dxa"/>
            <w:noWrap/>
            <w:hideMark/>
          </w:tcPr>
          <w:p w14:paraId="5F6C0BAF" w14:textId="77777777" w:rsidR="009F7871" w:rsidRPr="009F7871" w:rsidRDefault="009F7871" w:rsidP="00BA7380">
            <w:pPr>
              <w:spacing w:line="240" w:lineRule="auto"/>
              <w:jc w:val="center"/>
            </w:pPr>
            <w:r w:rsidRPr="009F7871">
              <w:t>3</w:t>
            </w:r>
          </w:p>
        </w:tc>
        <w:tc>
          <w:tcPr>
            <w:tcW w:w="1923" w:type="dxa"/>
            <w:noWrap/>
            <w:hideMark/>
          </w:tcPr>
          <w:p w14:paraId="4F09127D" w14:textId="77777777" w:rsidR="009F7871" w:rsidRPr="009F7871" w:rsidRDefault="009F7871" w:rsidP="00BA7380">
            <w:pPr>
              <w:spacing w:line="240" w:lineRule="auto"/>
              <w:jc w:val="center"/>
            </w:pPr>
            <w:r w:rsidRPr="009F7871">
              <w:t>4.87</w:t>
            </w:r>
          </w:p>
        </w:tc>
        <w:tc>
          <w:tcPr>
            <w:tcW w:w="1939" w:type="dxa"/>
            <w:noWrap/>
            <w:hideMark/>
          </w:tcPr>
          <w:p w14:paraId="2A171E0D" w14:textId="77777777" w:rsidR="009F7871" w:rsidRPr="009F7871" w:rsidRDefault="009F7871" w:rsidP="00BA7380">
            <w:pPr>
              <w:spacing w:line="240" w:lineRule="auto"/>
              <w:jc w:val="center"/>
            </w:pPr>
            <w:r w:rsidRPr="009F7871">
              <w:t>5.57</w:t>
            </w:r>
          </w:p>
        </w:tc>
        <w:tc>
          <w:tcPr>
            <w:tcW w:w="921" w:type="dxa"/>
            <w:noWrap/>
            <w:hideMark/>
          </w:tcPr>
          <w:p w14:paraId="53E8ADFD" w14:textId="77777777" w:rsidR="009F7871" w:rsidRPr="009F7871" w:rsidRDefault="009F7871" w:rsidP="00BA7380">
            <w:pPr>
              <w:spacing w:line="240" w:lineRule="auto"/>
              <w:jc w:val="center"/>
            </w:pPr>
            <w:r w:rsidRPr="009F7871">
              <w:t>0.55</w:t>
            </w:r>
          </w:p>
        </w:tc>
        <w:tc>
          <w:tcPr>
            <w:tcW w:w="1916" w:type="dxa"/>
            <w:noWrap/>
            <w:hideMark/>
          </w:tcPr>
          <w:p w14:paraId="2067B7E0" w14:textId="77777777" w:rsidR="009F7871" w:rsidRPr="009F7871" w:rsidRDefault="009F7871" w:rsidP="00BA7380">
            <w:pPr>
              <w:spacing w:line="240" w:lineRule="auto"/>
              <w:jc w:val="center"/>
            </w:pPr>
            <w:r w:rsidRPr="009F7871">
              <w:t>401.62</w:t>
            </w:r>
          </w:p>
        </w:tc>
      </w:tr>
      <w:tr w:rsidR="009F7871" w:rsidRPr="009F7871" w14:paraId="46D710E9" w14:textId="77777777" w:rsidTr="00004A40">
        <w:trPr>
          <w:trHeight w:val="288"/>
        </w:trPr>
        <w:tc>
          <w:tcPr>
            <w:tcW w:w="887" w:type="dxa"/>
            <w:noWrap/>
            <w:hideMark/>
          </w:tcPr>
          <w:p w14:paraId="68BA1C0B" w14:textId="77777777" w:rsidR="009F7871" w:rsidRPr="009F7871" w:rsidRDefault="009F7871" w:rsidP="00BA7380">
            <w:pPr>
              <w:spacing w:line="240" w:lineRule="auto"/>
              <w:jc w:val="center"/>
            </w:pPr>
            <w:r w:rsidRPr="009F7871">
              <w:t>2021</w:t>
            </w:r>
          </w:p>
        </w:tc>
        <w:tc>
          <w:tcPr>
            <w:tcW w:w="887" w:type="dxa"/>
            <w:noWrap/>
            <w:hideMark/>
          </w:tcPr>
          <w:p w14:paraId="46D2B4C0" w14:textId="77777777" w:rsidR="009F7871" w:rsidRPr="009F7871" w:rsidRDefault="009F7871" w:rsidP="00BA7380">
            <w:pPr>
              <w:spacing w:line="240" w:lineRule="auto"/>
              <w:jc w:val="center"/>
            </w:pPr>
            <w:r w:rsidRPr="009F7871">
              <w:t>1</w:t>
            </w:r>
          </w:p>
        </w:tc>
        <w:tc>
          <w:tcPr>
            <w:tcW w:w="887" w:type="dxa"/>
            <w:noWrap/>
            <w:hideMark/>
          </w:tcPr>
          <w:p w14:paraId="1C6D1307" w14:textId="77777777" w:rsidR="009F7871" w:rsidRPr="009F7871" w:rsidRDefault="009F7871" w:rsidP="00BA7380">
            <w:pPr>
              <w:spacing w:line="240" w:lineRule="auto"/>
              <w:jc w:val="center"/>
            </w:pPr>
            <w:r w:rsidRPr="009F7871">
              <w:t>4</w:t>
            </w:r>
          </w:p>
        </w:tc>
        <w:tc>
          <w:tcPr>
            <w:tcW w:w="1923" w:type="dxa"/>
            <w:noWrap/>
            <w:hideMark/>
          </w:tcPr>
          <w:p w14:paraId="1F7FAEE3" w14:textId="77777777" w:rsidR="009F7871" w:rsidRPr="009F7871" w:rsidRDefault="009F7871" w:rsidP="00BA7380">
            <w:pPr>
              <w:spacing w:line="240" w:lineRule="auto"/>
              <w:jc w:val="center"/>
            </w:pPr>
            <w:r w:rsidRPr="009F7871">
              <w:t>5.59</w:t>
            </w:r>
          </w:p>
        </w:tc>
        <w:tc>
          <w:tcPr>
            <w:tcW w:w="1939" w:type="dxa"/>
            <w:noWrap/>
            <w:hideMark/>
          </w:tcPr>
          <w:p w14:paraId="00650EEA" w14:textId="77777777" w:rsidR="009F7871" w:rsidRPr="009F7871" w:rsidRDefault="009F7871" w:rsidP="00BA7380">
            <w:pPr>
              <w:spacing w:line="240" w:lineRule="auto"/>
              <w:jc w:val="center"/>
            </w:pPr>
            <w:r w:rsidRPr="009F7871">
              <w:t>5.83</w:t>
            </w:r>
          </w:p>
        </w:tc>
        <w:tc>
          <w:tcPr>
            <w:tcW w:w="921" w:type="dxa"/>
            <w:noWrap/>
            <w:hideMark/>
          </w:tcPr>
          <w:p w14:paraId="3FF9CF52" w14:textId="77777777" w:rsidR="009F7871" w:rsidRPr="009F7871" w:rsidRDefault="009F7871" w:rsidP="00BA7380">
            <w:pPr>
              <w:spacing w:line="240" w:lineRule="auto"/>
              <w:jc w:val="center"/>
            </w:pPr>
            <w:r w:rsidRPr="009F7871">
              <w:t>0.63</w:t>
            </w:r>
          </w:p>
        </w:tc>
        <w:tc>
          <w:tcPr>
            <w:tcW w:w="1916" w:type="dxa"/>
            <w:noWrap/>
            <w:hideMark/>
          </w:tcPr>
          <w:p w14:paraId="6D934BFD" w14:textId="77777777" w:rsidR="009F7871" w:rsidRPr="009F7871" w:rsidRDefault="009F7871" w:rsidP="00BA7380">
            <w:pPr>
              <w:spacing w:line="240" w:lineRule="auto"/>
              <w:jc w:val="center"/>
            </w:pPr>
            <w:r w:rsidRPr="009F7871">
              <w:t>380.82</w:t>
            </w:r>
          </w:p>
        </w:tc>
      </w:tr>
      <w:tr w:rsidR="009F7871" w:rsidRPr="009F7871" w14:paraId="16EB26F7" w14:textId="77777777" w:rsidTr="00004A40">
        <w:trPr>
          <w:trHeight w:val="288"/>
        </w:trPr>
        <w:tc>
          <w:tcPr>
            <w:tcW w:w="887" w:type="dxa"/>
            <w:noWrap/>
            <w:hideMark/>
          </w:tcPr>
          <w:p w14:paraId="43B098FB" w14:textId="77777777" w:rsidR="009F7871" w:rsidRPr="009F7871" w:rsidRDefault="009F7871" w:rsidP="00BA7380">
            <w:pPr>
              <w:spacing w:line="240" w:lineRule="auto"/>
              <w:jc w:val="center"/>
            </w:pPr>
            <w:r w:rsidRPr="009F7871">
              <w:t>2021</w:t>
            </w:r>
          </w:p>
        </w:tc>
        <w:tc>
          <w:tcPr>
            <w:tcW w:w="887" w:type="dxa"/>
            <w:noWrap/>
            <w:hideMark/>
          </w:tcPr>
          <w:p w14:paraId="68E9A2F5" w14:textId="77777777" w:rsidR="009F7871" w:rsidRPr="009F7871" w:rsidRDefault="009F7871" w:rsidP="00BA7380">
            <w:pPr>
              <w:spacing w:line="240" w:lineRule="auto"/>
              <w:jc w:val="center"/>
            </w:pPr>
            <w:r w:rsidRPr="009F7871">
              <w:t>1</w:t>
            </w:r>
          </w:p>
        </w:tc>
        <w:tc>
          <w:tcPr>
            <w:tcW w:w="887" w:type="dxa"/>
            <w:noWrap/>
            <w:hideMark/>
          </w:tcPr>
          <w:p w14:paraId="661D7FAC" w14:textId="77777777" w:rsidR="009F7871" w:rsidRPr="009F7871" w:rsidRDefault="009F7871" w:rsidP="00BA7380">
            <w:pPr>
              <w:spacing w:line="240" w:lineRule="auto"/>
              <w:jc w:val="center"/>
            </w:pPr>
            <w:r w:rsidRPr="009F7871">
              <w:t>5</w:t>
            </w:r>
          </w:p>
        </w:tc>
        <w:tc>
          <w:tcPr>
            <w:tcW w:w="1923" w:type="dxa"/>
            <w:noWrap/>
            <w:hideMark/>
          </w:tcPr>
          <w:p w14:paraId="14B7CE31" w14:textId="77777777" w:rsidR="009F7871" w:rsidRPr="009F7871" w:rsidRDefault="009F7871" w:rsidP="00BA7380">
            <w:pPr>
              <w:spacing w:line="240" w:lineRule="auto"/>
              <w:jc w:val="center"/>
            </w:pPr>
            <w:r w:rsidRPr="009F7871">
              <w:t>5.72</w:t>
            </w:r>
          </w:p>
        </w:tc>
        <w:tc>
          <w:tcPr>
            <w:tcW w:w="1939" w:type="dxa"/>
            <w:noWrap/>
            <w:hideMark/>
          </w:tcPr>
          <w:p w14:paraId="6A6DE612" w14:textId="77777777" w:rsidR="009F7871" w:rsidRPr="009F7871" w:rsidRDefault="009F7871" w:rsidP="00BA7380">
            <w:pPr>
              <w:spacing w:line="240" w:lineRule="auto"/>
              <w:jc w:val="center"/>
            </w:pPr>
            <w:r w:rsidRPr="009F7871">
              <w:t>5.95</w:t>
            </w:r>
          </w:p>
        </w:tc>
        <w:tc>
          <w:tcPr>
            <w:tcW w:w="921" w:type="dxa"/>
            <w:noWrap/>
            <w:hideMark/>
          </w:tcPr>
          <w:p w14:paraId="15202A31" w14:textId="77777777" w:rsidR="009F7871" w:rsidRPr="009F7871" w:rsidRDefault="009F7871" w:rsidP="00BA7380">
            <w:pPr>
              <w:spacing w:line="240" w:lineRule="auto"/>
              <w:jc w:val="center"/>
            </w:pPr>
            <w:r w:rsidRPr="009F7871">
              <w:t>0.64</w:t>
            </w:r>
          </w:p>
        </w:tc>
        <w:tc>
          <w:tcPr>
            <w:tcW w:w="1916" w:type="dxa"/>
            <w:noWrap/>
            <w:hideMark/>
          </w:tcPr>
          <w:p w14:paraId="0DFF51A0" w14:textId="77777777" w:rsidR="009F7871" w:rsidRPr="009F7871" w:rsidRDefault="009F7871" w:rsidP="00BA7380">
            <w:pPr>
              <w:spacing w:line="240" w:lineRule="auto"/>
              <w:jc w:val="center"/>
            </w:pPr>
            <w:r w:rsidRPr="009F7871">
              <w:t>370.19</w:t>
            </w:r>
          </w:p>
        </w:tc>
      </w:tr>
      <w:tr w:rsidR="009F7871" w:rsidRPr="009F7871" w14:paraId="4FC28BEB" w14:textId="77777777" w:rsidTr="00004A40">
        <w:trPr>
          <w:trHeight w:val="288"/>
        </w:trPr>
        <w:tc>
          <w:tcPr>
            <w:tcW w:w="887" w:type="dxa"/>
            <w:noWrap/>
            <w:hideMark/>
          </w:tcPr>
          <w:p w14:paraId="5642A247" w14:textId="77777777" w:rsidR="009F7871" w:rsidRPr="009F7871" w:rsidRDefault="009F7871" w:rsidP="00BA7380">
            <w:pPr>
              <w:spacing w:line="240" w:lineRule="auto"/>
              <w:jc w:val="center"/>
            </w:pPr>
            <w:r w:rsidRPr="009F7871">
              <w:t>2021</w:t>
            </w:r>
          </w:p>
        </w:tc>
        <w:tc>
          <w:tcPr>
            <w:tcW w:w="887" w:type="dxa"/>
            <w:noWrap/>
            <w:hideMark/>
          </w:tcPr>
          <w:p w14:paraId="555861BF" w14:textId="77777777" w:rsidR="009F7871" w:rsidRPr="009F7871" w:rsidRDefault="009F7871" w:rsidP="00BA7380">
            <w:pPr>
              <w:spacing w:line="240" w:lineRule="auto"/>
              <w:jc w:val="center"/>
            </w:pPr>
            <w:r w:rsidRPr="009F7871">
              <w:t>1</w:t>
            </w:r>
          </w:p>
        </w:tc>
        <w:tc>
          <w:tcPr>
            <w:tcW w:w="887" w:type="dxa"/>
            <w:noWrap/>
            <w:hideMark/>
          </w:tcPr>
          <w:p w14:paraId="3AAAC211" w14:textId="77777777" w:rsidR="009F7871" w:rsidRPr="009F7871" w:rsidRDefault="009F7871" w:rsidP="00BA7380">
            <w:pPr>
              <w:spacing w:line="240" w:lineRule="auto"/>
              <w:jc w:val="center"/>
            </w:pPr>
            <w:r w:rsidRPr="009F7871">
              <w:t>6</w:t>
            </w:r>
          </w:p>
        </w:tc>
        <w:tc>
          <w:tcPr>
            <w:tcW w:w="1923" w:type="dxa"/>
            <w:noWrap/>
            <w:hideMark/>
          </w:tcPr>
          <w:p w14:paraId="43E3CC4F" w14:textId="77777777" w:rsidR="009F7871" w:rsidRPr="009F7871" w:rsidRDefault="009F7871" w:rsidP="00BA7380">
            <w:pPr>
              <w:spacing w:line="240" w:lineRule="auto"/>
              <w:jc w:val="center"/>
            </w:pPr>
            <w:r w:rsidRPr="009F7871">
              <w:t>5.41</w:t>
            </w:r>
          </w:p>
        </w:tc>
        <w:tc>
          <w:tcPr>
            <w:tcW w:w="1939" w:type="dxa"/>
            <w:noWrap/>
            <w:hideMark/>
          </w:tcPr>
          <w:p w14:paraId="1521CD24" w14:textId="77777777" w:rsidR="009F7871" w:rsidRPr="009F7871" w:rsidRDefault="009F7871" w:rsidP="00BA7380">
            <w:pPr>
              <w:spacing w:line="240" w:lineRule="auto"/>
              <w:jc w:val="center"/>
            </w:pPr>
            <w:r w:rsidRPr="009F7871">
              <w:t>5.57</w:t>
            </w:r>
          </w:p>
        </w:tc>
        <w:tc>
          <w:tcPr>
            <w:tcW w:w="921" w:type="dxa"/>
            <w:noWrap/>
            <w:hideMark/>
          </w:tcPr>
          <w:p w14:paraId="4CC79AC5" w14:textId="77777777" w:rsidR="009F7871" w:rsidRPr="009F7871" w:rsidRDefault="009F7871" w:rsidP="00BA7380">
            <w:pPr>
              <w:spacing w:line="240" w:lineRule="auto"/>
              <w:jc w:val="center"/>
            </w:pPr>
            <w:r w:rsidRPr="009F7871">
              <w:t>0.61</w:t>
            </w:r>
          </w:p>
        </w:tc>
        <w:tc>
          <w:tcPr>
            <w:tcW w:w="1916" w:type="dxa"/>
            <w:noWrap/>
            <w:hideMark/>
          </w:tcPr>
          <w:p w14:paraId="2089565A" w14:textId="77777777" w:rsidR="009F7871" w:rsidRPr="009F7871" w:rsidRDefault="009F7871" w:rsidP="00BA7380">
            <w:pPr>
              <w:spacing w:line="240" w:lineRule="auto"/>
              <w:jc w:val="center"/>
            </w:pPr>
            <w:r w:rsidRPr="009F7871">
              <w:t>392.1</w:t>
            </w:r>
          </w:p>
        </w:tc>
      </w:tr>
      <w:tr w:rsidR="009F7871" w:rsidRPr="009F7871" w14:paraId="1E7011A6" w14:textId="77777777" w:rsidTr="00004A40">
        <w:trPr>
          <w:trHeight w:val="288"/>
        </w:trPr>
        <w:tc>
          <w:tcPr>
            <w:tcW w:w="887" w:type="dxa"/>
            <w:noWrap/>
            <w:hideMark/>
          </w:tcPr>
          <w:p w14:paraId="757E8C50" w14:textId="77777777" w:rsidR="009F7871" w:rsidRPr="009F7871" w:rsidRDefault="009F7871" w:rsidP="00BA7380">
            <w:pPr>
              <w:spacing w:line="240" w:lineRule="auto"/>
              <w:jc w:val="center"/>
            </w:pPr>
            <w:r w:rsidRPr="009F7871">
              <w:t>2021</w:t>
            </w:r>
          </w:p>
        </w:tc>
        <w:tc>
          <w:tcPr>
            <w:tcW w:w="887" w:type="dxa"/>
            <w:noWrap/>
            <w:hideMark/>
          </w:tcPr>
          <w:p w14:paraId="12D9C004" w14:textId="77777777" w:rsidR="009F7871" w:rsidRPr="009F7871" w:rsidRDefault="009F7871" w:rsidP="00BA7380">
            <w:pPr>
              <w:spacing w:line="240" w:lineRule="auto"/>
              <w:jc w:val="center"/>
            </w:pPr>
            <w:r w:rsidRPr="009F7871">
              <w:t>1</w:t>
            </w:r>
          </w:p>
        </w:tc>
        <w:tc>
          <w:tcPr>
            <w:tcW w:w="887" w:type="dxa"/>
            <w:noWrap/>
            <w:hideMark/>
          </w:tcPr>
          <w:p w14:paraId="46A8231C" w14:textId="77777777" w:rsidR="009F7871" w:rsidRPr="009F7871" w:rsidRDefault="009F7871" w:rsidP="00BA7380">
            <w:pPr>
              <w:spacing w:line="240" w:lineRule="auto"/>
              <w:jc w:val="center"/>
            </w:pPr>
            <w:r w:rsidRPr="009F7871">
              <w:t>7</w:t>
            </w:r>
          </w:p>
        </w:tc>
        <w:tc>
          <w:tcPr>
            <w:tcW w:w="1923" w:type="dxa"/>
            <w:noWrap/>
            <w:hideMark/>
          </w:tcPr>
          <w:p w14:paraId="3B57B1DA" w14:textId="77777777" w:rsidR="009F7871" w:rsidRPr="009F7871" w:rsidRDefault="009F7871" w:rsidP="00BA7380">
            <w:pPr>
              <w:spacing w:line="240" w:lineRule="auto"/>
              <w:jc w:val="center"/>
            </w:pPr>
            <w:r w:rsidRPr="009F7871">
              <w:t>5.39</w:t>
            </w:r>
          </w:p>
        </w:tc>
        <w:tc>
          <w:tcPr>
            <w:tcW w:w="1939" w:type="dxa"/>
            <w:noWrap/>
            <w:hideMark/>
          </w:tcPr>
          <w:p w14:paraId="2E4ED961" w14:textId="77777777" w:rsidR="009F7871" w:rsidRPr="009F7871" w:rsidRDefault="009F7871" w:rsidP="00BA7380">
            <w:pPr>
              <w:spacing w:line="240" w:lineRule="auto"/>
              <w:jc w:val="center"/>
            </w:pPr>
            <w:r w:rsidRPr="009F7871">
              <w:t>5.82</w:t>
            </w:r>
          </w:p>
        </w:tc>
        <w:tc>
          <w:tcPr>
            <w:tcW w:w="921" w:type="dxa"/>
            <w:noWrap/>
            <w:hideMark/>
          </w:tcPr>
          <w:p w14:paraId="21F62845" w14:textId="77777777" w:rsidR="009F7871" w:rsidRPr="009F7871" w:rsidRDefault="009F7871" w:rsidP="00BA7380">
            <w:pPr>
              <w:spacing w:line="240" w:lineRule="auto"/>
              <w:jc w:val="center"/>
            </w:pPr>
            <w:r w:rsidRPr="009F7871">
              <w:t>0.6</w:t>
            </w:r>
          </w:p>
        </w:tc>
        <w:tc>
          <w:tcPr>
            <w:tcW w:w="1916" w:type="dxa"/>
            <w:noWrap/>
            <w:hideMark/>
          </w:tcPr>
          <w:p w14:paraId="7B73A439" w14:textId="77777777" w:rsidR="009F7871" w:rsidRPr="009F7871" w:rsidRDefault="009F7871" w:rsidP="00BA7380">
            <w:pPr>
              <w:spacing w:line="240" w:lineRule="auto"/>
              <w:jc w:val="center"/>
            </w:pPr>
            <w:r w:rsidRPr="009F7871">
              <w:t>388.24</w:t>
            </w:r>
          </w:p>
        </w:tc>
      </w:tr>
      <w:tr w:rsidR="009F7871" w:rsidRPr="009F7871" w14:paraId="7FC0C2EA" w14:textId="77777777" w:rsidTr="00004A40">
        <w:trPr>
          <w:trHeight w:val="288"/>
        </w:trPr>
        <w:tc>
          <w:tcPr>
            <w:tcW w:w="887" w:type="dxa"/>
            <w:noWrap/>
            <w:hideMark/>
          </w:tcPr>
          <w:p w14:paraId="4C61D95B" w14:textId="77777777" w:rsidR="009F7871" w:rsidRPr="009F7871" w:rsidRDefault="009F7871" w:rsidP="00BA7380">
            <w:pPr>
              <w:spacing w:line="240" w:lineRule="auto"/>
              <w:jc w:val="center"/>
            </w:pPr>
            <w:r w:rsidRPr="009F7871">
              <w:t>2021</w:t>
            </w:r>
          </w:p>
        </w:tc>
        <w:tc>
          <w:tcPr>
            <w:tcW w:w="887" w:type="dxa"/>
            <w:noWrap/>
            <w:hideMark/>
          </w:tcPr>
          <w:p w14:paraId="60DC5FE8" w14:textId="77777777" w:rsidR="009F7871" w:rsidRPr="009F7871" w:rsidRDefault="009F7871" w:rsidP="00BA7380">
            <w:pPr>
              <w:spacing w:line="240" w:lineRule="auto"/>
              <w:jc w:val="center"/>
            </w:pPr>
            <w:r w:rsidRPr="009F7871">
              <w:t>1</w:t>
            </w:r>
          </w:p>
        </w:tc>
        <w:tc>
          <w:tcPr>
            <w:tcW w:w="887" w:type="dxa"/>
            <w:noWrap/>
            <w:hideMark/>
          </w:tcPr>
          <w:p w14:paraId="01583E0C" w14:textId="77777777" w:rsidR="009F7871" w:rsidRPr="009F7871" w:rsidRDefault="009F7871" w:rsidP="00BA7380">
            <w:pPr>
              <w:spacing w:line="240" w:lineRule="auto"/>
              <w:jc w:val="center"/>
            </w:pPr>
            <w:r w:rsidRPr="009F7871">
              <w:t>8</w:t>
            </w:r>
          </w:p>
        </w:tc>
        <w:tc>
          <w:tcPr>
            <w:tcW w:w="1923" w:type="dxa"/>
            <w:noWrap/>
            <w:hideMark/>
          </w:tcPr>
          <w:p w14:paraId="31510204" w14:textId="77777777" w:rsidR="009F7871" w:rsidRPr="009F7871" w:rsidRDefault="009F7871" w:rsidP="00BA7380">
            <w:pPr>
              <w:spacing w:line="240" w:lineRule="auto"/>
              <w:jc w:val="center"/>
            </w:pPr>
            <w:r w:rsidRPr="009F7871">
              <w:t>5.46</w:t>
            </w:r>
          </w:p>
        </w:tc>
        <w:tc>
          <w:tcPr>
            <w:tcW w:w="1939" w:type="dxa"/>
            <w:noWrap/>
            <w:hideMark/>
          </w:tcPr>
          <w:p w14:paraId="0BC71B04" w14:textId="77777777" w:rsidR="009F7871" w:rsidRPr="009F7871" w:rsidRDefault="009F7871" w:rsidP="00BA7380">
            <w:pPr>
              <w:spacing w:line="240" w:lineRule="auto"/>
              <w:jc w:val="center"/>
            </w:pPr>
            <w:r w:rsidRPr="009F7871">
              <w:t>5.83</w:t>
            </w:r>
          </w:p>
        </w:tc>
        <w:tc>
          <w:tcPr>
            <w:tcW w:w="921" w:type="dxa"/>
            <w:noWrap/>
            <w:hideMark/>
          </w:tcPr>
          <w:p w14:paraId="706412F9" w14:textId="77777777" w:rsidR="009F7871" w:rsidRPr="009F7871" w:rsidRDefault="009F7871" w:rsidP="00BA7380">
            <w:pPr>
              <w:spacing w:line="240" w:lineRule="auto"/>
              <w:jc w:val="center"/>
            </w:pPr>
            <w:r w:rsidRPr="009F7871">
              <w:t>0.61</w:t>
            </w:r>
          </w:p>
        </w:tc>
        <w:tc>
          <w:tcPr>
            <w:tcW w:w="1916" w:type="dxa"/>
            <w:noWrap/>
            <w:hideMark/>
          </w:tcPr>
          <w:p w14:paraId="4A38CA96" w14:textId="77777777" w:rsidR="009F7871" w:rsidRPr="009F7871" w:rsidRDefault="009F7871" w:rsidP="00BA7380">
            <w:pPr>
              <w:spacing w:line="240" w:lineRule="auto"/>
              <w:jc w:val="center"/>
            </w:pPr>
            <w:r w:rsidRPr="009F7871">
              <w:t>388.34</w:t>
            </w:r>
          </w:p>
        </w:tc>
      </w:tr>
      <w:tr w:rsidR="009F7871" w:rsidRPr="009F7871" w14:paraId="0F0424F7" w14:textId="77777777" w:rsidTr="00004A40">
        <w:trPr>
          <w:trHeight w:val="288"/>
        </w:trPr>
        <w:tc>
          <w:tcPr>
            <w:tcW w:w="887" w:type="dxa"/>
            <w:noWrap/>
            <w:hideMark/>
          </w:tcPr>
          <w:p w14:paraId="210296D4" w14:textId="77777777" w:rsidR="009F7871" w:rsidRPr="009F7871" w:rsidRDefault="009F7871" w:rsidP="00BA7380">
            <w:pPr>
              <w:spacing w:line="240" w:lineRule="auto"/>
              <w:jc w:val="center"/>
            </w:pPr>
            <w:r w:rsidRPr="009F7871">
              <w:t>2021</w:t>
            </w:r>
          </w:p>
        </w:tc>
        <w:tc>
          <w:tcPr>
            <w:tcW w:w="887" w:type="dxa"/>
            <w:noWrap/>
            <w:hideMark/>
          </w:tcPr>
          <w:p w14:paraId="7B60F464" w14:textId="77777777" w:rsidR="009F7871" w:rsidRPr="009F7871" w:rsidRDefault="009F7871" w:rsidP="00BA7380">
            <w:pPr>
              <w:spacing w:line="240" w:lineRule="auto"/>
              <w:jc w:val="center"/>
            </w:pPr>
            <w:r w:rsidRPr="009F7871">
              <w:t>1</w:t>
            </w:r>
          </w:p>
        </w:tc>
        <w:tc>
          <w:tcPr>
            <w:tcW w:w="887" w:type="dxa"/>
            <w:noWrap/>
            <w:hideMark/>
          </w:tcPr>
          <w:p w14:paraId="518C9511" w14:textId="77777777" w:rsidR="009F7871" w:rsidRPr="009F7871" w:rsidRDefault="009F7871" w:rsidP="00BA7380">
            <w:pPr>
              <w:spacing w:line="240" w:lineRule="auto"/>
              <w:jc w:val="center"/>
            </w:pPr>
            <w:r w:rsidRPr="009F7871">
              <w:t>9</w:t>
            </w:r>
          </w:p>
        </w:tc>
        <w:tc>
          <w:tcPr>
            <w:tcW w:w="1923" w:type="dxa"/>
            <w:noWrap/>
            <w:hideMark/>
          </w:tcPr>
          <w:p w14:paraId="193F8704" w14:textId="77777777" w:rsidR="009F7871" w:rsidRPr="009F7871" w:rsidRDefault="009F7871" w:rsidP="00BA7380">
            <w:pPr>
              <w:spacing w:line="240" w:lineRule="auto"/>
              <w:jc w:val="center"/>
            </w:pPr>
            <w:r w:rsidRPr="009F7871">
              <w:t>5.99</w:t>
            </w:r>
          </w:p>
        </w:tc>
        <w:tc>
          <w:tcPr>
            <w:tcW w:w="1939" w:type="dxa"/>
            <w:noWrap/>
            <w:hideMark/>
          </w:tcPr>
          <w:p w14:paraId="352B7620" w14:textId="77777777" w:rsidR="009F7871" w:rsidRPr="009F7871" w:rsidRDefault="009F7871" w:rsidP="00BA7380">
            <w:pPr>
              <w:spacing w:line="240" w:lineRule="auto"/>
              <w:jc w:val="center"/>
            </w:pPr>
            <w:r w:rsidRPr="009F7871">
              <w:t>6.05</w:t>
            </w:r>
          </w:p>
        </w:tc>
        <w:tc>
          <w:tcPr>
            <w:tcW w:w="921" w:type="dxa"/>
            <w:noWrap/>
            <w:hideMark/>
          </w:tcPr>
          <w:p w14:paraId="5F5F8303" w14:textId="77777777" w:rsidR="009F7871" w:rsidRPr="009F7871" w:rsidRDefault="009F7871" w:rsidP="00BA7380">
            <w:pPr>
              <w:spacing w:line="240" w:lineRule="auto"/>
              <w:jc w:val="center"/>
            </w:pPr>
            <w:r w:rsidRPr="009F7871">
              <w:t>0.67</w:t>
            </w:r>
          </w:p>
        </w:tc>
        <w:tc>
          <w:tcPr>
            <w:tcW w:w="1916" w:type="dxa"/>
            <w:noWrap/>
            <w:hideMark/>
          </w:tcPr>
          <w:p w14:paraId="6E31FEAD" w14:textId="77777777" w:rsidR="009F7871" w:rsidRPr="009F7871" w:rsidRDefault="009F7871" w:rsidP="00BA7380">
            <w:pPr>
              <w:spacing w:line="240" w:lineRule="auto"/>
              <w:jc w:val="center"/>
            </w:pPr>
            <w:r w:rsidRPr="009F7871">
              <w:t>382.74</w:t>
            </w:r>
          </w:p>
        </w:tc>
      </w:tr>
      <w:tr w:rsidR="009F7871" w:rsidRPr="009F7871" w14:paraId="241DC289" w14:textId="77777777" w:rsidTr="00004A40">
        <w:trPr>
          <w:trHeight w:val="288"/>
        </w:trPr>
        <w:tc>
          <w:tcPr>
            <w:tcW w:w="887" w:type="dxa"/>
            <w:noWrap/>
            <w:hideMark/>
          </w:tcPr>
          <w:p w14:paraId="2D0AE3C9" w14:textId="77777777" w:rsidR="009F7871" w:rsidRPr="009F7871" w:rsidRDefault="009F7871" w:rsidP="00BA7380">
            <w:pPr>
              <w:spacing w:line="240" w:lineRule="auto"/>
              <w:jc w:val="center"/>
            </w:pPr>
            <w:r w:rsidRPr="009F7871">
              <w:t>2021</w:t>
            </w:r>
          </w:p>
        </w:tc>
        <w:tc>
          <w:tcPr>
            <w:tcW w:w="887" w:type="dxa"/>
            <w:noWrap/>
            <w:hideMark/>
          </w:tcPr>
          <w:p w14:paraId="15D15782" w14:textId="77777777" w:rsidR="009F7871" w:rsidRPr="009F7871" w:rsidRDefault="009F7871" w:rsidP="00BA7380">
            <w:pPr>
              <w:spacing w:line="240" w:lineRule="auto"/>
              <w:jc w:val="center"/>
            </w:pPr>
            <w:r w:rsidRPr="009F7871">
              <w:t>1</w:t>
            </w:r>
          </w:p>
        </w:tc>
        <w:tc>
          <w:tcPr>
            <w:tcW w:w="887" w:type="dxa"/>
            <w:noWrap/>
            <w:hideMark/>
          </w:tcPr>
          <w:p w14:paraId="1B16E6A1" w14:textId="77777777" w:rsidR="009F7871" w:rsidRPr="009F7871" w:rsidRDefault="009F7871" w:rsidP="00BA7380">
            <w:pPr>
              <w:spacing w:line="240" w:lineRule="auto"/>
              <w:jc w:val="center"/>
            </w:pPr>
            <w:r w:rsidRPr="009F7871">
              <w:t>10</w:t>
            </w:r>
          </w:p>
        </w:tc>
        <w:tc>
          <w:tcPr>
            <w:tcW w:w="1923" w:type="dxa"/>
            <w:noWrap/>
            <w:hideMark/>
          </w:tcPr>
          <w:p w14:paraId="589A5E24" w14:textId="77777777" w:rsidR="009F7871" w:rsidRPr="009F7871" w:rsidRDefault="009F7871" w:rsidP="00BA7380">
            <w:pPr>
              <w:spacing w:line="240" w:lineRule="auto"/>
              <w:jc w:val="center"/>
            </w:pPr>
            <w:r w:rsidRPr="009F7871">
              <w:t>5.58</w:t>
            </w:r>
          </w:p>
        </w:tc>
        <w:tc>
          <w:tcPr>
            <w:tcW w:w="1939" w:type="dxa"/>
            <w:noWrap/>
            <w:hideMark/>
          </w:tcPr>
          <w:p w14:paraId="351A7900" w14:textId="77777777" w:rsidR="009F7871" w:rsidRPr="009F7871" w:rsidRDefault="009F7871" w:rsidP="00BA7380">
            <w:pPr>
              <w:spacing w:line="240" w:lineRule="auto"/>
              <w:jc w:val="center"/>
            </w:pPr>
            <w:r w:rsidRPr="009F7871">
              <w:t>5.91</w:t>
            </w:r>
          </w:p>
        </w:tc>
        <w:tc>
          <w:tcPr>
            <w:tcW w:w="921" w:type="dxa"/>
            <w:noWrap/>
            <w:hideMark/>
          </w:tcPr>
          <w:p w14:paraId="53A0BA62" w14:textId="77777777" w:rsidR="009F7871" w:rsidRPr="009F7871" w:rsidRDefault="009F7871" w:rsidP="00BA7380">
            <w:pPr>
              <w:spacing w:line="240" w:lineRule="auto"/>
              <w:jc w:val="center"/>
            </w:pPr>
            <w:r w:rsidRPr="009F7871">
              <w:t>0.62</w:t>
            </w:r>
          </w:p>
        </w:tc>
        <w:tc>
          <w:tcPr>
            <w:tcW w:w="1916" w:type="dxa"/>
            <w:noWrap/>
            <w:hideMark/>
          </w:tcPr>
          <w:p w14:paraId="581B2315" w14:textId="77777777" w:rsidR="009F7871" w:rsidRPr="009F7871" w:rsidRDefault="009F7871" w:rsidP="00BA7380">
            <w:pPr>
              <w:spacing w:line="240" w:lineRule="auto"/>
              <w:jc w:val="center"/>
            </w:pPr>
            <w:r w:rsidRPr="009F7871">
              <w:t>382.7</w:t>
            </w:r>
          </w:p>
        </w:tc>
      </w:tr>
      <w:tr w:rsidR="009F7871" w:rsidRPr="009F7871" w14:paraId="077522B7" w14:textId="77777777" w:rsidTr="00004A40">
        <w:trPr>
          <w:trHeight w:val="288"/>
        </w:trPr>
        <w:tc>
          <w:tcPr>
            <w:tcW w:w="887" w:type="dxa"/>
            <w:noWrap/>
            <w:hideMark/>
          </w:tcPr>
          <w:p w14:paraId="24BCB672" w14:textId="77777777" w:rsidR="009F7871" w:rsidRPr="009F7871" w:rsidRDefault="009F7871" w:rsidP="00BA7380">
            <w:pPr>
              <w:spacing w:line="240" w:lineRule="auto"/>
              <w:jc w:val="center"/>
            </w:pPr>
            <w:r w:rsidRPr="009F7871">
              <w:t>2021</w:t>
            </w:r>
          </w:p>
        </w:tc>
        <w:tc>
          <w:tcPr>
            <w:tcW w:w="887" w:type="dxa"/>
            <w:noWrap/>
            <w:hideMark/>
          </w:tcPr>
          <w:p w14:paraId="76B0017D" w14:textId="77777777" w:rsidR="009F7871" w:rsidRPr="009F7871" w:rsidRDefault="009F7871" w:rsidP="00BA7380">
            <w:pPr>
              <w:spacing w:line="240" w:lineRule="auto"/>
              <w:jc w:val="center"/>
            </w:pPr>
            <w:r w:rsidRPr="009F7871">
              <w:t>1</w:t>
            </w:r>
          </w:p>
        </w:tc>
        <w:tc>
          <w:tcPr>
            <w:tcW w:w="887" w:type="dxa"/>
            <w:noWrap/>
            <w:hideMark/>
          </w:tcPr>
          <w:p w14:paraId="5935FC97" w14:textId="77777777" w:rsidR="009F7871" w:rsidRPr="009F7871" w:rsidRDefault="009F7871" w:rsidP="00BA7380">
            <w:pPr>
              <w:spacing w:line="240" w:lineRule="auto"/>
              <w:jc w:val="center"/>
            </w:pPr>
            <w:r w:rsidRPr="009F7871">
              <w:t>11</w:t>
            </w:r>
          </w:p>
        </w:tc>
        <w:tc>
          <w:tcPr>
            <w:tcW w:w="1923" w:type="dxa"/>
            <w:noWrap/>
            <w:hideMark/>
          </w:tcPr>
          <w:p w14:paraId="07280127" w14:textId="77777777" w:rsidR="009F7871" w:rsidRPr="009F7871" w:rsidRDefault="009F7871" w:rsidP="00BA7380">
            <w:pPr>
              <w:spacing w:line="240" w:lineRule="auto"/>
              <w:jc w:val="center"/>
            </w:pPr>
            <w:r w:rsidRPr="009F7871">
              <w:t>5.76</w:t>
            </w:r>
          </w:p>
        </w:tc>
        <w:tc>
          <w:tcPr>
            <w:tcW w:w="1939" w:type="dxa"/>
            <w:noWrap/>
            <w:hideMark/>
          </w:tcPr>
          <w:p w14:paraId="24C0F5E8" w14:textId="77777777" w:rsidR="009F7871" w:rsidRPr="009F7871" w:rsidRDefault="009F7871" w:rsidP="00BA7380">
            <w:pPr>
              <w:spacing w:line="240" w:lineRule="auto"/>
              <w:jc w:val="center"/>
            </w:pPr>
            <w:r w:rsidRPr="009F7871">
              <w:t>5.87</w:t>
            </w:r>
          </w:p>
        </w:tc>
        <w:tc>
          <w:tcPr>
            <w:tcW w:w="921" w:type="dxa"/>
            <w:noWrap/>
            <w:hideMark/>
          </w:tcPr>
          <w:p w14:paraId="19A69CBA" w14:textId="77777777" w:rsidR="009F7871" w:rsidRPr="009F7871" w:rsidRDefault="009F7871" w:rsidP="00BA7380">
            <w:pPr>
              <w:spacing w:line="240" w:lineRule="auto"/>
              <w:jc w:val="center"/>
            </w:pPr>
            <w:r w:rsidRPr="009F7871">
              <w:t>0.64</w:t>
            </w:r>
          </w:p>
        </w:tc>
        <w:tc>
          <w:tcPr>
            <w:tcW w:w="1916" w:type="dxa"/>
            <w:noWrap/>
            <w:hideMark/>
          </w:tcPr>
          <w:p w14:paraId="27D73E13" w14:textId="77777777" w:rsidR="009F7871" w:rsidRPr="009F7871" w:rsidRDefault="009F7871" w:rsidP="00BA7380">
            <w:pPr>
              <w:spacing w:line="240" w:lineRule="auto"/>
              <w:jc w:val="center"/>
            </w:pPr>
            <w:r w:rsidRPr="009F7871">
              <w:t>388.99</w:t>
            </w:r>
          </w:p>
        </w:tc>
      </w:tr>
      <w:tr w:rsidR="009F7871" w:rsidRPr="009F7871" w14:paraId="4B4E2B8F" w14:textId="77777777" w:rsidTr="00004A40">
        <w:trPr>
          <w:trHeight w:val="288"/>
        </w:trPr>
        <w:tc>
          <w:tcPr>
            <w:tcW w:w="887" w:type="dxa"/>
            <w:noWrap/>
            <w:hideMark/>
          </w:tcPr>
          <w:p w14:paraId="33C188B8" w14:textId="77777777" w:rsidR="009F7871" w:rsidRPr="009F7871" w:rsidRDefault="009F7871" w:rsidP="00BA7380">
            <w:pPr>
              <w:spacing w:line="240" w:lineRule="auto"/>
              <w:jc w:val="center"/>
            </w:pPr>
            <w:r w:rsidRPr="009F7871">
              <w:t>2021</w:t>
            </w:r>
          </w:p>
        </w:tc>
        <w:tc>
          <w:tcPr>
            <w:tcW w:w="887" w:type="dxa"/>
            <w:noWrap/>
            <w:hideMark/>
          </w:tcPr>
          <w:p w14:paraId="22A6C433" w14:textId="77777777" w:rsidR="009F7871" w:rsidRPr="009F7871" w:rsidRDefault="009F7871" w:rsidP="00BA7380">
            <w:pPr>
              <w:spacing w:line="240" w:lineRule="auto"/>
              <w:jc w:val="center"/>
            </w:pPr>
            <w:r w:rsidRPr="009F7871">
              <w:t>1</w:t>
            </w:r>
          </w:p>
        </w:tc>
        <w:tc>
          <w:tcPr>
            <w:tcW w:w="887" w:type="dxa"/>
            <w:noWrap/>
            <w:hideMark/>
          </w:tcPr>
          <w:p w14:paraId="72C1ABB2" w14:textId="77777777" w:rsidR="009F7871" w:rsidRPr="009F7871" w:rsidRDefault="009F7871" w:rsidP="00BA7380">
            <w:pPr>
              <w:spacing w:line="240" w:lineRule="auto"/>
              <w:jc w:val="center"/>
            </w:pPr>
            <w:r w:rsidRPr="009F7871">
              <w:t>12</w:t>
            </w:r>
          </w:p>
        </w:tc>
        <w:tc>
          <w:tcPr>
            <w:tcW w:w="1923" w:type="dxa"/>
            <w:noWrap/>
            <w:hideMark/>
          </w:tcPr>
          <w:p w14:paraId="0AE4BD55" w14:textId="77777777" w:rsidR="009F7871" w:rsidRPr="009F7871" w:rsidRDefault="009F7871" w:rsidP="00BA7380">
            <w:pPr>
              <w:spacing w:line="240" w:lineRule="auto"/>
              <w:jc w:val="center"/>
            </w:pPr>
            <w:r w:rsidRPr="009F7871">
              <w:t>5.77</w:t>
            </w:r>
          </w:p>
        </w:tc>
        <w:tc>
          <w:tcPr>
            <w:tcW w:w="1939" w:type="dxa"/>
            <w:noWrap/>
            <w:hideMark/>
          </w:tcPr>
          <w:p w14:paraId="04402E7D" w14:textId="77777777" w:rsidR="009F7871" w:rsidRPr="009F7871" w:rsidRDefault="009F7871" w:rsidP="00BA7380">
            <w:pPr>
              <w:spacing w:line="240" w:lineRule="auto"/>
              <w:jc w:val="center"/>
            </w:pPr>
            <w:r w:rsidRPr="009F7871">
              <w:t>5.85</w:t>
            </w:r>
          </w:p>
        </w:tc>
        <w:tc>
          <w:tcPr>
            <w:tcW w:w="921" w:type="dxa"/>
            <w:noWrap/>
            <w:hideMark/>
          </w:tcPr>
          <w:p w14:paraId="2D442543" w14:textId="77777777" w:rsidR="009F7871" w:rsidRPr="009F7871" w:rsidRDefault="009F7871" w:rsidP="00BA7380">
            <w:pPr>
              <w:spacing w:line="240" w:lineRule="auto"/>
              <w:jc w:val="center"/>
            </w:pPr>
            <w:r w:rsidRPr="009F7871">
              <w:t>0.64</w:t>
            </w:r>
          </w:p>
        </w:tc>
        <w:tc>
          <w:tcPr>
            <w:tcW w:w="1916" w:type="dxa"/>
            <w:noWrap/>
            <w:hideMark/>
          </w:tcPr>
          <w:p w14:paraId="2A56497E" w14:textId="77777777" w:rsidR="009F7871" w:rsidRPr="009F7871" w:rsidRDefault="009F7871" w:rsidP="00BA7380">
            <w:pPr>
              <w:spacing w:line="240" w:lineRule="auto"/>
              <w:jc w:val="center"/>
            </w:pPr>
            <w:r w:rsidRPr="009F7871">
              <w:t>375.21</w:t>
            </w:r>
          </w:p>
        </w:tc>
      </w:tr>
      <w:tr w:rsidR="009F7871" w:rsidRPr="009F7871" w14:paraId="04963370" w14:textId="77777777" w:rsidTr="00004A40">
        <w:trPr>
          <w:trHeight w:val="288"/>
        </w:trPr>
        <w:tc>
          <w:tcPr>
            <w:tcW w:w="887" w:type="dxa"/>
            <w:noWrap/>
            <w:hideMark/>
          </w:tcPr>
          <w:p w14:paraId="10E9DD0D" w14:textId="77777777" w:rsidR="009F7871" w:rsidRPr="009F7871" w:rsidRDefault="009F7871" w:rsidP="00BA7380">
            <w:pPr>
              <w:spacing w:line="240" w:lineRule="auto"/>
              <w:jc w:val="center"/>
            </w:pPr>
            <w:r w:rsidRPr="009F7871">
              <w:t>2021</w:t>
            </w:r>
          </w:p>
        </w:tc>
        <w:tc>
          <w:tcPr>
            <w:tcW w:w="887" w:type="dxa"/>
            <w:noWrap/>
            <w:hideMark/>
          </w:tcPr>
          <w:p w14:paraId="76D1F5DD" w14:textId="77777777" w:rsidR="009F7871" w:rsidRPr="009F7871" w:rsidRDefault="009F7871" w:rsidP="00BA7380">
            <w:pPr>
              <w:spacing w:line="240" w:lineRule="auto"/>
              <w:jc w:val="center"/>
            </w:pPr>
            <w:r w:rsidRPr="009F7871">
              <w:t>1</w:t>
            </w:r>
          </w:p>
        </w:tc>
        <w:tc>
          <w:tcPr>
            <w:tcW w:w="887" w:type="dxa"/>
            <w:noWrap/>
            <w:hideMark/>
          </w:tcPr>
          <w:p w14:paraId="6FD21DB0" w14:textId="77777777" w:rsidR="009F7871" w:rsidRPr="009F7871" w:rsidRDefault="009F7871" w:rsidP="00BA7380">
            <w:pPr>
              <w:spacing w:line="240" w:lineRule="auto"/>
              <w:jc w:val="center"/>
            </w:pPr>
            <w:r w:rsidRPr="009F7871">
              <w:t>13</w:t>
            </w:r>
          </w:p>
        </w:tc>
        <w:tc>
          <w:tcPr>
            <w:tcW w:w="1923" w:type="dxa"/>
            <w:noWrap/>
            <w:hideMark/>
          </w:tcPr>
          <w:p w14:paraId="6AC9D342" w14:textId="77777777" w:rsidR="009F7871" w:rsidRPr="009F7871" w:rsidRDefault="009F7871" w:rsidP="00BA7380">
            <w:pPr>
              <w:spacing w:line="240" w:lineRule="auto"/>
              <w:jc w:val="center"/>
            </w:pPr>
            <w:r w:rsidRPr="009F7871">
              <w:t>6.05</w:t>
            </w:r>
          </w:p>
        </w:tc>
        <w:tc>
          <w:tcPr>
            <w:tcW w:w="1939" w:type="dxa"/>
            <w:noWrap/>
            <w:hideMark/>
          </w:tcPr>
          <w:p w14:paraId="5BBA8196" w14:textId="77777777" w:rsidR="009F7871" w:rsidRPr="009F7871" w:rsidRDefault="009F7871" w:rsidP="00BA7380">
            <w:pPr>
              <w:spacing w:line="240" w:lineRule="auto"/>
              <w:jc w:val="center"/>
            </w:pPr>
            <w:r w:rsidRPr="009F7871">
              <w:t>6.06</w:t>
            </w:r>
          </w:p>
        </w:tc>
        <w:tc>
          <w:tcPr>
            <w:tcW w:w="921" w:type="dxa"/>
            <w:noWrap/>
            <w:hideMark/>
          </w:tcPr>
          <w:p w14:paraId="1D0A4604" w14:textId="77777777" w:rsidR="009F7871" w:rsidRPr="009F7871" w:rsidRDefault="009F7871" w:rsidP="00BA7380">
            <w:pPr>
              <w:spacing w:line="240" w:lineRule="auto"/>
              <w:jc w:val="center"/>
            </w:pPr>
            <w:r w:rsidRPr="009F7871">
              <w:t>0.67</w:t>
            </w:r>
          </w:p>
        </w:tc>
        <w:tc>
          <w:tcPr>
            <w:tcW w:w="1916" w:type="dxa"/>
            <w:noWrap/>
            <w:hideMark/>
          </w:tcPr>
          <w:p w14:paraId="2E2CB7DC" w14:textId="77777777" w:rsidR="009F7871" w:rsidRPr="009F7871" w:rsidRDefault="009F7871" w:rsidP="00BA7380">
            <w:pPr>
              <w:spacing w:line="240" w:lineRule="auto"/>
              <w:jc w:val="center"/>
            </w:pPr>
            <w:r w:rsidRPr="009F7871">
              <w:t>368.99</w:t>
            </w:r>
          </w:p>
        </w:tc>
      </w:tr>
      <w:tr w:rsidR="009F7871" w:rsidRPr="009F7871" w14:paraId="43792B65" w14:textId="77777777" w:rsidTr="00004A40">
        <w:trPr>
          <w:trHeight w:val="288"/>
        </w:trPr>
        <w:tc>
          <w:tcPr>
            <w:tcW w:w="887" w:type="dxa"/>
            <w:noWrap/>
            <w:hideMark/>
          </w:tcPr>
          <w:p w14:paraId="1140123A" w14:textId="77777777" w:rsidR="009F7871" w:rsidRPr="009F7871" w:rsidRDefault="009F7871" w:rsidP="00BA7380">
            <w:pPr>
              <w:spacing w:line="240" w:lineRule="auto"/>
              <w:jc w:val="center"/>
            </w:pPr>
            <w:r w:rsidRPr="009F7871">
              <w:t>2021</w:t>
            </w:r>
          </w:p>
        </w:tc>
        <w:tc>
          <w:tcPr>
            <w:tcW w:w="887" w:type="dxa"/>
            <w:noWrap/>
            <w:hideMark/>
          </w:tcPr>
          <w:p w14:paraId="6207F9EF" w14:textId="77777777" w:rsidR="009F7871" w:rsidRPr="009F7871" w:rsidRDefault="009F7871" w:rsidP="00BA7380">
            <w:pPr>
              <w:spacing w:line="240" w:lineRule="auto"/>
              <w:jc w:val="center"/>
            </w:pPr>
            <w:r w:rsidRPr="009F7871">
              <w:t>1</w:t>
            </w:r>
          </w:p>
        </w:tc>
        <w:tc>
          <w:tcPr>
            <w:tcW w:w="887" w:type="dxa"/>
            <w:noWrap/>
            <w:hideMark/>
          </w:tcPr>
          <w:p w14:paraId="670C2EDF" w14:textId="77777777" w:rsidR="009F7871" w:rsidRPr="009F7871" w:rsidRDefault="009F7871" w:rsidP="00BA7380">
            <w:pPr>
              <w:spacing w:line="240" w:lineRule="auto"/>
              <w:jc w:val="center"/>
            </w:pPr>
            <w:r w:rsidRPr="009F7871">
              <w:t>14</w:t>
            </w:r>
          </w:p>
        </w:tc>
        <w:tc>
          <w:tcPr>
            <w:tcW w:w="1923" w:type="dxa"/>
            <w:noWrap/>
            <w:hideMark/>
          </w:tcPr>
          <w:p w14:paraId="596F142D" w14:textId="77777777" w:rsidR="009F7871" w:rsidRPr="009F7871" w:rsidRDefault="009F7871" w:rsidP="00BA7380">
            <w:pPr>
              <w:spacing w:line="240" w:lineRule="auto"/>
              <w:jc w:val="center"/>
            </w:pPr>
            <w:r w:rsidRPr="009F7871">
              <w:t>6.1</w:t>
            </w:r>
          </w:p>
        </w:tc>
        <w:tc>
          <w:tcPr>
            <w:tcW w:w="1939" w:type="dxa"/>
            <w:noWrap/>
            <w:hideMark/>
          </w:tcPr>
          <w:p w14:paraId="1565E328" w14:textId="77777777" w:rsidR="009F7871" w:rsidRPr="009F7871" w:rsidRDefault="009F7871" w:rsidP="00BA7380">
            <w:pPr>
              <w:spacing w:line="240" w:lineRule="auto"/>
              <w:jc w:val="center"/>
            </w:pPr>
            <w:r w:rsidRPr="009F7871">
              <w:t>6.1</w:t>
            </w:r>
          </w:p>
        </w:tc>
        <w:tc>
          <w:tcPr>
            <w:tcW w:w="921" w:type="dxa"/>
            <w:noWrap/>
            <w:hideMark/>
          </w:tcPr>
          <w:p w14:paraId="00C84316" w14:textId="77777777" w:rsidR="009F7871" w:rsidRPr="009F7871" w:rsidRDefault="009F7871" w:rsidP="00BA7380">
            <w:pPr>
              <w:spacing w:line="240" w:lineRule="auto"/>
              <w:jc w:val="center"/>
            </w:pPr>
            <w:r w:rsidRPr="009F7871">
              <w:t>0.67</w:t>
            </w:r>
          </w:p>
        </w:tc>
        <w:tc>
          <w:tcPr>
            <w:tcW w:w="1916" w:type="dxa"/>
            <w:noWrap/>
            <w:hideMark/>
          </w:tcPr>
          <w:p w14:paraId="1DC25665" w14:textId="77777777" w:rsidR="009F7871" w:rsidRPr="009F7871" w:rsidRDefault="009F7871" w:rsidP="00BA7380">
            <w:pPr>
              <w:spacing w:line="240" w:lineRule="auto"/>
              <w:jc w:val="center"/>
            </w:pPr>
            <w:r w:rsidRPr="009F7871">
              <w:t>365.58</w:t>
            </w:r>
          </w:p>
        </w:tc>
      </w:tr>
      <w:tr w:rsidR="009F7871" w:rsidRPr="009F7871" w14:paraId="5C4058EA" w14:textId="77777777" w:rsidTr="00004A40">
        <w:trPr>
          <w:trHeight w:val="288"/>
        </w:trPr>
        <w:tc>
          <w:tcPr>
            <w:tcW w:w="887" w:type="dxa"/>
            <w:noWrap/>
            <w:hideMark/>
          </w:tcPr>
          <w:p w14:paraId="1A82AAB5" w14:textId="77777777" w:rsidR="009F7871" w:rsidRPr="009F7871" w:rsidRDefault="009F7871" w:rsidP="00BA7380">
            <w:pPr>
              <w:spacing w:line="240" w:lineRule="auto"/>
              <w:jc w:val="center"/>
            </w:pPr>
            <w:r w:rsidRPr="009F7871">
              <w:t>2021</w:t>
            </w:r>
          </w:p>
        </w:tc>
        <w:tc>
          <w:tcPr>
            <w:tcW w:w="887" w:type="dxa"/>
            <w:noWrap/>
            <w:hideMark/>
          </w:tcPr>
          <w:p w14:paraId="21DB97DB" w14:textId="77777777" w:rsidR="009F7871" w:rsidRPr="009F7871" w:rsidRDefault="009F7871" w:rsidP="00BA7380">
            <w:pPr>
              <w:spacing w:line="240" w:lineRule="auto"/>
              <w:jc w:val="center"/>
            </w:pPr>
            <w:r w:rsidRPr="009F7871">
              <w:t>1</w:t>
            </w:r>
          </w:p>
        </w:tc>
        <w:tc>
          <w:tcPr>
            <w:tcW w:w="887" w:type="dxa"/>
            <w:noWrap/>
            <w:hideMark/>
          </w:tcPr>
          <w:p w14:paraId="005D6595" w14:textId="77777777" w:rsidR="009F7871" w:rsidRPr="009F7871" w:rsidRDefault="009F7871" w:rsidP="00BA7380">
            <w:pPr>
              <w:spacing w:line="240" w:lineRule="auto"/>
              <w:jc w:val="center"/>
            </w:pPr>
            <w:r w:rsidRPr="009F7871">
              <w:t>15</w:t>
            </w:r>
          </w:p>
        </w:tc>
        <w:tc>
          <w:tcPr>
            <w:tcW w:w="1923" w:type="dxa"/>
            <w:noWrap/>
            <w:hideMark/>
          </w:tcPr>
          <w:p w14:paraId="1A0EC160" w14:textId="77777777" w:rsidR="009F7871" w:rsidRPr="009F7871" w:rsidRDefault="009F7871" w:rsidP="00BA7380">
            <w:pPr>
              <w:spacing w:line="240" w:lineRule="auto"/>
              <w:jc w:val="center"/>
            </w:pPr>
            <w:r w:rsidRPr="009F7871">
              <w:t>5.65</w:t>
            </w:r>
          </w:p>
        </w:tc>
        <w:tc>
          <w:tcPr>
            <w:tcW w:w="1939" w:type="dxa"/>
            <w:noWrap/>
            <w:hideMark/>
          </w:tcPr>
          <w:p w14:paraId="431D34DA" w14:textId="77777777" w:rsidR="009F7871" w:rsidRPr="009F7871" w:rsidRDefault="009F7871" w:rsidP="00BA7380">
            <w:pPr>
              <w:spacing w:line="240" w:lineRule="auto"/>
              <w:jc w:val="center"/>
            </w:pPr>
            <w:r w:rsidRPr="009F7871">
              <w:t>5.79</w:t>
            </w:r>
          </w:p>
        </w:tc>
        <w:tc>
          <w:tcPr>
            <w:tcW w:w="921" w:type="dxa"/>
            <w:noWrap/>
            <w:hideMark/>
          </w:tcPr>
          <w:p w14:paraId="52816126" w14:textId="77777777" w:rsidR="009F7871" w:rsidRPr="009F7871" w:rsidRDefault="009F7871" w:rsidP="00BA7380">
            <w:pPr>
              <w:spacing w:line="240" w:lineRule="auto"/>
              <w:jc w:val="center"/>
            </w:pPr>
            <w:r w:rsidRPr="009F7871">
              <w:t>0.62</w:t>
            </w:r>
          </w:p>
        </w:tc>
        <w:tc>
          <w:tcPr>
            <w:tcW w:w="1916" w:type="dxa"/>
            <w:noWrap/>
            <w:hideMark/>
          </w:tcPr>
          <w:p w14:paraId="4878C592" w14:textId="77777777" w:rsidR="009F7871" w:rsidRPr="009F7871" w:rsidRDefault="009F7871" w:rsidP="00BA7380">
            <w:pPr>
              <w:spacing w:line="240" w:lineRule="auto"/>
              <w:jc w:val="center"/>
            </w:pPr>
            <w:r w:rsidRPr="009F7871">
              <w:t>363.66</w:t>
            </w:r>
          </w:p>
        </w:tc>
      </w:tr>
      <w:tr w:rsidR="009F7871" w:rsidRPr="009F7871" w14:paraId="61DD85C0" w14:textId="77777777" w:rsidTr="00004A40">
        <w:trPr>
          <w:trHeight w:val="288"/>
        </w:trPr>
        <w:tc>
          <w:tcPr>
            <w:tcW w:w="887" w:type="dxa"/>
            <w:noWrap/>
            <w:hideMark/>
          </w:tcPr>
          <w:p w14:paraId="2B9FF1E9" w14:textId="77777777" w:rsidR="009F7871" w:rsidRPr="009F7871" w:rsidRDefault="009F7871" w:rsidP="00BA7380">
            <w:pPr>
              <w:spacing w:line="240" w:lineRule="auto"/>
              <w:jc w:val="center"/>
            </w:pPr>
            <w:r w:rsidRPr="009F7871">
              <w:t>2021</w:t>
            </w:r>
          </w:p>
        </w:tc>
        <w:tc>
          <w:tcPr>
            <w:tcW w:w="887" w:type="dxa"/>
            <w:noWrap/>
            <w:hideMark/>
          </w:tcPr>
          <w:p w14:paraId="32103683" w14:textId="77777777" w:rsidR="009F7871" w:rsidRPr="009F7871" w:rsidRDefault="009F7871" w:rsidP="00BA7380">
            <w:pPr>
              <w:spacing w:line="240" w:lineRule="auto"/>
              <w:jc w:val="center"/>
            </w:pPr>
            <w:r w:rsidRPr="009F7871">
              <w:t>1</w:t>
            </w:r>
          </w:p>
        </w:tc>
        <w:tc>
          <w:tcPr>
            <w:tcW w:w="887" w:type="dxa"/>
            <w:noWrap/>
            <w:hideMark/>
          </w:tcPr>
          <w:p w14:paraId="33080247" w14:textId="77777777" w:rsidR="009F7871" w:rsidRPr="009F7871" w:rsidRDefault="009F7871" w:rsidP="00BA7380">
            <w:pPr>
              <w:spacing w:line="240" w:lineRule="auto"/>
              <w:jc w:val="center"/>
            </w:pPr>
            <w:r w:rsidRPr="009F7871">
              <w:t>16</w:t>
            </w:r>
          </w:p>
        </w:tc>
        <w:tc>
          <w:tcPr>
            <w:tcW w:w="1923" w:type="dxa"/>
            <w:noWrap/>
            <w:hideMark/>
          </w:tcPr>
          <w:p w14:paraId="554C2A98" w14:textId="77777777" w:rsidR="009F7871" w:rsidRPr="009F7871" w:rsidRDefault="009F7871" w:rsidP="00BA7380">
            <w:pPr>
              <w:spacing w:line="240" w:lineRule="auto"/>
              <w:jc w:val="center"/>
            </w:pPr>
            <w:r w:rsidRPr="009F7871">
              <w:t>5.54</w:t>
            </w:r>
          </w:p>
        </w:tc>
        <w:tc>
          <w:tcPr>
            <w:tcW w:w="1939" w:type="dxa"/>
            <w:noWrap/>
            <w:hideMark/>
          </w:tcPr>
          <w:p w14:paraId="660AEA06" w14:textId="77777777" w:rsidR="009F7871" w:rsidRPr="009F7871" w:rsidRDefault="009F7871" w:rsidP="00BA7380">
            <w:pPr>
              <w:spacing w:line="240" w:lineRule="auto"/>
              <w:jc w:val="center"/>
            </w:pPr>
            <w:r w:rsidRPr="009F7871">
              <w:t>5.57</w:t>
            </w:r>
          </w:p>
        </w:tc>
        <w:tc>
          <w:tcPr>
            <w:tcW w:w="921" w:type="dxa"/>
            <w:noWrap/>
            <w:hideMark/>
          </w:tcPr>
          <w:p w14:paraId="4BC0DC18" w14:textId="77777777" w:rsidR="009F7871" w:rsidRPr="009F7871" w:rsidRDefault="009F7871" w:rsidP="00BA7380">
            <w:pPr>
              <w:spacing w:line="240" w:lineRule="auto"/>
              <w:jc w:val="center"/>
            </w:pPr>
            <w:r w:rsidRPr="009F7871">
              <w:t>0.61</w:t>
            </w:r>
          </w:p>
        </w:tc>
        <w:tc>
          <w:tcPr>
            <w:tcW w:w="1916" w:type="dxa"/>
            <w:noWrap/>
            <w:hideMark/>
          </w:tcPr>
          <w:p w14:paraId="40C85E7C" w14:textId="77777777" w:rsidR="009F7871" w:rsidRPr="009F7871" w:rsidRDefault="009F7871" w:rsidP="00BA7380">
            <w:pPr>
              <w:spacing w:line="240" w:lineRule="auto"/>
              <w:jc w:val="center"/>
            </w:pPr>
            <w:r w:rsidRPr="009F7871">
              <w:t>368.23</w:t>
            </w:r>
          </w:p>
        </w:tc>
      </w:tr>
      <w:tr w:rsidR="009F7871" w:rsidRPr="009F7871" w14:paraId="76A29C06" w14:textId="77777777" w:rsidTr="00004A40">
        <w:trPr>
          <w:trHeight w:val="288"/>
        </w:trPr>
        <w:tc>
          <w:tcPr>
            <w:tcW w:w="887" w:type="dxa"/>
            <w:noWrap/>
            <w:hideMark/>
          </w:tcPr>
          <w:p w14:paraId="0A60F444" w14:textId="77777777" w:rsidR="009F7871" w:rsidRPr="009F7871" w:rsidRDefault="009F7871" w:rsidP="00BA7380">
            <w:pPr>
              <w:spacing w:line="240" w:lineRule="auto"/>
              <w:jc w:val="center"/>
            </w:pPr>
            <w:r w:rsidRPr="009F7871">
              <w:t>2021</w:t>
            </w:r>
          </w:p>
        </w:tc>
        <w:tc>
          <w:tcPr>
            <w:tcW w:w="887" w:type="dxa"/>
            <w:noWrap/>
            <w:hideMark/>
          </w:tcPr>
          <w:p w14:paraId="44877C31" w14:textId="77777777" w:rsidR="009F7871" w:rsidRPr="009F7871" w:rsidRDefault="009F7871" w:rsidP="00BA7380">
            <w:pPr>
              <w:spacing w:line="240" w:lineRule="auto"/>
              <w:jc w:val="center"/>
            </w:pPr>
            <w:r w:rsidRPr="009F7871">
              <w:t>1</w:t>
            </w:r>
          </w:p>
        </w:tc>
        <w:tc>
          <w:tcPr>
            <w:tcW w:w="887" w:type="dxa"/>
            <w:noWrap/>
            <w:hideMark/>
          </w:tcPr>
          <w:p w14:paraId="1CB43314" w14:textId="77777777" w:rsidR="009F7871" w:rsidRPr="009F7871" w:rsidRDefault="009F7871" w:rsidP="00BA7380">
            <w:pPr>
              <w:spacing w:line="240" w:lineRule="auto"/>
              <w:jc w:val="center"/>
            </w:pPr>
            <w:r w:rsidRPr="009F7871">
              <w:t>17</w:t>
            </w:r>
          </w:p>
        </w:tc>
        <w:tc>
          <w:tcPr>
            <w:tcW w:w="1923" w:type="dxa"/>
            <w:noWrap/>
            <w:hideMark/>
          </w:tcPr>
          <w:p w14:paraId="4818407C" w14:textId="77777777" w:rsidR="009F7871" w:rsidRPr="009F7871" w:rsidRDefault="009F7871" w:rsidP="00BA7380">
            <w:pPr>
              <w:spacing w:line="240" w:lineRule="auto"/>
              <w:jc w:val="center"/>
            </w:pPr>
            <w:r w:rsidRPr="009F7871">
              <w:t>5.42</w:t>
            </w:r>
          </w:p>
        </w:tc>
        <w:tc>
          <w:tcPr>
            <w:tcW w:w="1939" w:type="dxa"/>
            <w:noWrap/>
            <w:hideMark/>
          </w:tcPr>
          <w:p w14:paraId="656EB40E" w14:textId="77777777" w:rsidR="009F7871" w:rsidRPr="009F7871" w:rsidRDefault="009F7871" w:rsidP="00BA7380">
            <w:pPr>
              <w:spacing w:line="240" w:lineRule="auto"/>
              <w:jc w:val="center"/>
            </w:pPr>
            <w:r w:rsidRPr="009F7871">
              <w:t>5.52</w:t>
            </w:r>
          </w:p>
        </w:tc>
        <w:tc>
          <w:tcPr>
            <w:tcW w:w="921" w:type="dxa"/>
            <w:noWrap/>
            <w:hideMark/>
          </w:tcPr>
          <w:p w14:paraId="62FE6336" w14:textId="77777777" w:rsidR="009F7871" w:rsidRPr="009F7871" w:rsidRDefault="009F7871" w:rsidP="00BA7380">
            <w:pPr>
              <w:spacing w:line="240" w:lineRule="auto"/>
              <w:jc w:val="center"/>
            </w:pPr>
            <w:r w:rsidRPr="009F7871">
              <w:t>0.59</w:t>
            </w:r>
          </w:p>
        </w:tc>
        <w:tc>
          <w:tcPr>
            <w:tcW w:w="1916" w:type="dxa"/>
            <w:noWrap/>
            <w:hideMark/>
          </w:tcPr>
          <w:p w14:paraId="5430FE8F" w14:textId="77777777" w:rsidR="009F7871" w:rsidRPr="009F7871" w:rsidRDefault="009F7871" w:rsidP="00BA7380">
            <w:pPr>
              <w:spacing w:line="240" w:lineRule="auto"/>
              <w:jc w:val="center"/>
            </w:pPr>
            <w:r w:rsidRPr="009F7871">
              <w:t>387.44</w:t>
            </w:r>
          </w:p>
        </w:tc>
      </w:tr>
      <w:tr w:rsidR="009F7871" w:rsidRPr="009F7871" w14:paraId="0B613E42" w14:textId="77777777" w:rsidTr="00004A40">
        <w:trPr>
          <w:trHeight w:val="288"/>
        </w:trPr>
        <w:tc>
          <w:tcPr>
            <w:tcW w:w="887" w:type="dxa"/>
            <w:noWrap/>
            <w:hideMark/>
          </w:tcPr>
          <w:p w14:paraId="5748777B" w14:textId="77777777" w:rsidR="009F7871" w:rsidRPr="009F7871" w:rsidRDefault="009F7871" w:rsidP="00BA7380">
            <w:pPr>
              <w:spacing w:line="240" w:lineRule="auto"/>
              <w:jc w:val="center"/>
            </w:pPr>
            <w:r w:rsidRPr="009F7871">
              <w:t>2021</w:t>
            </w:r>
          </w:p>
        </w:tc>
        <w:tc>
          <w:tcPr>
            <w:tcW w:w="887" w:type="dxa"/>
            <w:noWrap/>
            <w:hideMark/>
          </w:tcPr>
          <w:p w14:paraId="121C99B4" w14:textId="77777777" w:rsidR="009F7871" w:rsidRPr="009F7871" w:rsidRDefault="009F7871" w:rsidP="00BA7380">
            <w:pPr>
              <w:spacing w:line="240" w:lineRule="auto"/>
              <w:jc w:val="center"/>
            </w:pPr>
            <w:r w:rsidRPr="009F7871">
              <w:t>1</w:t>
            </w:r>
          </w:p>
        </w:tc>
        <w:tc>
          <w:tcPr>
            <w:tcW w:w="887" w:type="dxa"/>
            <w:noWrap/>
            <w:hideMark/>
          </w:tcPr>
          <w:p w14:paraId="6E415712" w14:textId="77777777" w:rsidR="009F7871" w:rsidRPr="009F7871" w:rsidRDefault="009F7871" w:rsidP="00BA7380">
            <w:pPr>
              <w:spacing w:line="240" w:lineRule="auto"/>
              <w:jc w:val="center"/>
            </w:pPr>
            <w:r w:rsidRPr="009F7871">
              <w:t>18</w:t>
            </w:r>
          </w:p>
        </w:tc>
        <w:tc>
          <w:tcPr>
            <w:tcW w:w="1923" w:type="dxa"/>
            <w:noWrap/>
            <w:hideMark/>
          </w:tcPr>
          <w:p w14:paraId="5BB62EB8" w14:textId="77777777" w:rsidR="009F7871" w:rsidRPr="009F7871" w:rsidRDefault="009F7871" w:rsidP="00BA7380">
            <w:pPr>
              <w:spacing w:line="240" w:lineRule="auto"/>
              <w:jc w:val="center"/>
            </w:pPr>
            <w:r w:rsidRPr="009F7871">
              <w:t>5.51</w:t>
            </w:r>
          </w:p>
        </w:tc>
        <w:tc>
          <w:tcPr>
            <w:tcW w:w="1939" w:type="dxa"/>
            <w:noWrap/>
            <w:hideMark/>
          </w:tcPr>
          <w:p w14:paraId="772B394F" w14:textId="77777777" w:rsidR="009F7871" w:rsidRPr="009F7871" w:rsidRDefault="009F7871" w:rsidP="00BA7380">
            <w:pPr>
              <w:spacing w:line="240" w:lineRule="auto"/>
              <w:jc w:val="center"/>
            </w:pPr>
            <w:r w:rsidRPr="009F7871">
              <w:t>5.56</w:t>
            </w:r>
          </w:p>
        </w:tc>
        <w:tc>
          <w:tcPr>
            <w:tcW w:w="921" w:type="dxa"/>
            <w:noWrap/>
            <w:hideMark/>
          </w:tcPr>
          <w:p w14:paraId="50427E30" w14:textId="77777777" w:rsidR="009F7871" w:rsidRPr="009F7871" w:rsidRDefault="009F7871" w:rsidP="00BA7380">
            <w:pPr>
              <w:spacing w:line="240" w:lineRule="auto"/>
              <w:jc w:val="center"/>
            </w:pPr>
            <w:r w:rsidRPr="009F7871">
              <w:t>0.61</w:t>
            </w:r>
          </w:p>
        </w:tc>
        <w:tc>
          <w:tcPr>
            <w:tcW w:w="1916" w:type="dxa"/>
            <w:noWrap/>
            <w:hideMark/>
          </w:tcPr>
          <w:p w14:paraId="21EFE642" w14:textId="77777777" w:rsidR="009F7871" w:rsidRPr="009F7871" w:rsidRDefault="009F7871" w:rsidP="00BA7380">
            <w:pPr>
              <w:spacing w:line="240" w:lineRule="auto"/>
              <w:jc w:val="center"/>
            </w:pPr>
            <w:r w:rsidRPr="009F7871">
              <w:t>397.32</w:t>
            </w:r>
          </w:p>
        </w:tc>
      </w:tr>
      <w:tr w:rsidR="009F7871" w:rsidRPr="009F7871" w14:paraId="1F2E5176" w14:textId="77777777" w:rsidTr="00004A40">
        <w:trPr>
          <w:trHeight w:val="288"/>
        </w:trPr>
        <w:tc>
          <w:tcPr>
            <w:tcW w:w="887" w:type="dxa"/>
            <w:noWrap/>
            <w:hideMark/>
          </w:tcPr>
          <w:p w14:paraId="2C9E1A02" w14:textId="77777777" w:rsidR="009F7871" w:rsidRPr="009F7871" w:rsidRDefault="009F7871" w:rsidP="00BA7380">
            <w:pPr>
              <w:spacing w:line="240" w:lineRule="auto"/>
              <w:jc w:val="center"/>
            </w:pPr>
            <w:r w:rsidRPr="009F7871">
              <w:t>2021</w:t>
            </w:r>
          </w:p>
        </w:tc>
        <w:tc>
          <w:tcPr>
            <w:tcW w:w="887" w:type="dxa"/>
            <w:noWrap/>
            <w:hideMark/>
          </w:tcPr>
          <w:p w14:paraId="485882C3" w14:textId="77777777" w:rsidR="009F7871" w:rsidRPr="009F7871" w:rsidRDefault="009F7871" w:rsidP="00BA7380">
            <w:pPr>
              <w:spacing w:line="240" w:lineRule="auto"/>
              <w:jc w:val="center"/>
            </w:pPr>
            <w:r w:rsidRPr="009F7871">
              <w:t>1</w:t>
            </w:r>
          </w:p>
        </w:tc>
        <w:tc>
          <w:tcPr>
            <w:tcW w:w="887" w:type="dxa"/>
            <w:noWrap/>
            <w:hideMark/>
          </w:tcPr>
          <w:p w14:paraId="069D49FC" w14:textId="77777777" w:rsidR="009F7871" w:rsidRPr="009F7871" w:rsidRDefault="009F7871" w:rsidP="00BA7380">
            <w:pPr>
              <w:spacing w:line="240" w:lineRule="auto"/>
              <w:jc w:val="center"/>
            </w:pPr>
            <w:r w:rsidRPr="009F7871">
              <w:t>19</w:t>
            </w:r>
          </w:p>
        </w:tc>
        <w:tc>
          <w:tcPr>
            <w:tcW w:w="1923" w:type="dxa"/>
            <w:noWrap/>
            <w:hideMark/>
          </w:tcPr>
          <w:p w14:paraId="5B2C058A" w14:textId="77777777" w:rsidR="009F7871" w:rsidRPr="009F7871" w:rsidRDefault="009F7871" w:rsidP="00BA7380">
            <w:pPr>
              <w:spacing w:line="240" w:lineRule="auto"/>
              <w:jc w:val="center"/>
            </w:pPr>
            <w:r w:rsidRPr="009F7871">
              <w:t>6</w:t>
            </w:r>
          </w:p>
        </w:tc>
        <w:tc>
          <w:tcPr>
            <w:tcW w:w="1939" w:type="dxa"/>
            <w:noWrap/>
            <w:hideMark/>
          </w:tcPr>
          <w:p w14:paraId="42DD536D" w14:textId="77777777" w:rsidR="009F7871" w:rsidRPr="009F7871" w:rsidRDefault="009F7871" w:rsidP="00BA7380">
            <w:pPr>
              <w:spacing w:line="240" w:lineRule="auto"/>
              <w:jc w:val="center"/>
            </w:pPr>
            <w:r w:rsidRPr="009F7871">
              <w:t>6.18</w:t>
            </w:r>
          </w:p>
        </w:tc>
        <w:tc>
          <w:tcPr>
            <w:tcW w:w="921" w:type="dxa"/>
            <w:noWrap/>
            <w:hideMark/>
          </w:tcPr>
          <w:p w14:paraId="3FD663B3" w14:textId="77777777" w:rsidR="009F7871" w:rsidRPr="009F7871" w:rsidRDefault="009F7871" w:rsidP="00BA7380">
            <w:pPr>
              <w:spacing w:line="240" w:lineRule="auto"/>
              <w:jc w:val="center"/>
            </w:pPr>
            <w:r w:rsidRPr="009F7871">
              <w:t>0.66</w:t>
            </w:r>
          </w:p>
        </w:tc>
        <w:tc>
          <w:tcPr>
            <w:tcW w:w="1916" w:type="dxa"/>
            <w:noWrap/>
            <w:hideMark/>
          </w:tcPr>
          <w:p w14:paraId="1EBBA179" w14:textId="77777777" w:rsidR="009F7871" w:rsidRPr="009F7871" w:rsidRDefault="009F7871" w:rsidP="00BA7380">
            <w:pPr>
              <w:spacing w:line="240" w:lineRule="auto"/>
              <w:jc w:val="center"/>
            </w:pPr>
            <w:r w:rsidRPr="009F7871">
              <w:t>363.82</w:t>
            </w:r>
          </w:p>
        </w:tc>
      </w:tr>
      <w:tr w:rsidR="009F7871" w:rsidRPr="009F7871" w14:paraId="7C9998DC" w14:textId="77777777" w:rsidTr="00004A40">
        <w:trPr>
          <w:trHeight w:val="288"/>
        </w:trPr>
        <w:tc>
          <w:tcPr>
            <w:tcW w:w="887" w:type="dxa"/>
            <w:noWrap/>
            <w:hideMark/>
          </w:tcPr>
          <w:p w14:paraId="4EF7DFAD" w14:textId="77777777" w:rsidR="009F7871" w:rsidRPr="009F7871" w:rsidRDefault="009F7871" w:rsidP="00BA7380">
            <w:pPr>
              <w:spacing w:line="240" w:lineRule="auto"/>
              <w:jc w:val="center"/>
            </w:pPr>
            <w:r w:rsidRPr="009F7871">
              <w:t>2021</w:t>
            </w:r>
          </w:p>
        </w:tc>
        <w:tc>
          <w:tcPr>
            <w:tcW w:w="887" w:type="dxa"/>
            <w:noWrap/>
            <w:hideMark/>
          </w:tcPr>
          <w:p w14:paraId="164CD873" w14:textId="77777777" w:rsidR="009F7871" w:rsidRPr="009F7871" w:rsidRDefault="009F7871" w:rsidP="00BA7380">
            <w:pPr>
              <w:spacing w:line="240" w:lineRule="auto"/>
              <w:jc w:val="center"/>
            </w:pPr>
            <w:r w:rsidRPr="009F7871">
              <w:t>1</w:t>
            </w:r>
          </w:p>
        </w:tc>
        <w:tc>
          <w:tcPr>
            <w:tcW w:w="887" w:type="dxa"/>
            <w:noWrap/>
            <w:hideMark/>
          </w:tcPr>
          <w:p w14:paraId="1D187D22" w14:textId="77777777" w:rsidR="009F7871" w:rsidRPr="009F7871" w:rsidRDefault="009F7871" w:rsidP="00BA7380">
            <w:pPr>
              <w:spacing w:line="240" w:lineRule="auto"/>
              <w:jc w:val="center"/>
            </w:pPr>
            <w:r w:rsidRPr="009F7871">
              <w:t>20</w:t>
            </w:r>
          </w:p>
        </w:tc>
        <w:tc>
          <w:tcPr>
            <w:tcW w:w="1923" w:type="dxa"/>
            <w:noWrap/>
            <w:hideMark/>
          </w:tcPr>
          <w:p w14:paraId="4F855485" w14:textId="77777777" w:rsidR="009F7871" w:rsidRPr="009F7871" w:rsidRDefault="009F7871" w:rsidP="00BA7380">
            <w:pPr>
              <w:spacing w:line="240" w:lineRule="auto"/>
              <w:jc w:val="center"/>
            </w:pPr>
            <w:r w:rsidRPr="009F7871">
              <w:t>5.17</w:t>
            </w:r>
          </w:p>
        </w:tc>
        <w:tc>
          <w:tcPr>
            <w:tcW w:w="1939" w:type="dxa"/>
            <w:noWrap/>
            <w:hideMark/>
          </w:tcPr>
          <w:p w14:paraId="490863FB" w14:textId="77777777" w:rsidR="009F7871" w:rsidRPr="009F7871" w:rsidRDefault="009F7871" w:rsidP="00BA7380">
            <w:pPr>
              <w:spacing w:line="240" w:lineRule="auto"/>
              <w:jc w:val="center"/>
            </w:pPr>
            <w:r w:rsidRPr="009F7871">
              <w:t>5.39</w:t>
            </w:r>
          </w:p>
        </w:tc>
        <w:tc>
          <w:tcPr>
            <w:tcW w:w="921" w:type="dxa"/>
            <w:noWrap/>
            <w:hideMark/>
          </w:tcPr>
          <w:p w14:paraId="61F08313" w14:textId="77777777" w:rsidR="009F7871" w:rsidRPr="009F7871" w:rsidRDefault="009F7871" w:rsidP="00BA7380">
            <w:pPr>
              <w:spacing w:line="240" w:lineRule="auto"/>
              <w:jc w:val="center"/>
            </w:pPr>
            <w:r w:rsidRPr="009F7871">
              <w:t>0.56</w:t>
            </w:r>
          </w:p>
        </w:tc>
        <w:tc>
          <w:tcPr>
            <w:tcW w:w="1916" w:type="dxa"/>
            <w:noWrap/>
            <w:hideMark/>
          </w:tcPr>
          <w:p w14:paraId="62E16982" w14:textId="77777777" w:rsidR="009F7871" w:rsidRPr="009F7871" w:rsidRDefault="009F7871" w:rsidP="00BA7380">
            <w:pPr>
              <w:spacing w:line="240" w:lineRule="auto"/>
              <w:jc w:val="center"/>
            </w:pPr>
            <w:r w:rsidRPr="009F7871">
              <w:t>363.6</w:t>
            </w:r>
          </w:p>
        </w:tc>
      </w:tr>
      <w:tr w:rsidR="009F7871" w:rsidRPr="009F7871" w14:paraId="60B4700C" w14:textId="77777777" w:rsidTr="00004A40">
        <w:trPr>
          <w:trHeight w:val="288"/>
        </w:trPr>
        <w:tc>
          <w:tcPr>
            <w:tcW w:w="887" w:type="dxa"/>
            <w:noWrap/>
            <w:hideMark/>
          </w:tcPr>
          <w:p w14:paraId="2B8A1AB2" w14:textId="77777777" w:rsidR="009F7871" w:rsidRPr="009F7871" w:rsidRDefault="009F7871" w:rsidP="00BA7380">
            <w:pPr>
              <w:spacing w:line="240" w:lineRule="auto"/>
              <w:jc w:val="center"/>
            </w:pPr>
            <w:r w:rsidRPr="009F7871">
              <w:t>2021</w:t>
            </w:r>
          </w:p>
        </w:tc>
        <w:tc>
          <w:tcPr>
            <w:tcW w:w="887" w:type="dxa"/>
            <w:noWrap/>
            <w:hideMark/>
          </w:tcPr>
          <w:p w14:paraId="6C2EF25B" w14:textId="77777777" w:rsidR="009F7871" w:rsidRPr="009F7871" w:rsidRDefault="009F7871" w:rsidP="00BA7380">
            <w:pPr>
              <w:spacing w:line="240" w:lineRule="auto"/>
              <w:jc w:val="center"/>
            </w:pPr>
            <w:r w:rsidRPr="009F7871">
              <w:t>1</w:t>
            </w:r>
          </w:p>
        </w:tc>
        <w:tc>
          <w:tcPr>
            <w:tcW w:w="887" w:type="dxa"/>
            <w:noWrap/>
            <w:hideMark/>
          </w:tcPr>
          <w:p w14:paraId="60148923" w14:textId="77777777" w:rsidR="009F7871" w:rsidRPr="009F7871" w:rsidRDefault="009F7871" w:rsidP="00BA7380">
            <w:pPr>
              <w:spacing w:line="240" w:lineRule="auto"/>
              <w:jc w:val="center"/>
            </w:pPr>
            <w:r w:rsidRPr="009F7871">
              <w:t>21</w:t>
            </w:r>
          </w:p>
        </w:tc>
        <w:tc>
          <w:tcPr>
            <w:tcW w:w="1923" w:type="dxa"/>
            <w:noWrap/>
            <w:hideMark/>
          </w:tcPr>
          <w:p w14:paraId="0EDDFC21" w14:textId="77777777" w:rsidR="009F7871" w:rsidRPr="009F7871" w:rsidRDefault="009F7871" w:rsidP="00BA7380">
            <w:pPr>
              <w:spacing w:line="240" w:lineRule="auto"/>
              <w:jc w:val="center"/>
            </w:pPr>
            <w:r w:rsidRPr="009F7871">
              <w:t>5.54</w:t>
            </w:r>
          </w:p>
        </w:tc>
        <w:tc>
          <w:tcPr>
            <w:tcW w:w="1939" w:type="dxa"/>
            <w:noWrap/>
            <w:hideMark/>
          </w:tcPr>
          <w:p w14:paraId="751E2D7D" w14:textId="77777777" w:rsidR="009F7871" w:rsidRPr="009F7871" w:rsidRDefault="009F7871" w:rsidP="00BA7380">
            <w:pPr>
              <w:spacing w:line="240" w:lineRule="auto"/>
              <w:jc w:val="center"/>
            </w:pPr>
            <w:r w:rsidRPr="009F7871">
              <w:t>5.64</w:t>
            </w:r>
          </w:p>
        </w:tc>
        <w:tc>
          <w:tcPr>
            <w:tcW w:w="921" w:type="dxa"/>
            <w:noWrap/>
            <w:hideMark/>
          </w:tcPr>
          <w:p w14:paraId="21C41AC2" w14:textId="77777777" w:rsidR="009F7871" w:rsidRPr="009F7871" w:rsidRDefault="009F7871" w:rsidP="00BA7380">
            <w:pPr>
              <w:spacing w:line="240" w:lineRule="auto"/>
              <w:jc w:val="center"/>
            </w:pPr>
            <w:r w:rsidRPr="009F7871">
              <w:t>0.6</w:t>
            </w:r>
          </w:p>
        </w:tc>
        <w:tc>
          <w:tcPr>
            <w:tcW w:w="1916" w:type="dxa"/>
            <w:noWrap/>
            <w:hideMark/>
          </w:tcPr>
          <w:p w14:paraId="7B43522D" w14:textId="77777777" w:rsidR="009F7871" w:rsidRPr="009F7871" w:rsidRDefault="009F7871" w:rsidP="00BA7380">
            <w:pPr>
              <w:spacing w:line="240" w:lineRule="auto"/>
              <w:jc w:val="center"/>
            </w:pPr>
            <w:r w:rsidRPr="009F7871">
              <w:t>357.35</w:t>
            </w:r>
          </w:p>
        </w:tc>
      </w:tr>
      <w:tr w:rsidR="009F7871" w:rsidRPr="009F7871" w14:paraId="00271537" w14:textId="77777777" w:rsidTr="00004A40">
        <w:trPr>
          <w:trHeight w:val="288"/>
        </w:trPr>
        <w:tc>
          <w:tcPr>
            <w:tcW w:w="887" w:type="dxa"/>
            <w:noWrap/>
            <w:hideMark/>
          </w:tcPr>
          <w:p w14:paraId="053B6530" w14:textId="77777777" w:rsidR="009F7871" w:rsidRPr="009F7871" w:rsidRDefault="009F7871" w:rsidP="00BA7380">
            <w:pPr>
              <w:spacing w:line="240" w:lineRule="auto"/>
              <w:jc w:val="center"/>
            </w:pPr>
            <w:r w:rsidRPr="009F7871">
              <w:t>2021</w:t>
            </w:r>
          </w:p>
        </w:tc>
        <w:tc>
          <w:tcPr>
            <w:tcW w:w="887" w:type="dxa"/>
            <w:noWrap/>
            <w:hideMark/>
          </w:tcPr>
          <w:p w14:paraId="52A59A55" w14:textId="77777777" w:rsidR="009F7871" w:rsidRPr="009F7871" w:rsidRDefault="009F7871" w:rsidP="00BA7380">
            <w:pPr>
              <w:spacing w:line="240" w:lineRule="auto"/>
              <w:jc w:val="center"/>
            </w:pPr>
            <w:r w:rsidRPr="009F7871">
              <w:t>1</w:t>
            </w:r>
          </w:p>
        </w:tc>
        <w:tc>
          <w:tcPr>
            <w:tcW w:w="887" w:type="dxa"/>
            <w:noWrap/>
            <w:hideMark/>
          </w:tcPr>
          <w:p w14:paraId="361E9C0D" w14:textId="77777777" w:rsidR="009F7871" w:rsidRPr="009F7871" w:rsidRDefault="009F7871" w:rsidP="00BA7380">
            <w:pPr>
              <w:spacing w:line="240" w:lineRule="auto"/>
              <w:jc w:val="center"/>
            </w:pPr>
            <w:r w:rsidRPr="009F7871">
              <w:t>22</w:t>
            </w:r>
          </w:p>
        </w:tc>
        <w:tc>
          <w:tcPr>
            <w:tcW w:w="1923" w:type="dxa"/>
            <w:noWrap/>
            <w:hideMark/>
          </w:tcPr>
          <w:p w14:paraId="4F556B26" w14:textId="77777777" w:rsidR="009F7871" w:rsidRPr="009F7871" w:rsidRDefault="009F7871" w:rsidP="00BA7380">
            <w:pPr>
              <w:spacing w:line="240" w:lineRule="auto"/>
              <w:jc w:val="center"/>
            </w:pPr>
            <w:r w:rsidRPr="009F7871">
              <w:t>4.8</w:t>
            </w:r>
          </w:p>
        </w:tc>
        <w:tc>
          <w:tcPr>
            <w:tcW w:w="1939" w:type="dxa"/>
            <w:noWrap/>
            <w:hideMark/>
          </w:tcPr>
          <w:p w14:paraId="1AFC7523" w14:textId="77777777" w:rsidR="009F7871" w:rsidRPr="009F7871" w:rsidRDefault="009F7871" w:rsidP="00BA7380">
            <w:pPr>
              <w:spacing w:line="240" w:lineRule="auto"/>
              <w:jc w:val="center"/>
            </w:pPr>
            <w:r w:rsidRPr="009F7871">
              <w:t>5.15</w:t>
            </w:r>
          </w:p>
        </w:tc>
        <w:tc>
          <w:tcPr>
            <w:tcW w:w="921" w:type="dxa"/>
            <w:noWrap/>
            <w:hideMark/>
          </w:tcPr>
          <w:p w14:paraId="62267B82" w14:textId="77777777" w:rsidR="009F7871" w:rsidRPr="009F7871" w:rsidRDefault="009F7871" w:rsidP="00BA7380">
            <w:pPr>
              <w:spacing w:line="240" w:lineRule="auto"/>
              <w:jc w:val="center"/>
            </w:pPr>
            <w:r w:rsidRPr="009F7871">
              <w:t>0.52</w:t>
            </w:r>
          </w:p>
        </w:tc>
        <w:tc>
          <w:tcPr>
            <w:tcW w:w="1916" w:type="dxa"/>
            <w:noWrap/>
            <w:hideMark/>
          </w:tcPr>
          <w:p w14:paraId="795D021D" w14:textId="77777777" w:rsidR="009F7871" w:rsidRPr="009F7871" w:rsidRDefault="009F7871" w:rsidP="00BA7380">
            <w:pPr>
              <w:spacing w:line="240" w:lineRule="auto"/>
              <w:jc w:val="center"/>
            </w:pPr>
            <w:r w:rsidRPr="009F7871">
              <w:t>375.26</w:t>
            </w:r>
          </w:p>
        </w:tc>
      </w:tr>
      <w:tr w:rsidR="009F7871" w:rsidRPr="009F7871" w14:paraId="55D39265" w14:textId="77777777" w:rsidTr="00004A40">
        <w:trPr>
          <w:trHeight w:val="288"/>
        </w:trPr>
        <w:tc>
          <w:tcPr>
            <w:tcW w:w="887" w:type="dxa"/>
            <w:noWrap/>
            <w:hideMark/>
          </w:tcPr>
          <w:p w14:paraId="76658A10" w14:textId="77777777" w:rsidR="009F7871" w:rsidRPr="009F7871" w:rsidRDefault="009F7871" w:rsidP="00BA7380">
            <w:pPr>
              <w:spacing w:line="240" w:lineRule="auto"/>
              <w:jc w:val="center"/>
            </w:pPr>
            <w:r w:rsidRPr="009F7871">
              <w:t>2021</w:t>
            </w:r>
          </w:p>
        </w:tc>
        <w:tc>
          <w:tcPr>
            <w:tcW w:w="887" w:type="dxa"/>
            <w:noWrap/>
            <w:hideMark/>
          </w:tcPr>
          <w:p w14:paraId="306E72AA" w14:textId="77777777" w:rsidR="009F7871" w:rsidRPr="009F7871" w:rsidRDefault="009F7871" w:rsidP="00BA7380">
            <w:pPr>
              <w:spacing w:line="240" w:lineRule="auto"/>
              <w:jc w:val="center"/>
            </w:pPr>
            <w:r w:rsidRPr="009F7871">
              <w:t>1</w:t>
            </w:r>
          </w:p>
        </w:tc>
        <w:tc>
          <w:tcPr>
            <w:tcW w:w="887" w:type="dxa"/>
            <w:noWrap/>
            <w:hideMark/>
          </w:tcPr>
          <w:p w14:paraId="1831A65F" w14:textId="77777777" w:rsidR="009F7871" w:rsidRPr="009F7871" w:rsidRDefault="009F7871" w:rsidP="00BA7380">
            <w:pPr>
              <w:spacing w:line="240" w:lineRule="auto"/>
              <w:jc w:val="center"/>
            </w:pPr>
            <w:r w:rsidRPr="009F7871">
              <w:t>23</w:t>
            </w:r>
          </w:p>
        </w:tc>
        <w:tc>
          <w:tcPr>
            <w:tcW w:w="1923" w:type="dxa"/>
            <w:noWrap/>
            <w:hideMark/>
          </w:tcPr>
          <w:p w14:paraId="43C85058" w14:textId="77777777" w:rsidR="009F7871" w:rsidRPr="009F7871" w:rsidRDefault="009F7871" w:rsidP="00BA7380">
            <w:pPr>
              <w:spacing w:line="240" w:lineRule="auto"/>
              <w:jc w:val="center"/>
            </w:pPr>
            <w:r w:rsidRPr="009F7871">
              <w:t>4.63</w:t>
            </w:r>
          </w:p>
        </w:tc>
        <w:tc>
          <w:tcPr>
            <w:tcW w:w="1939" w:type="dxa"/>
            <w:noWrap/>
            <w:hideMark/>
          </w:tcPr>
          <w:p w14:paraId="76BF24E5" w14:textId="77777777" w:rsidR="009F7871" w:rsidRPr="009F7871" w:rsidRDefault="009F7871" w:rsidP="00BA7380">
            <w:pPr>
              <w:spacing w:line="240" w:lineRule="auto"/>
              <w:jc w:val="center"/>
            </w:pPr>
            <w:r w:rsidRPr="009F7871">
              <w:t>4.91</w:t>
            </w:r>
          </w:p>
        </w:tc>
        <w:tc>
          <w:tcPr>
            <w:tcW w:w="921" w:type="dxa"/>
            <w:noWrap/>
            <w:hideMark/>
          </w:tcPr>
          <w:p w14:paraId="1DF758BC" w14:textId="77777777" w:rsidR="009F7871" w:rsidRPr="009F7871" w:rsidRDefault="009F7871" w:rsidP="00BA7380">
            <w:pPr>
              <w:spacing w:line="240" w:lineRule="auto"/>
              <w:jc w:val="center"/>
            </w:pPr>
            <w:r w:rsidRPr="009F7871">
              <w:t>0.5</w:t>
            </w:r>
          </w:p>
        </w:tc>
        <w:tc>
          <w:tcPr>
            <w:tcW w:w="1916" w:type="dxa"/>
            <w:noWrap/>
            <w:hideMark/>
          </w:tcPr>
          <w:p w14:paraId="3513DB5F" w14:textId="77777777" w:rsidR="009F7871" w:rsidRPr="009F7871" w:rsidRDefault="009F7871" w:rsidP="00BA7380">
            <w:pPr>
              <w:spacing w:line="240" w:lineRule="auto"/>
              <w:jc w:val="center"/>
            </w:pPr>
            <w:r w:rsidRPr="009F7871">
              <w:t>371.35</w:t>
            </w:r>
          </w:p>
        </w:tc>
      </w:tr>
      <w:tr w:rsidR="009F7871" w:rsidRPr="009F7871" w14:paraId="4A24972D" w14:textId="77777777" w:rsidTr="00004A40">
        <w:trPr>
          <w:trHeight w:val="288"/>
        </w:trPr>
        <w:tc>
          <w:tcPr>
            <w:tcW w:w="887" w:type="dxa"/>
            <w:noWrap/>
            <w:hideMark/>
          </w:tcPr>
          <w:p w14:paraId="30A40016" w14:textId="77777777" w:rsidR="009F7871" w:rsidRPr="009F7871" w:rsidRDefault="009F7871" w:rsidP="00BA7380">
            <w:pPr>
              <w:spacing w:line="240" w:lineRule="auto"/>
              <w:jc w:val="center"/>
            </w:pPr>
            <w:r w:rsidRPr="009F7871">
              <w:t>2021</w:t>
            </w:r>
          </w:p>
        </w:tc>
        <w:tc>
          <w:tcPr>
            <w:tcW w:w="887" w:type="dxa"/>
            <w:noWrap/>
            <w:hideMark/>
          </w:tcPr>
          <w:p w14:paraId="1EA42C34" w14:textId="77777777" w:rsidR="009F7871" w:rsidRPr="009F7871" w:rsidRDefault="009F7871" w:rsidP="00BA7380">
            <w:pPr>
              <w:spacing w:line="240" w:lineRule="auto"/>
              <w:jc w:val="center"/>
            </w:pPr>
            <w:r w:rsidRPr="009F7871">
              <w:t>1</w:t>
            </w:r>
          </w:p>
        </w:tc>
        <w:tc>
          <w:tcPr>
            <w:tcW w:w="887" w:type="dxa"/>
            <w:noWrap/>
            <w:hideMark/>
          </w:tcPr>
          <w:p w14:paraId="1B408310" w14:textId="77777777" w:rsidR="009F7871" w:rsidRPr="009F7871" w:rsidRDefault="009F7871" w:rsidP="00BA7380">
            <w:pPr>
              <w:spacing w:line="240" w:lineRule="auto"/>
              <w:jc w:val="center"/>
            </w:pPr>
            <w:r w:rsidRPr="009F7871">
              <w:t>24</w:t>
            </w:r>
          </w:p>
        </w:tc>
        <w:tc>
          <w:tcPr>
            <w:tcW w:w="1923" w:type="dxa"/>
            <w:noWrap/>
            <w:hideMark/>
          </w:tcPr>
          <w:p w14:paraId="14F0AAD2" w14:textId="77777777" w:rsidR="009F7871" w:rsidRPr="009F7871" w:rsidRDefault="009F7871" w:rsidP="00BA7380">
            <w:pPr>
              <w:spacing w:line="240" w:lineRule="auto"/>
              <w:jc w:val="center"/>
            </w:pPr>
            <w:r w:rsidRPr="009F7871">
              <w:t>5.26</w:t>
            </w:r>
          </w:p>
        </w:tc>
        <w:tc>
          <w:tcPr>
            <w:tcW w:w="1939" w:type="dxa"/>
            <w:noWrap/>
            <w:hideMark/>
          </w:tcPr>
          <w:p w14:paraId="6FD601FE" w14:textId="77777777" w:rsidR="009F7871" w:rsidRPr="009F7871" w:rsidRDefault="009F7871" w:rsidP="00BA7380">
            <w:pPr>
              <w:spacing w:line="240" w:lineRule="auto"/>
              <w:jc w:val="center"/>
            </w:pPr>
            <w:r w:rsidRPr="009F7871">
              <w:t>5.43</w:t>
            </w:r>
          </w:p>
        </w:tc>
        <w:tc>
          <w:tcPr>
            <w:tcW w:w="921" w:type="dxa"/>
            <w:noWrap/>
            <w:hideMark/>
          </w:tcPr>
          <w:p w14:paraId="001766F6" w14:textId="77777777" w:rsidR="009F7871" w:rsidRPr="009F7871" w:rsidRDefault="009F7871" w:rsidP="00BA7380">
            <w:pPr>
              <w:spacing w:line="240" w:lineRule="auto"/>
              <w:jc w:val="center"/>
            </w:pPr>
            <w:r w:rsidRPr="009F7871">
              <w:t>0.57</w:t>
            </w:r>
          </w:p>
        </w:tc>
        <w:tc>
          <w:tcPr>
            <w:tcW w:w="1916" w:type="dxa"/>
            <w:noWrap/>
            <w:hideMark/>
          </w:tcPr>
          <w:p w14:paraId="1CD59E3F" w14:textId="77777777" w:rsidR="009F7871" w:rsidRPr="009F7871" w:rsidRDefault="009F7871" w:rsidP="00BA7380">
            <w:pPr>
              <w:spacing w:line="240" w:lineRule="auto"/>
              <w:jc w:val="center"/>
            </w:pPr>
            <w:r w:rsidRPr="009F7871">
              <w:t>362.2</w:t>
            </w:r>
          </w:p>
        </w:tc>
      </w:tr>
      <w:tr w:rsidR="009F7871" w:rsidRPr="009F7871" w14:paraId="75183628" w14:textId="77777777" w:rsidTr="00004A40">
        <w:trPr>
          <w:trHeight w:val="288"/>
        </w:trPr>
        <w:tc>
          <w:tcPr>
            <w:tcW w:w="887" w:type="dxa"/>
            <w:noWrap/>
            <w:hideMark/>
          </w:tcPr>
          <w:p w14:paraId="78C87AFA" w14:textId="77777777" w:rsidR="009F7871" w:rsidRPr="009F7871" w:rsidRDefault="009F7871" w:rsidP="00BA7380">
            <w:pPr>
              <w:spacing w:line="240" w:lineRule="auto"/>
              <w:jc w:val="center"/>
            </w:pPr>
            <w:r w:rsidRPr="009F7871">
              <w:t>2021</w:t>
            </w:r>
          </w:p>
        </w:tc>
        <w:tc>
          <w:tcPr>
            <w:tcW w:w="887" w:type="dxa"/>
            <w:noWrap/>
            <w:hideMark/>
          </w:tcPr>
          <w:p w14:paraId="3E22BCA9" w14:textId="77777777" w:rsidR="009F7871" w:rsidRPr="009F7871" w:rsidRDefault="009F7871" w:rsidP="00BA7380">
            <w:pPr>
              <w:spacing w:line="240" w:lineRule="auto"/>
              <w:jc w:val="center"/>
            </w:pPr>
            <w:r w:rsidRPr="009F7871">
              <w:t>1</w:t>
            </w:r>
          </w:p>
        </w:tc>
        <w:tc>
          <w:tcPr>
            <w:tcW w:w="887" w:type="dxa"/>
            <w:noWrap/>
            <w:hideMark/>
          </w:tcPr>
          <w:p w14:paraId="55AC7257" w14:textId="77777777" w:rsidR="009F7871" w:rsidRPr="009F7871" w:rsidRDefault="009F7871" w:rsidP="00BA7380">
            <w:pPr>
              <w:spacing w:line="240" w:lineRule="auto"/>
              <w:jc w:val="center"/>
            </w:pPr>
            <w:r w:rsidRPr="009F7871">
              <w:t>25</w:t>
            </w:r>
          </w:p>
        </w:tc>
        <w:tc>
          <w:tcPr>
            <w:tcW w:w="1923" w:type="dxa"/>
            <w:noWrap/>
            <w:hideMark/>
          </w:tcPr>
          <w:p w14:paraId="53AB505E" w14:textId="77777777" w:rsidR="009F7871" w:rsidRPr="009F7871" w:rsidRDefault="009F7871" w:rsidP="00BA7380">
            <w:pPr>
              <w:spacing w:line="240" w:lineRule="auto"/>
              <w:jc w:val="center"/>
            </w:pPr>
            <w:r w:rsidRPr="009F7871">
              <w:t>5.47</w:t>
            </w:r>
          </w:p>
        </w:tc>
        <w:tc>
          <w:tcPr>
            <w:tcW w:w="1939" w:type="dxa"/>
            <w:noWrap/>
            <w:hideMark/>
          </w:tcPr>
          <w:p w14:paraId="6E36FB0A" w14:textId="77777777" w:rsidR="009F7871" w:rsidRPr="009F7871" w:rsidRDefault="009F7871" w:rsidP="00BA7380">
            <w:pPr>
              <w:spacing w:line="240" w:lineRule="auto"/>
              <w:jc w:val="center"/>
            </w:pPr>
            <w:r w:rsidRPr="009F7871">
              <w:t>5.46</w:t>
            </w:r>
          </w:p>
        </w:tc>
        <w:tc>
          <w:tcPr>
            <w:tcW w:w="921" w:type="dxa"/>
            <w:noWrap/>
            <w:hideMark/>
          </w:tcPr>
          <w:p w14:paraId="4E49A71E" w14:textId="77777777" w:rsidR="009F7871" w:rsidRPr="009F7871" w:rsidRDefault="009F7871" w:rsidP="00BA7380">
            <w:pPr>
              <w:spacing w:line="240" w:lineRule="auto"/>
              <w:jc w:val="center"/>
            </w:pPr>
            <w:r w:rsidRPr="009F7871">
              <w:t>0.59</w:t>
            </w:r>
          </w:p>
        </w:tc>
        <w:tc>
          <w:tcPr>
            <w:tcW w:w="1916" w:type="dxa"/>
            <w:noWrap/>
            <w:hideMark/>
          </w:tcPr>
          <w:p w14:paraId="7A9D06BB" w14:textId="77777777" w:rsidR="009F7871" w:rsidRPr="009F7871" w:rsidRDefault="009F7871" w:rsidP="00BA7380">
            <w:pPr>
              <w:spacing w:line="240" w:lineRule="auto"/>
              <w:jc w:val="center"/>
            </w:pPr>
            <w:r w:rsidRPr="009F7871">
              <w:t>361.12</w:t>
            </w:r>
          </w:p>
        </w:tc>
      </w:tr>
      <w:tr w:rsidR="009F7871" w:rsidRPr="009F7871" w14:paraId="7E6C6CF9" w14:textId="77777777" w:rsidTr="00004A40">
        <w:trPr>
          <w:trHeight w:val="288"/>
        </w:trPr>
        <w:tc>
          <w:tcPr>
            <w:tcW w:w="887" w:type="dxa"/>
            <w:noWrap/>
            <w:hideMark/>
          </w:tcPr>
          <w:p w14:paraId="3CE2910C" w14:textId="77777777" w:rsidR="009F7871" w:rsidRPr="009F7871" w:rsidRDefault="009F7871" w:rsidP="00BA7380">
            <w:pPr>
              <w:spacing w:line="240" w:lineRule="auto"/>
              <w:jc w:val="center"/>
            </w:pPr>
            <w:r w:rsidRPr="009F7871">
              <w:t>2021</w:t>
            </w:r>
          </w:p>
        </w:tc>
        <w:tc>
          <w:tcPr>
            <w:tcW w:w="887" w:type="dxa"/>
            <w:noWrap/>
            <w:hideMark/>
          </w:tcPr>
          <w:p w14:paraId="5AE33E38" w14:textId="77777777" w:rsidR="009F7871" w:rsidRPr="009F7871" w:rsidRDefault="009F7871" w:rsidP="00BA7380">
            <w:pPr>
              <w:spacing w:line="240" w:lineRule="auto"/>
              <w:jc w:val="center"/>
            </w:pPr>
            <w:r w:rsidRPr="009F7871">
              <w:t>1</w:t>
            </w:r>
          </w:p>
        </w:tc>
        <w:tc>
          <w:tcPr>
            <w:tcW w:w="887" w:type="dxa"/>
            <w:noWrap/>
            <w:hideMark/>
          </w:tcPr>
          <w:p w14:paraId="5AD6C169" w14:textId="77777777" w:rsidR="009F7871" w:rsidRPr="009F7871" w:rsidRDefault="009F7871" w:rsidP="00BA7380">
            <w:pPr>
              <w:spacing w:line="240" w:lineRule="auto"/>
              <w:jc w:val="center"/>
            </w:pPr>
            <w:r w:rsidRPr="009F7871">
              <w:t>26</w:t>
            </w:r>
          </w:p>
        </w:tc>
        <w:tc>
          <w:tcPr>
            <w:tcW w:w="1923" w:type="dxa"/>
            <w:noWrap/>
            <w:hideMark/>
          </w:tcPr>
          <w:p w14:paraId="7BC6B587" w14:textId="77777777" w:rsidR="009F7871" w:rsidRPr="009F7871" w:rsidRDefault="009F7871" w:rsidP="00BA7380">
            <w:pPr>
              <w:spacing w:line="240" w:lineRule="auto"/>
              <w:jc w:val="center"/>
            </w:pPr>
            <w:r w:rsidRPr="009F7871">
              <w:t>5.76</w:t>
            </w:r>
          </w:p>
        </w:tc>
        <w:tc>
          <w:tcPr>
            <w:tcW w:w="1939" w:type="dxa"/>
            <w:noWrap/>
            <w:hideMark/>
          </w:tcPr>
          <w:p w14:paraId="112EFAD3" w14:textId="77777777" w:rsidR="009F7871" w:rsidRPr="009F7871" w:rsidRDefault="009F7871" w:rsidP="00BA7380">
            <w:pPr>
              <w:spacing w:line="240" w:lineRule="auto"/>
              <w:jc w:val="center"/>
            </w:pPr>
            <w:r w:rsidRPr="009F7871">
              <w:t>5.74</w:t>
            </w:r>
          </w:p>
        </w:tc>
        <w:tc>
          <w:tcPr>
            <w:tcW w:w="921" w:type="dxa"/>
            <w:noWrap/>
            <w:hideMark/>
          </w:tcPr>
          <w:p w14:paraId="52593104" w14:textId="77777777" w:rsidR="009F7871" w:rsidRPr="009F7871" w:rsidRDefault="009F7871" w:rsidP="00BA7380">
            <w:pPr>
              <w:spacing w:line="240" w:lineRule="auto"/>
              <w:jc w:val="center"/>
            </w:pPr>
            <w:r w:rsidRPr="009F7871">
              <w:t>0.62</w:t>
            </w:r>
          </w:p>
        </w:tc>
        <w:tc>
          <w:tcPr>
            <w:tcW w:w="1916" w:type="dxa"/>
            <w:noWrap/>
            <w:hideMark/>
          </w:tcPr>
          <w:p w14:paraId="42BA416B" w14:textId="77777777" w:rsidR="009F7871" w:rsidRPr="009F7871" w:rsidRDefault="009F7871" w:rsidP="00BA7380">
            <w:pPr>
              <w:spacing w:line="240" w:lineRule="auto"/>
              <w:jc w:val="center"/>
            </w:pPr>
            <w:r w:rsidRPr="009F7871">
              <w:t>372.27</w:t>
            </w:r>
          </w:p>
        </w:tc>
      </w:tr>
      <w:tr w:rsidR="009F7871" w:rsidRPr="009F7871" w14:paraId="21963C6E" w14:textId="77777777" w:rsidTr="00004A40">
        <w:trPr>
          <w:trHeight w:val="288"/>
        </w:trPr>
        <w:tc>
          <w:tcPr>
            <w:tcW w:w="887" w:type="dxa"/>
            <w:noWrap/>
            <w:hideMark/>
          </w:tcPr>
          <w:p w14:paraId="209D9B1F" w14:textId="77777777" w:rsidR="009F7871" w:rsidRPr="009F7871" w:rsidRDefault="009F7871" w:rsidP="00BA7380">
            <w:pPr>
              <w:spacing w:line="240" w:lineRule="auto"/>
              <w:jc w:val="center"/>
            </w:pPr>
            <w:r w:rsidRPr="009F7871">
              <w:t>2021</w:t>
            </w:r>
          </w:p>
        </w:tc>
        <w:tc>
          <w:tcPr>
            <w:tcW w:w="887" w:type="dxa"/>
            <w:noWrap/>
            <w:hideMark/>
          </w:tcPr>
          <w:p w14:paraId="5954C81B" w14:textId="77777777" w:rsidR="009F7871" w:rsidRPr="009F7871" w:rsidRDefault="009F7871" w:rsidP="00BA7380">
            <w:pPr>
              <w:spacing w:line="240" w:lineRule="auto"/>
              <w:jc w:val="center"/>
            </w:pPr>
            <w:r w:rsidRPr="009F7871">
              <w:t>1</w:t>
            </w:r>
          </w:p>
        </w:tc>
        <w:tc>
          <w:tcPr>
            <w:tcW w:w="887" w:type="dxa"/>
            <w:noWrap/>
            <w:hideMark/>
          </w:tcPr>
          <w:p w14:paraId="248D9777" w14:textId="77777777" w:rsidR="009F7871" w:rsidRPr="009F7871" w:rsidRDefault="009F7871" w:rsidP="00BA7380">
            <w:pPr>
              <w:spacing w:line="240" w:lineRule="auto"/>
              <w:jc w:val="center"/>
            </w:pPr>
            <w:r w:rsidRPr="009F7871">
              <w:t>27</w:t>
            </w:r>
          </w:p>
        </w:tc>
        <w:tc>
          <w:tcPr>
            <w:tcW w:w="1923" w:type="dxa"/>
            <w:noWrap/>
            <w:hideMark/>
          </w:tcPr>
          <w:p w14:paraId="66F87A08" w14:textId="77777777" w:rsidR="009F7871" w:rsidRPr="009F7871" w:rsidRDefault="009F7871" w:rsidP="00BA7380">
            <w:pPr>
              <w:spacing w:line="240" w:lineRule="auto"/>
              <w:jc w:val="center"/>
            </w:pPr>
            <w:r w:rsidRPr="009F7871">
              <w:t>5.77</w:t>
            </w:r>
          </w:p>
        </w:tc>
        <w:tc>
          <w:tcPr>
            <w:tcW w:w="1939" w:type="dxa"/>
            <w:noWrap/>
            <w:hideMark/>
          </w:tcPr>
          <w:p w14:paraId="656E81E2" w14:textId="77777777" w:rsidR="009F7871" w:rsidRPr="009F7871" w:rsidRDefault="009F7871" w:rsidP="00BA7380">
            <w:pPr>
              <w:spacing w:line="240" w:lineRule="auto"/>
              <w:jc w:val="center"/>
            </w:pPr>
            <w:r w:rsidRPr="009F7871">
              <w:t>5.77</w:t>
            </w:r>
          </w:p>
        </w:tc>
        <w:tc>
          <w:tcPr>
            <w:tcW w:w="921" w:type="dxa"/>
            <w:noWrap/>
            <w:hideMark/>
          </w:tcPr>
          <w:p w14:paraId="5B79BA67" w14:textId="77777777" w:rsidR="009F7871" w:rsidRPr="009F7871" w:rsidRDefault="009F7871" w:rsidP="00BA7380">
            <w:pPr>
              <w:spacing w:line="240" w:lineRule="auto"/>
              <w:jc w:val="center"/>
            </w:pPr>
            <w:r w:rsidRPr="009F7871">
              <w:t>0.62</w:t>
            </w:r>
          </w:p>
        </w:tc>
        <w:tc>
          <w:tcPr>
            <w:tcW w:w="1916" w:type="dxa"/>
            <w:noWrap/>
            <w:hideMark/>
          </w:tcPr>
          <w:p w14:paraId="67F0F28F" w14:textId="77777777" w:rsidR="009F7871" w:rsidRPr="009F7871" w:rsidRDefault="009F7871" w:rsidP="00BA7380">
            <w:pPr>
              <w:spacing w:line="240" w:lineRule="auto"/>
              <w:jc w:val="center"/>
            </w:pPr>
            <w:r w:rsidRPr="009F7871">
              <w:t>365.96</w:t>
            </w:r>
          </w:p>
        </w:tc>
      </w:tr>
      <w:tr w:rsidR="009F7871" w:rsidRPr="009F7871" w14:paraId="1043FBC2" w14:textId="77777777" w:rsidTr="00004A40">
        <w:trPr>
          <w:trHeight w:val="288"/>
        </w:trPr>
        <w:tc>
          <w:tcPr>
            <w:tcW w:w="887" w:type="dxa"/>
            <w:noWrap/>
            <w:hideMark/>
          </w:tcPr>
          <w:p w14:paraId="1B9911B1" w14:textId="77777777" w:rsidR="009F7871" w:rsidRPr="009F7871" w:rsidRDefault="009F7871" w:rsidP="00BA7380">
            <w:pPr>
              <w:spacing w:line="240" w:lineRule="auto"/>
              <w:jc w:val="center"/>
            </w:pPr>
            <w:r w:rsidRPr="009F7871">
              <w:t>2021</w:t>
            </w:r>
          </w:p>
        </w:tc>
        <w:tc>
          <w:tcPr>
            <w:tcW w:w="887" w:type="dxa"/>
            <w:noWrap/>
            <w:hideMark/>
          </w:tcPr>
          <w:p w14:paraId="5A4882F3" w14:textId="77777777" w:rsidR="009F7871" w:rsidRPr="009F7871" w:rsidRDefault="009F7871" w:rsidP="00BA7380">
            <w:pPr>
              <w:spacing w:line="240" w:lineRule="auto"/>
              <w:jc w:val="center"/>
            </w:pPr>
            <w:r w:rsidRPr="009F7871">
              <w:t>1</w:t>
            </w:r>
          </w:p>
        </w:tc>
        <w:tc>
          <w:tcPr>
            <w:tcW w:w="887" w:type="dxa"/>
            <w:noWrap/>
            <w:hideMark/>
          </w:tcPr>
          <w:p w14:paraId="2AD48157" w14:textId="77777777" w:rsidR="009F7871" w:rsidRPr="009F7871" w:rsidRDefault="009F7871" w:rsidP="00BA7380">
            <w:pPr>
              <w:spacing w:line="240" w:lineRule="auto"/>
              <w:jc w:val="center"/>
            </w:pPr>
            <w:r w:rsidRPr="009F7871">
              <w:t>28</w:t>
            </w:r>
          </w:p>
        </w:tc>
        <w:tc>
          <w:tcPr>
            <w:tcW w:w="1923" w:type="dxa"/>
            <w:noWrap/>
            <w:hideMark/>
          </w:tcPr>
          <w:p w14:paraId="3572B103" w14:textId="77777777" w:rsidR="009F7871" w:rsidRPr="009F7871" w:rsidRDefault="009F7871" w:rsidP="00BA7380">
            <w:pPr>
              <w:spacing w:line="240" w:lineRule="auto"/>
              <w:jc w:val="center"/>
            </w:pPr>
            <w:r w:rsidRPr="009F7871">
              <w:t>5.58</w:t>
            </w:r>
          </w:p>
        </w:tc>
        <w:tc>
          <w:tcPr>
            <w:tcW w:w="1939" w:type="dxa"/>
            <w:noWrap/>
            <w:hideMark/>
          </w:tcPr>
          <w:p w14:paraId="0BFD81BB" w14:textId="77777777" w:rsidR="009F7871" w:rsidRPr="009F7871" w:rsidRDefault="009F7871" w:rsidP="00BA7380">
            <w:pPr>
              <w:spacing w:line="240" w:lineRule="auto"/>
              <w:jc w:val="center"/>
            </w:pPr>
            <w:r w:rsidRPr="009F7871">
              <w:t>5.63</w:t>
            </w:r>
          </w:p>
        </w:tc>
        <w:tc>
          <w:tcPr>
            <w:tcW w:w="921" w:type="dxa"/>
            <w:noWrap/>
            <w:hideMark/>
          </w:tcPr>
          <w:p w14:paraId="17669AE8" w14:textId="77777777" w:rsidR="009F7871" w:rsidRPr="009F7871" w:rsidRDefault="009F7871" w:rsidP="00BA7380">
            <w:pPr>
              <w:spacing w:line="240" w:lineRule="auto"/>
              <w:jc w:val="center"/>
            </w:pPr>
            <w:r w:rsidRPr="009F7871">
              <w:t>0.6</w:t>
            </w:r>
          </w:p>
        </w:tc>
        <w:tc>
          <w:tcPr>
            <w:tcW w:w="1916" w:type="dxa"/>
            <w:noWrap/>
            <w:hideMark/>
          </w:tcPr>
          <w:p w14:paraId="5651840E" w14:textId="77777777" w:rsidR="009F7871" w:rsidRPr="009F7871" w:rsidRDefault="009F7871" w:rsidP="00BA7380">
            <w:pPr>
              <w:spacing w:line="240" w:lineRule="auto"/>
              <w:jc w:val="center"/>
            </w:pPr>
            <w:r w:rsidRPr="009F7871">
              <w:t>387.87</w:t>
            </w:r>
          </w:p>
        </w:tc>
      </w:tr>
      <w:tr w:rsidR="009F7871" w:rsidRPr="009F7871" w14:paraId="63DD836B" w14:textId="77777777" w:rsidTr="00004A40">
        <w:trPr>
          <w:trHeight w:val="288"/>
        </w:trPr>
        <w:tc>
          <w:tcPr>
            <w:tcW w:w="887" w:type="dxa"/>
            <w:noWrap/>
            <w:hideMark/>
          </w:tcPr>
          <w:p w14:paraId="1B1DFFD2" w14:textId="77777777" w:rsidR="009F7871" w:rsidRPr="009F7871" w:rsidRDefault="009F7871" w:rsidP="00BA7380">
            <w:pPr>
              <w:spacing w:line="240" w:lineRule="auto"/>
              <w:jc w:val="center"/>
            </w:pPr>
            <w:r w:rsidRPr="009F7871">
              <w:t>2021</w:t>
            </w:r>
          </w:p>
        </w:tc>
        <w:tc>
          <w:tcPr>
            <w:tcW w:w="887" w:type="dxa"/>
            <w:noWrap/>
            <w:hideMark/>
          </w:tcPr>
          <w:p w14:paraId="68EBD38F" w14:textId="77777777" w:rsidR="009F7871" w:rsidRPr="009F7871" w:rsidRDefault="009F7871" w:rsidP="00BA7380">
            <w:pPr>
              <w:spacing w:line="240" w:lineRule="auto"/>
              <w:jc w:val="center"/>
            </w:pPr>
            <w:r w:rsidRPr="009F7871">
              <w:t>1</w:t>
            </w:r>
          </w:p>
        </w:tc>
        <w:tc>
          <w:tcPr>
            <w:tcW w:w="887" w:type="dxa"/>
            <w:noWrap/>
            <w:hideMark/>
          </w:tcPr>
          <w:p w14:paraId="3A1FFE99" w14:textId="77777777" w:rsidR="009F7871" w:rsidRPr="009F7871" w:rsidRDefault="009F7871" w:rsidP="00BA7380">
            <w:pPr>
              <w:spacing w:line="240" w:lineRule="auto"/>
              <w:jc w:val="center"/>
            </w:pPr>
            <w:r w:rsidRPr="009F7871">
              <w:t>29</w:t>
            </w:r>
          </w:p>
        </w:tc>
        <w:tc>
          <w:tcPr>
            <w:tcW w:w="1923" w:type="dxa"/>
            <w:noWrap/>
            <w:hideMark/>
          </w:tcPr>
          <w:p w14:paraId="787711C4" w14:textId="77777777" w:rsidR="009F7871" w:rsidRPr="009F7871" w:rsidRDefault="009F7871" w:rsidP="00BA7380">
            <w:pPr>
              <w:spacing w:line="240" w:lineRule="auto"/>
              <w:jc w:val="center"/>
            </w:pPr>
            <w:r w:rsidRPr="009F7871">
              <w:t>5.91</w:t>
            </w:r>
          </w:p>
        </w:tc>
        <w:tc>
          <w:tcPr>
            <w:tcW w:w="1939" w:type="dxa"/>
            <w:noWrap/>
            <w:hideMark/>
          </w:tcPr>
          <w:p w14:paraId="0AF17269" w14:textId="77777777" w:rsidR="009F7871" w:rsidRPr="009F7871" w:rsidRDefault="009F7871" w:rsidP="00BA7380">
            <w:pPr>
              <w:spacing w:line="240" w:lineRule="auto"/>
              <w:jc w:val="center"/>
            </w:pPr>
            <w:r w:rsidRPr="009F7871">
              <w:t>5.96</w:t>
            </w:r>
          </w:p>
        </w:tc>
        <w:tc>
          <w:tcPr>
            <w:tcW w:w="921" w:type="dxa"/>
            <w:noWrap/>
            <w:hideMark/>
          </w:tcPr>
          <w:p w14:paraId="6BBED054" w14:textId="77777777" w:rsidR="009F7871" w:rsidRPr="009F7871" w:rsidRDefault="009F7871" w:rsidP="00BA7380">
            <w:pPr>
              <w:spacing w:line="240" w:lineRule="auto"/>
              <w:jc w:val="center"/>
            </w:pPr>
            <w:r w:rsidRPr="009F7871">
              <w:t>0.63</w:t>
            </w:r>
          </w:p>
        </w:tc>
        <w:tc>
          <w:tcPr>
            <w:tcW w:w="1916" w:type="dxa"/>
            <w:noWrap/>
            <w:hideMark/>
          </w:tcPr>
          <w:p w14:paraId="124B0A79" w14:textId="77777777" w:rsidR="009F7871" w:rsidRPr="009F7871" w:rsidRDefault="009F7871" w:rsidP="00BA7380">
            <w:pPr>
              <w:spacing w:line="240" w:lineRule="auto"/>
              <w:jc w:val="center"/>
            </w:pPr>
            <w:r w:rsidRPr="009F7871">
              <w:t>373.35</w:t>
            </w:r>
          </w:p>
        </w:tc>
      </w:tr>
      <w:tr w:rsidR="009F7871" w:rsidRPr="009F7871" w14:paraId="76768F35" w14:textId="77777777" w:rsidTr="00004A40">
        <w:trPr>
          <w:trHeight w:val="288"/>
        </w:trPr>
        <w:tc>
          <w:tcPr>
            <w:tcW w:w="887" w:type="dxa"/>
            <w:noWrap/>
            <w:hideMark/>
          </w:tcPr>
          <w:p w14:paraId="44079A4E" w14:textId="77777777" w:rsidR="009F7871" w:rsidRPr="009F7871" w:rsidRDefault="009F7871" w:rsidP="00BA7380">
            <w:pPr>
              <w:spacing w:line="240" w:lineRule="auto"/>
              <w:jc w:val="center"/>
            </w:pPr>
            <w:r w:rsidRPr="009F7871">
              <w:t>2021</w:t>
            </w:r>
          </w:p>
        </w:tc>
        <w:tc>
          <w:tcPr>
            <w:tcW w:w="887" w:type="dxa"/>
            <w:noWrap/>
            <w:hideMark/>
          </w:tcPr>
          <w:p w14:paraId="72B77488" w14:textId="77777777" w:rsidR="009F7871" w:rsidRPr="009F7871" w:rsidRDefault="009F7871" w:rsidP="00BA7380">
            <w:pPr>
              <w:spacing w:line="240" w:lineRule="auto"/>
              <w:jc w:val="center"/>
            </w:pPr>
            <w:r w:rsidRPr="009F7871">
              <w:t>1</w:t>
            </w:r>
          </w:p>
        </w:tc>
        <w:tc>
          <w:tcPr>
            <w:tcW w:w="887" w:type="dxa"/>
            <w:noWrap/>
            <w:hideMark/>
          </w:tcPr>
          <w:p w14:paraId="02FE6937" w14:textId="77777777" w:rsidR="009F7871" w:rsidRPr="009F7871" w:rsidRDefault="009F7871" w:rsidP="00BA7380">
            <w:pPr>
              <w:spacing w:line="240" w:lineRule="auto"/>
              <w:jc w:val="center"/>
            </w:pPr>
            <w:r w:rsidRPr="009F7871">
              <w:t>30</w:t>
            </w:r>
          </w:p>
        </w:tc>
        <w:tc>
          <w:tcPr>
            <w:tcW w:w="1923" w:type="dxa"/>
            <w:noWrap/>
            <w:hideMark/>
          </w:tcPr>
          <w:p w14:paraId="7517145B" w14:textId="77777777" w:rsidR="009F7871" w:rsidRPr="009F7871" w:rsidRDefault="009F7871" w:rsidP="00BA7380">
            <w:pPr>
              <w:spacing w:line="240" w:lineRule="auto"/>
              <w:jc w:val="center"/>
            </w:pPr>
            <w:r w:rsidRPr="009F7871">
              <w:t>5.17</w:t>
            </w:r>
          </w:p>
        </w:tc>
        <w:tc>
          <w:tcPr>
            <w:tcW w:w="1939" w:type="dxa"/>
            <w:noWrap/>
            <w:hideMark/>
          </w:tcPr>
          <w:p w14:paraId="1174DBCD" w14:textId="77777777" w:rsidR="009F7871" w:rsidRPr="009F7871" w:rsidRDefault="009F7871" w:rsidP="00BA7380">
            <w:pPr>
              <w:spacing w:line="240" w:lineRule="auto"/>
              <w:jc w:val="center"/>
            </w:pPr>
            <w:r w:rsidRPr="009F7871">
              <w:t>5.27</w:t>
            </w:r>
          </w:p>
        </w:tc>
        <w:tc>
          <w:tcPr>
            <w:tcW w:w="921" w:type="dxa"/>
            <w:noWrap/>
            <w:hideMark/>
          </w:tcPr>
          <w:p w14:paraId="4B2111E0" w14:textId="77777777" w:rsidR="009F7871" w:rsidRPr="009F7871" w:rsidRDefault="009F7871" w:rsidP="00BA7380">
            <w:pPr>
              <w:spacing w:line="240" w:lineRule="auto"/>
              <w:jc w:val="center"/>
            </w:pPr>
            <w:r w:rsidRPr="009F7871">
              <w:t>0.55</w:t>
            </w:r>
          </w:p>
        </w:tc>
        <w:tc>
          <w:tcPr>
            <w:tcW w:w="1916" w:type="dxa"/>
            <w:noWrap/>
            <w:hideMark/>
          </w:tcPr>
          <w:p w14:paraId="4EB7A660" w14:textId="77777777" w:rsidR="009F7871" w:rsidRPr="009F7871" w:rsidRDefault="009F7871" w:rsidP="00BA7380">
            <w:pPr>
              <w:spacing w:line="240" w:lineRule="auto"/>
              <w:jc w:val="center"/>
            </w:pPr>
            <w:r w:rsidRPr="009F7871">
              <w:t>373.28</w:t>
            </w:r>
          </w:p>
        </w:tc>
      </w:tr>
      <w:tr w:rsidR="009F7871" w:rsidRPr="009F7871" w14:paraId="057D15E6" w14:textId="77777777" w:rsidTr="00004A40">
        <w:trPr>
          <w:trHeight w:val="288"/>
        </w:trPr>
        <w:tc>
          <w:tcPr>
            <w:tcW w:w="887" w:type="dxa"/>
            <w:noWrap/>
            <w:hideMark/>
          </w:tcPr>
          <w:p w14:paraId="3D60D865" w14:textId="77777777" w:rsidR="009F7871" w:rsidRPr="009F7871" w:rsidRDefault="009F7871" w:rsidP="00BA7380">
            <w:pPr>
              <w:spacing w:line="240" w:lineRule="auto"/>
              <w:jc w:val="center"/>
            </w:pPr>
            <w:r w:rsidRPr="009F7871">
              <w:t>2021</w:t>
            </w:r>
          </w:p>
        </w:tc>
        <w:tc>
          <w:tcPr>
            <w:tcW w:w="887" w:type="dxa"/>
            <w:noWrap/>
            <w:hideMark/>
          </w:tcPr>
          <w:p w14:paraId="475A6326" w14:textId="77777777" w:rsidR="009F7871" w:rsidRPr="009F7871" w:rsidRDefault="009F7871" w:rsidP="00BA7380">
            <w:pPr>
              <w:spacing w:line="240" w:lineRule="auto"/>
              <w:jc w:val="center"/>
            </w:pPr>
            <w:r w:rsidRPr="009F7871">
              <w:t>1</w:t>
            </w:r>
          </w:p>
        </w:tc>
        <w:tc>
          <w:tcPr>
            <w:tcW w:w="887" w:type="dxa"/>
            <w:noWrap/>
            <w:hideMark/>
          </w:tcPr>
          <w:p w14:paraId="719A7514" w14:textId="77777777" w:rsidR="009F7871" w:rsidRPr="009F7871" w:rsidRDefault="009F7871" w:rsidP="00BA7380">
            <w:pPr>
              <w:spacing w:line="240" w:lineRule="auto"/>
              <w:jc w:val="center"/>
            </w:pPr>
            <w:r w:rsidRPr="009F7871">
              <w:t>31</w:t>
            </w:r>
          </w:p>
        </w:tc>
        <w:tc>
          <w:tcPr>
            <w:tcW w:w="1923" w:type="dxa"/>
            <w:noWrap/>
            <w:hideMark/>
          </w:tcPr>
          <w:p w14:paraId="4D8A7D05" w14:textId="77777777" w:rsidR="009F7871" w:rsidRPr="009F7871" w:rsidRDefault="009F7871" w:rsidP="00BA7380">
            <w:pPr>
              <w:spacing w:line="240" w:lineRule="auto"/>
              <w:jc w:val="center"/>
            </w:pPr>
            <w:r w:rsidRPr="009F7871">
              <w:t>4.83</w:t>
            </w:r>
          </w:p>
        </w:tc>
        <w:tc>
          <w:tcPr>
            <w:tcW w:w="1939" w:type="dxa"/>
            <w:noWrap/>
            <w:hideMark/>
          </w:tcPr>
          <w:p w14:paraId="54EB134A" w14:textId="77777777" w:rsidR="009F7871" w:rsidRPr="009F7871" w:rsidRDefault="009F7871" w:rsidP="00BA7380">
            <w:pPr>
              <w:spacing w:line="240" w:lineRule="auto"/>
              <w:jc w:val="center"/>
            </w:pPr>
            <w:r w:rsidRPr="009F7871">
              <w:t>5.02</w:t>
            </w:r>
          </w:p>
        </w:tc>
        <w:tc>
          <w:tcPr>
            <w:tcW w:w="921" w:type="dxa"/>
            <w:noWrap/>
            <w:hideMark/>
          </w:tcPr>
          <w:p w14:paraId="594FDBFE" w14:textId="77777777" w:rsidR="009F7871" w:rsidRPr="009F7871" w:rsidRDefault="009F7871" w:rsidP="00BA7380">
            <w:pPr>
              <w:spacing w:line="240" w:lineRule="auto"/>
              <w:jc w:val="center"/>
            </w:pPr>
            <w:r w:rsidRPr="009F7871">
              <w:t>0.52</w:t>
            </w:r>
          </w:p>
        </w:tc>
        <w:tc>
          <w:tcPr>
            <w:tcW w:w="1916" w:type="dxa"/>
            <w:noWrap/>
            <w:hideMark/>
          </w:tcPr>
          <w:p w14:paraId="67B77E81" w14:textId="77777777" w:rsidR="009F7871" w:rsidRPr="009F7871" w:rsidRDefault="009F7871" w:rsidP="00BA7380">
            <w:pPr>
              <w:spacing w:line="240" w:lineRule="auto"/>
              <w:jc w:val="center"/>
            </w:pPr>
            <w:r w:rsidRPr="009F7871">
              <w:t>399.65</w:t>
            </w:r>
          </w:p>
        </w:tc>
      </w:tr>
    </w:tbl>
    <w:p w14:paraId="05D00B1F" w14:textId="0F87CD40" w:rsidR="009F7871" w:rsidRDefault="009F7871" w:rsidP="00F03645">
      <w:pPr>
        <w:spacing w:line="480" w:lineRule="auto"/>
        <w:rPr>
          <w:lang w:val="en-US"/>
        </w:rPr>
      </w:pPr>
    </w:p>
    <w:p w14:paraId="16A37E84" w14:textId="1639AECA" w:rsidR="009F7871" w:rsidRPr="009F7871" w:rsidRDefault="009F7871" w:rsidP="00F03645">
      <w:pPr>
        <w:spacing w:line="480" w:lineRule="auto"/>
        <w:rPr>
          <w:lang w:val="en-US"/>
        </w:rPr>
      </w:pPr>
      <w:r w:rsidRPr="009F7871">
        <w:rPr>
          <w:lang w:val="en-US"/>
        </w:rPr>
        <w:t xml:space="preserve">ALLSKY_SFC_SW_DWN   </w:t>
      </w:r>
      <w:r w:rsidR="00004A40">
        <w:rPr>
          <w:lang w:val="en-US"/>
        </w:rPr>
        <w:t>is</w:t>
      </w:r>
      <w:r w:rsidRPr="009F7871">
        <w:rPr>
          <w:lang w:val="en-US"/>
        </w:rPr>
        <w:t xml:space="preserve">  CERES SYN1deg All Sky Surface Shortwave Downward Irradiance (kW-hr/m^2/day) </w:t>
      </w:r>
      <w:r w:rsidRPr="009F7871">
        <w:rPr>
          <w:lang w:val="en-US"/>
        </w:rPr>
        <w:tab/>
      </w:r>
    </w:p>
    <w:p w14:paraId="19394DF2" w14:textId="530323E0" w:rsidR="009F7871" w:rsidRPr="009F7871" w:rsidRDefault="00004A40" w:rsidP="00F03645">
      <w:pPr>
        <w:spacing w:line="480" w:lineRule="auto"/>
        <w:rPr>
          <w:lang w:val="en-US"/>
        </w:rPr>
      </w:pPr>
      <w:r>
        <w:rPr>
          <w:lang w:val="en-US"/>
        </w:rPr>
        <w:t>CLRSKY_SFC_SW_DWN  is</w:t>
      </w:r>
      <w:r w:rsidR="009F7871" w:rsidRPr="009F7871">
        <w:rPr>
          <w:lang w:val="en-US"/>
        </w:rPr>
        <w:t xml:space="preserve"> CERES SYN1deg Clear Sky Surface Shortwave Downward Irradiance (kW-hr/m^2/day) </w:t>
      </w:r>
      <w:r w:rsidR="009F7871" w:rsidRPr="009F7871">
        <w:rPr>
          <w:lang w:val="en-US"/>
        </w:rPr>
        <w:tab/>
      </w:r>
    </w:p>
    <w:p w14:paraId="466FF509" w14:textId="6201B36B" w:rsidR="009F7871" w:rsidRPr="009F7871" w:rsidRDefault="009F7871" w:rsidP="00F03645">
      <w:pPr>
        <w:spacing w:line="480" w:lineRule="auto"/>
        <w:rPr>
          <w:lang w:val="en-US"/>
        </w:rPr>
      </w:pPr>
      <w:r>
        <w:rPr>
          <w:lang w:val="en-US"/>
        </w:rPr>
        <w:t xml:space="preserve">ALLSKY_KT    </w:t>
      </w:r>
      <w:r w:rsidR="00004A40">
        <w:rPr>
          <w:lang w:val="en-US"/>
        </w:rPr>
        <w:t>is</w:t>
      </w:r>
      <w:r>
        <w:rPr>
          <w:lang w:val="en-US"/>
        </w:rPr>
        <w:t xml:space="preserve">  </w:t>
      </w:r>
      <w:r w:rsidRPr="009F7871">
        <w:rPr>
          <w:lang w:val="en-US"/>
        </w:rPr>
        <w:t xml:space="preserve">CERES SYN1deg All Sky Insolation Clearness Index (dimensionless) </w:t>
      </w:r>
      <w:r w:rsidRPr="009F7871">
        <w:rPr>
          <w:lang w:val="en-US"/>
        </w:rPr>
        <w:tab/>
      </w:r>
    </w:p>
    <w:p w14:paraId="501835FB" w14:textId="65A70272" w:rsidR="009F7871" w:rsidRPr="009F7871" w:rsidRDefault="009F7871" w:rsidP="00F03645">
      <w:pPr>
        <w:spacing w:line="480" w:lineRule="auto"/>
        <w:rPr>
          <w:lang w:val="en-US"/>
        </w:rPr>
      </w:pPr>
      <w:r>
        <w:rPr>
          <w:lang w:val="en-US"/>
        </w:rPr>
        <w:t xml:space="preserve">ALLSKY_SFC_LW_DWN  </w:t>
      </w:r>
      <w:r w:rsidR="00004A40">
        <w:rPr>
          <w:lang w:val="en-US"/>
        </w:rPr>
        <w:t>is</w:t>
      </w:r>
      <w:r w:rsidRPr="009F7871">
        <w:rPr>
          <w:lang w:val="en-US"/>
        </w:rPr>
        <w:t xml:space="preserve">  CERES SYN1deg All Sky Surface Longwave Downward Irradiance (W/m^2) </w:t>
      </w:r>
      <w:r w:rsidRPr="009F7871">
        <w:rPr>
          <w:lang w:val="en-US"/>
        </w:rPr>
        <w:tab/>
      </w:r>
    </w:p>
    <w:p w14:paraId="4BDBC49C" w14:textId="6DD6173E" w:rsidR="009F7871" w:rsidRPr="009F7871" w:rsidRDefault="009F7871" w:rsidP="00F03645">
      <w:pPr>
        <w:spacing w:line="480" w:lineRule="auto"/>
        <w:rPr>
          <w:lang w:val="en-US"/>
        </w:rPr>
      </w:pPr>
      <w:r>
        <w:rPr>
          <w:lang w:val="en-US"/>
        </w:rPr>
        <w:t xml:space="preserve">ALLSKY_SFC_PAR_TOT  </w:t>
      </w:r>
      <w:r w:rsidR="00004A40">
        <w:rPr>
          <w:lang w:val="en-US"/>
        </w:rPr>
        <w:t>is</w:t>
      </w:r>
      <w:r w:rsidRPr="009F7871">
        <w:rPr>
          <w:lang w:val="en-US"/>
        </w:rPr>
        <w:t xml:space="preserve">   CERES SYN1deg All Sky Surface PAR Total (W/m^2) </w:t>
      </w:r>
      <w:r w:rsidRPr="009F7871">
        <w:rPr>
          <w:lang w:val="en-US"/>
        </w:rPr>
        <w:tab/>
      </w:r>
    </w:p>
    <w:p w14:paraId="49127A20" w14:textId="65F285CC" w:rsidR="009F7871" w:rsidRPr="009F7871" w:rsidRDefault="009F7871" w:rsidP="00F03645">
      <w:pPr>
        <w:spacing w:line="480" w:lineRule="auto"/>
        <w:rPr>
          <w:lang w:val="en-US"/>
        </w:rPr>
      </w:pPr>
      <w:r>
        <w:rPr>
          <w:lang w:val="en-US"/>
        </w:rPr>
        <w:t xml:space="preserve">CLRSKY_SFC_PAR_TOT  </w:t>
      </w:r>
      <w:r w:rsidR="00004A40">
        <w:rPr>
          <w:lang w:val="en-US"/>
        </w:rPr>
        <w:t>is</w:t>
      </w:r>
      <w:r w:rsidRPr="009F7871">
        <w:rPr>
          <w:lang w:val="en-US"/>
        </w:rPr>
        <w:t xml:space="preserve">  CERES SYN1deg Clear Sky Surface PAR Total (W/m^2) </w:t>
      </w:r>
      <w:r w:rsidRPr="009F7871">
        <w:rPr>
          <w:lang w:val="en-US"/>
        </w:rPr>
        <w:tab/>
      </w:r>
    </w:p>
    <w:p w14:paraId="64E3F537" w14:textId="36C42CDC" w:rsidR="009F7871" w:rsidRPr="009F7871" w:rsidRDefault="00004A40" w:rsidP="00F03645">
      <w:pPr>
        <w:spacing w:line="480" w:lineRule="auto"/>
        <w:rPr>
          <w:lang w:val="en-US"/>
        </w:rPr>
      </w:pPr>
      <w:r>
        <w:rPr>
          <w:lang w:val="en-US"/>
        </w:rPr>
        <w:t>ALLSKY_SFC_UVA    is</w:t>
      </w:r>
      <w:r w:rsidR="009F7871">
        <w:rPr>
          <w:lang w:val="en-US"/>
        </w:rPr>
        <w:t xml:space="preserve"> </w:t>
      </w:r>
      <w:r w:rsidR="009F7871" w:rsidRPr="009F7871">
        <w:rPr>
          <w:lang w:val="en-US"/>
        </w:rPr>
        <w:t xml:space="preserve">CERES SYN1deg All Sky Surface UVA Irradiance (W/m^2) </w:t>
      </w:r>
      <w:r w:rsidR="009F7871" w:rsidRPr="009F7871">
        <w:rPr>
          <w:lang w:val="en-US"/>
        </w:rPr>
        <w:tab/>
      </w:r>
    </w:p>
    <w:p w14:paraId="184325C9" w14:textId="459C7957" w:rsidR="009F7871" w:rsidRPr="009F7871" w:rsidRDefault="009F7871" w:rsidP="00F03645">
      <w:pPr>
        <w:spacing w:line="480" w:lineRule="auto"/>
        <w:rPr>
          <w:lang w:val="en-US"/>
        </w:rPr>
      </w:pPr>
      <w:r>
        <w:rPr>
          <w:lang w:val="en-US"/>
        </w:rPr>
        <w:t xml:space="preserve">ALLSKY_SFC_UVB      </w:t>
      </w:r>
      <w:r w:rsidR="00004A40">
        <w:rPr>
          <w:lang w:val="en-US"/>
        </w:rPr>
        <w:t>is</w:t>
      </w:r>
      <w:r w:rsidRPr="009F7871">
        <w:rPr>
          <w:lang w:val="en-US"/>
        </w:rPr>
        <w:t xml:space="preserve"> CERES SYN1deg All Sky Surface UVB Irradiance (W/m^2) </w:t>
      </w:r>
      <w:r w:rsidRPr="009F7871">
        <w:rPr>
          <w:lang w:val="en-US"/>
        </w:rPr>
        <w:tab/>
      </w:r>
    </w:p>
    <w:p w14:paraId="0837651C" w14:textId="043B9F64" w:rsidR="009F7871" w:rsidRDefault="009F7871" w:rsidP="00F03645">
      <w:pPr>
        <w:spacing w:line="480" w:lineRule="auto"/>
        <w:rPr>
          <w:lang w:val="en-US"/>
        </w:rPr>
        <w:sectPr w:rsidR="009F7871" w:rsidSect="005B60E4">
          <w:pgSz w:w="15840" w:h="12240" w:orient="landscape"/>
          <w:pgMar w:top="2160" w:right="1440" w:bottom="1440" w:left="1440" w:header="706" w:footer="706" w:gutter="0"/>
          <w:cols w:space="708"/>
          <w:docGrid w:linePitch="360"/>
        </w:sectPr>
      </w:pPr>
      <w:r w:rsidRPr="009F7871">
        <w:rPr>
          <w:lang w:val="en-US"/>
        </w:rPr>
        <w:t>ALLSKY_SF</w:t>
      </w:r>
      <w:r>
        <w:rPr>
          <w:lang w:val="en-US"/>
        </w:rPr>
        <w:t xml:space="preserve">C_UV_INDEX  </w:t>
      </w:r>
      <w:r w:rsidR="00004A40">
        <w:rPr>
          <w:lang w:val="en-US"/>
        </w:rPr>
        <w:t>is</w:t>
      </w:r>
      <w:r w:rsidRPr="009F7871">
        <w:rPr>
          <w:lang w:val="en-US"/>
        </w:rPr>
        <w:t xml:space="preserve"> CERES SYN1deg All Sky Surface UV Index (dimensionless) </w:t>
      </w:r>
      <w:r w:rsidRPr="009F7871">
        <w:rPr>
          <w:lang w:val="en-US"/>
        </w:rPr>
        <w:tab/>
      </w:r>
    </w:p>
    <w:p w14:paraId="020D784D" w14:textId="3E5C310B" w:rsidR="007E01A6" w:rsidRDefault="007E01A6" w:rsidP="00F03645">
      <w:pPr>
        <w:pStyle w:val="Heading1"/>
        <w:spacing w:line="480" w:lineRule="auto"/>
        <w:rPr>
          <w:lang w:val="en-US"/>
        </w:rPr>
      </w:pPr>
      <w:bookmarkStart w:id="66" w:name="_Toc110502604"/>
      <w:r>
        <w:rPr>
          <w:lang w:val="en-US"/>
        </w:rPr>
        <w:t>CHAPTER FOUR</w:t>
      </w:r>
      <w:bookmarkEnd w:id="66"/>
    </w:p>
    <w:p w14:paraId="59CCE5C8" w14:textId="77777777" w:rsidR="007E01A6" w:rsidRDefault="007E01A6" w:rsidP="00F03645">
      <w:pPr>
        <w:pStyle w:val="Heading2"/>
        <w:spacing w:line="480" w:lineRule="auto"/>
        <w:rPr>
          <w:lang w:val="en-US"/>
        </w:rPr>
      </w:pPr>
      <w:bookmarkStart w:id="67" w:name="_Toc110502605"/>
      <w:r>
        <w:rPr>
          <w:lang w:val="en-US"/>
        </w:rPr>
        <w:t>RESULTS AND DISCUSSION OF FINDINGS</w:t>
      </w:r>
      <w:bookmarkEnd w:id="67"/>
    </w:p>
    <w:p w14:paraId="47F000AA" w14:textId="1F6018E4" w:rsidR="007E01A6" w:rsidRPr="00004A40" w:rsidRDefault="00D73FD5" w:rsidP="00F03645">
      <w:pPr>
        <w:pStyle w:val="Heading3"/>
        <w:spacing w:line="480" w:lineRule="auto"/>
      </w:pPr>
      <w:bookmarkStart w:id="68" w:name="_Toc110502606"/>
      <w:r>
        <w:t>4.1</w:t>
      </w:r>
      <w:r w:rsidR="007E01A6">
        <w:t xml:space="preserve"> SOCIAL ACCEPTABILITY ANALYSIS</w:t>
      </w:r>
      <w:bookmarkEnd w:id="68"/>
    </w:p>
    <w:p w14:paraId="5D5655C5" w14:textId="38D1F038" w:rsidR="007E01A6" w:rsidRDefault="007E01A6" w:rsidP="00F03645">
      <w:pPr>
        <w:spacing w:line="480" w:lineRule="auto"/>
        <w:rPr>
          <w:lang w:val="en-US"/>
        </w:rPr>
      </w:pPr>
      <w:r>
        <w:rPr>
          <w:lang w:val="en-US"/>
        </w:rPr>
        <w:t xml:space="preserve">Due to the number of inputs involved (5), the output could not be represented in </w:t>
      </w:r>
      <w:r w:rsidR="000F0ABB">
        <w:rPr>
          <w:lang w:val="en-US"/>
        </w:rPr>
        <w:t xml:space="preserve">a </w:t>
      </w:r>
      <w:r>
        <w:rPr>
          <w:lang w:val="en-US"/>
        </w:rPr>
        <w:t>three</w:t>
      </w:r>
      <w:r w:rsidR="000F0ABB">
        <w:rPr>
          <w:lang w:val="en-US"/>
        </w:rPr>
        <w:t>-</w:t>
      </w:r>
      <w:r>
        <w:rPr>
          <w:lang w:val="en-US"/>
        </w:rPr>
        <w:t>dimensional surface plot as is usually done for bivariable fuzzy systems. However, as sho</w:t>
      </w:r>
      <w:r w:rsidR="008158D8">
        <w:rPr>
          <w:lang w:val="en-US"/>
        </w:rPr>
        <w:t>wn in Figure 4.1</w:t>
      </w:r>
      <w:r>
        <w:rPr>
          <w:lang w:val="en-US"/>
        </w:rPr>
        <w:t xml:space="preserve"> after the fuzzification of responses, </w:t>
      </w:r>
      <w:r w:rsidR="000F0ABB">
        <w:rPr>
          <w:lang w:val="en-US"/>
        </w:rPr>
        <w:t xml:space="preserve">the </w:t>
      </w:r>
      <w:r>
        <w:rPr>
          <w:lang w:val="en-US"/>
        </w:rPr>
        <w:t>average was taken, membership functions evaluated, and output was defuzzified using the centroid method, the</w:t>
      </w:r>
      <w:r w:rsidR="009B5B4B">
        <w:rPr>
          <w:lang w:val="en-US"/>
        </w:rPr>
        <w:t xml:space="preserve"> Social Acceptability index (SA)</w:t>
      </w:r>
      <w:r>
        <w:rPr>
          <w:lang w:val="en-US"/>
        </w:rPr>
        <w:t xml:space="preserve"> was obtained as 0.7</w:t>
      </w:r>
      <w:r w:rsidR="00BC712A">
        <w:rPr>
          <w:lang w:val="en-US"/>
        </w:rPr>
        <w:t xml:space="preserve"> on a sca</w:t>
      </w:r>
      <w:r w:rsidR="00400BF3">
        <w:rPr>
          <w:lang w:val="en-US"/>
        </w:rPr>
        <w:t>le of 0 to 1.</w:t>
      </w:r>
      <w:r w:rsidR="00933FB7">
        <w:rPr>
          <w:lang w:val="en-US"/>
        </w:rPr>
        <w:t xml:space="preserve"> </w:t>
      </w:r>
      <w:r w:rsidR="00400BF3">
        <w:rPr>
          <w:lang w:val="en-US"/>
        </w:rPr>
        <w:t xml:space="preserve">This result, when interpreted according to the rule base, </w:t>
      </w:r>
      <w:r w:rsidR="00BC712A">
        <w:rPr>
          <w:lang w:val="en-US"/>
        </w:rPr>
        <w:t xml:space="preserve">signifies </w:t>
      </w:r>
      <w:r w:rsidR="000F321F">
        <w:rPr>
          <w:lang w:val="en-US"/>
        </w:rPr>
        <w:t>that the microgrid is strongly acceptable to the</w:t>
      </w:r>
      <w:r>
        <w:rPr>
          <w:lang w:val="en-US"/>
        </w:rPr>
        <w:t xml:space="preserve"> community and will not disrupt their comfort in terms of</w:t>
      </w:r>
      <w:r w:rsidR="0056559E">
        <w:rPr>
          <w:lang w:val="en-US"/>
        </w:rPr>
        <w:t xml:space="preserve"> the five criteria of</w:t>
      </w:r>
      <w:r>
        <w:rPr>
          <w:lang w:val="en-US"/>
        </w:rPr>
        <w:t xml:space="preserve"> land use, visual impact, acoustic impact, water impact, and air impact.</w:t>
      </w:r>
    </w:p>
    <w:p w14:paraId="54254281" w14:textId="77777777" w:rsidR="007E01A6" w:rsidRDefault="007E01A6" w:rsidP="00D73FD5">
      <w:pPr>
        <w:spacing w:line="240" w:lineRule="auto"/>
        <w:jc w:val="center"/>
        <w:rPr>
          <w:lang w:val="en-US"/>
        </w:rPr>
      </w:pPr>
      <w:r>
        <w:rPr>
          <w:noProof/>
          <w:lang w:val="en-US"/>
        </w:rPr>
        <w:drawing>
          <wp:inline distT="0" distB="0" distL="0" distR="0" wp14:anchorId="4318B4A5" wp14:editId="07BADB9F">
            <wp:extent cx="3956050" cy="3358522"/>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81664" cy="3380267"/>
                    </a:xfrm>
                    <a:prstGeom prst="rect">
                      <a:avLst/>
                    </a:prstGeom>
                  </pic:spPr>
                </pic:pic>
              </a:graphicData>
            </a:graphic>
          </wp:inline>
        </w:drawing>
      </w:r>
    </w:p>
    <w:p w14:paraId="347523D5" w14:textId="1FD346D5" w:rsidR="007E01A6" w:rsidRPr="000F112B" w:rsidRDefault="008158D8" w:rsidP="00206FB7">
      <w:pPr>
        <w:spacing w:line="480" w:lineRule="auto"/>
        <w:jc w:val="center"/>
        <w:rPr>
          <w:lang w:val="en-US"/>
        </w:rPr>
      </w:pPr>
      <w:r>
        <w:rPr>
          <w:b/>
          <w:sz w:val="20"/>
          <w:szCs w:val="20"/>
          <w:lang w:val="en-US"/>
        </w:rPr>
        <w:t>Figure 4.1</w:t>
      </w:r>
      <w:r w:rsidR="007E01A6">
        <w:rPr>
          <w:b/>
          <w:sz w:val="20"/>
          <w:szCs w:val="20"/>
          <w:lang w:val="en-US"/>
        </w:rPr>
        <w:t xml:space="preserve"> – Defuzzification of Rule Base for Computation of Acceptability Index</w:t>
      </w:r>
    </w:p>
    <w:p w14:paraId="20450A6C" w14:textId="56B0979C" w:rsidR="00525B53" w:rsidRDefault="00D73FD5" w:rsidP="009226E7">
      <w:pPr>
        <w:pStyle w:val="Heading3"/>
        <w:spacing w:line="480" w:lineRule="auto"/>
      </w:pPr>
      <w:bookmarkStart w:id="69" w:name="_Toc110502607"/>
      <w:r>
        <w:t>4.2</w:t>
      </w:r>
      <w:r w:rsidR="007E01A6">
        <w:tab/>
      </w:r>
      <w:r w:rsidR="00525B53">
        <w:t>TECHNO-ECONOMIC ANALYSIS</w:t>
      </w:r>
      <w:bookmarkEnd w:id="69"/>
    </w:p>
    <w:p w14:paraId="519577C9" w14:textId="0BF4BCF4" w:rsidR="007E01A6" w:rsidRDefault="00924A0D" w:rsidP="009226E7">
      <w:pPr>
        <w:pStyle w:val="Heading3"/>
        <w:spacing w:line="480" w:lineRule="auto"/>
      </w:pPr>
      <w:bookmarkStart w:id="70" w:name="_Toc110502608"/>
      <w:r>
        <w:t>4.2.1</w:t>
      </w:r>
      <w:r>
        <w:tab/>
      </w:r>
      <w:r w:rsidR="007E01A6">
        <w:t>Load Computations for HOMER</w:t>
      </w:r>
      <w:bookmarkEnd w:id="70"/>
    </w:p>
    <w:p w14:paraId="090EE4C6" w14:textId="32DC764F" w:rsidR="007E01A6" w:rsidRDefault="007E01A6" w:rsidP="00F03645">
      <w:pPr>
        <w:spacing w:line="480" w:lineRule="auto"/>
        <w:rPr>
          <w:lang w:val="en-US"/>
        </w:rPr>
      </w:pPr>
      <w:r>
        <w:rPr>
          <w:lang w:val="en-US"/>
        </w:rPr>
        <w:t>The average load for the community as evaluated after all interpolations and approximations were carried out was 975 kW, with an absolute annual peak demand of 2216.8 kW. The HOMER-estimated daily energy usage for the year 2021 was 23,400 kWh per day while the real average daily consumption for the community was calculated as 23,028 kWh per day, which validates the model closely enough and shows an outstanding accuracy with 98.3% agreement between the software prediction based on given data and built-in algorithms, and real</w:t>
      </w:r>
      <w:r w:rsidR="000F0ABB">
        <w:rPr>
          <w:lang w:val="en-US"/>
        </w:rPr>
        <w:t>-</w:t>
      </w:r>
      <w:r>
        <w:rPr>
          <w:lang w:val="en-US"/>
        </w:rPr>
        <w:t>world calculations for 2021, considering the quality and relatively low quantity of data available. This also justifies why HOMER is suitable for this study. A box-and-whisker plot of the monthly energy usage profile as estimated by</w:t>
      </w:r>
      <w:r w:rsidR="001A5B92">
        <w:rPr>
          <w:lang w:val="en-US"/>
        </w:rPr>
        <w:t xml:space="preserve"> HOMER is provided in Figure 4.2</w:t>
      </w:r>
      <w:r>
        <w:rPr>
          <w:lang w:val="en-US"/>
        </w:rPr>
        <w:t>. For an annual overview of load patterns, a histogram showing the relative frequency of various energy usage levels</w:t>
      </w:r>
      <w:r w:rsidR="001A5B92">
        <w:rPr>
          <w:lang w:val="en-US"/>
        </w:rPr>
        <w:t xml:space="preserve"> is also provided in Figure 4.3</w:t>
      </w:r>
      <w:r>
        <w:rPr>
          <w:lang w:val="en-US"/>
        </w:rPr>
        <w:t>. A cumulative frequency distribution is</w:t>
      </w:r>
      <w:r w:rsidR="002E71CB">
        <w:rPr>
          <w:lang w:val="en-US"/>
        </w:rPr>
        <w:t xml:space="preserve"> also </w:t>
      </w:r>
      <w:r w:rsidR="001A5B92">
        <w:rPr>
          <w:lang w:val="en-US"/>
        </w:rPr>
        <w:t>presented in Figure 4.4</w:t>
      </w:r>
      <w:r w:rsidR="002E71CB">
        <w:rPr>
          <w:lang w:val="en-US"/>
        </w:rPr>
        <w:t>.</w:t>
      </w:r>
    </w:p>
    <w:p w14:paraId="1B6B29D1" w14:textId="78B961CC" w:rsidR="007E01A6" w:rsidRDefault="007E01A6" w:rsidP="00F03645">
      <w:pPr>
        <w:spacing w:line="480" w:lineRule="auto"/>
        <w:rPr>
          <w:lang w:val="en-US"/>
        </w:rPr>
      </w:pPr>
      <w:r>
        <w:rPr>
          <w:lang w:val="en-US"/>
        </w:rPr>
        <w:t>An annual load curve was also generated using</w:t>
      </w:r>
      <w:r w:rsidR="001A5B92">
        <w:rPr>
          <w:lang w:val="en-US"/>
        </w:rPr>
        <w:t xml:space="preserve"> the HOMER software. Figure 4.5</w:t>
      </w:r>
      <w:r>
        <w:rPr>
          <w:lang w:val="en-US"/>
        </w:rPr>
        <w:t xml:space="preserve"> presents the shape of the load curve illustrating the stochasticity of load over an entire year, with the load varying every timestep. Due to computational complexity, the models were simulated at a resolution of 60 minutes which is customary for HOMER models in </w:t>
      </w:r>
      <w:r w:rsidR="000F0ABB">
        <w:rPr>
          <w:lang w:val="en-US"/>
        </w:rPr>
        <w:t xml:space="preserve">the </w:t>
      </w:r>
      <w:r>
        <w:rPr>
          <w:lang w:val="en-US"/>
        </w:rPr>
        <w:t>literature. Furthermore, this presents 8760 data input steps per simulation per year, which is already more resolution than can be represented by a normal-sized plot, hence the points and peaks are visually exaggerated for visibility. The load factor of the community is calculated to be 0.44 or 44% as follows:</w:t>
      </w:r>
    </w:p>
    <w:p w14:paraId="792FFF01" w14:textId="77777777" w:rsidR="007E01A6" w:rsidRDefault="007E01A6" w:rsidP="00F03645">
      <w:pPr>
        <w:spacing w:line="480" w:lineRule="auto"/>
        <w:rPr>
          <w:lang w:val="en-US"/>
        </w:rPr>
      </w:pPr>
      <w:r>
        <w:rPr>
          <w:lang w:val="en-US"/>
        </w:rPr>
        <w:t>Load factor = average demand/peak demand = 975 kW / 2216.8 kW = 0.44.</w:t>
      </w:r>
    </w:p>
    <w:p w14:paraId="4156BF87" w14:textId="33CBBC7A" w:rsidR="007E01A6" w:rsidRDefault="007E01A6" w:rsidP="00F03645">
      <w:pPr>
        <w:spacing w:line="480" w:lineRule="auto"/>
        <w:rPr>
          <w:lang w:val="en-US"/>
        </w:rPr>
      </w:pPr>
      <w:r>
        <w:rPr>
          <w:lang w:val="en-US"/>
        </w:rPr>
        <w:t xml:space="preserve">The variability in </w:t>
      </w:r>
      <w:r w:rsidR="000F0ABB">
        <w:rPr>
          <w:lang w:val="en-US"/>
        </w:rPr>
        <w:t xml:space="preserve">the </w:t>
      </w:r>
      <w:r>
        <w:rPr>
          <w:lang w:val="en-US"/>
        </w:rPr>
        <w:t xml:space="preserve">load that enables the use of realistic load profiles based on user-based data </w:t>
      </w:r>
      <w:r w:rsidR="000F0ABB">
        <w:rPr>
          <w:lang w:val="en-US"/>
        </w:rPr>
        <w:t>is</w:t>
      </w:r>
      <w:r>
        <w:rPr>
          <w:lang w:val="en-US"/>
        </w:rPr>
        <w:t xml:space="preserve"> controlled by the random variability parameters in HOMER. For this study, the day-to-day variability is set to 10% while the timestep variability is set to 20%. This is the combination of settings recommended by HOMER which also gave &gt;98% agreement in annual energy consumption during manual validation of the selected calculations.</w:t>
      </w:r>
    </w:p>
    <w:p w14:paraId="37FE62C1" w14:textId="77777777" w:rsidR="007E01A6" w:rsidRDefault="007E01A6" w:rsidP="00F03645">
      <w:pPr>
        <w:spacing w:line="480" w:lineRule="auto"/>
        <w:jc w:val="center"/>
        <w:rPr>
          <w:lang w:val="en-US"/>
        </w:rPr>
      </w:pPr>
      <w:r w:rsidRPr="008950D3">
        <w:rPr>
          <w:noProof/>
          <w:lang w:val="en-US"/>
        </w:rPr>
        <w:drawing>
          <wp:inline distT="0" distB="0" distL="0" distR="0" wp14:anchorId="45118CA0" wp14:editId="20180BF6">
            <wp:extent cx="4191000" cy="352350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05" t="4925" r="1289"/>
                    <a:stretch/>
                  </pic:blipFill>
                  <pic:spPr bwMode="auto">
                    <a:xfrm>
                      <a:off x="0" y="0"/>
                      <a:ext cx="4208320" cy="3538066"/>
                    </a:xfrm>
                    <a:prstGeom prst="rect">
                      <a:avLst/>
                    </a:prstGeom>
                    <a:ln>
                      <a:noFill/>
                    </a:ln>
                    <a:extLst>
                      <a:ext uri="{53640926-AAD7-44D8-BBD7-CCE9431645EC}">
                        <a14:shadowObscured xmlns:a14="http://schemas.microsoft.com/office/drawing/2010/main"/>
                      </a:ext>
                    </a:extLst>
                  </pic:spPr>
                </pic:pic>
              </a:graphicData>
            </a:graphic>
          </wp:inline>
        </w:drawing>
      </w:r>
    </w:p>
    <w:p w14:paraId="351F4F3F" w14:textId="4896A32E" w:rsidR="007E01A6" w:rsidRDefault="001A5B92" w:rsidP="00F03645">
      <w:pPr>
        <w:spacing w:line="480" w:lineRule="auto"/>
        <w:jc w:val="center"/>
        <w:rPr>
          <w:b/>
          <w:sz w:val="20"/>
          <w:szCs w:val="20"/>
          <w:lang w:val="en-US"/>
        </w:rPr>
      </w:pPr>
      <w:r>
        <w:rPr>
          <w:b/>
          <w:sz w:val="20"/>
          <w:szCs w:val="20"/>
          <w:lang w:val="en-US"/>
        </w:rPr>
        <w:t>Figure 4.2</w:t>
      </w:r>
      <w:r w:rsidR="007E01A6">
        <w:rPr>
          <w:b/>
          <w:sz w:val="20"/>
          <w:szCs w:val="20"/>
          <w:lang w:val="en-US"/>
        </w:rPr>
        <w:t xml:space="preserve"> – Box-and-Whisker Plot Showing the Monthly Average Load Profile.</w:t>
      </w:r>
    </w:p>
    <w:p w14:paraId="0D2FE228" w14:textId="77777777" w:rsidR="007E01A6" w:rsidRDefault="007E01A6" w:rsidP="004B5EFE">
      <w:pPr>
        <w:spacing w:line="276" w:lineRule="auto"/>
        <w:jc w:val="center"/>
        <w:rPr>
          <w:lang w:val="en-US"/>
        </w:rPr>
      </w:pPr>
      <w:r>
        <w:rPr>
          <w:noProof/>
          <w:lang w:val="en-US"/>
        </w:rPr>
        <w:drawing>
          <wp:inline distT="0" distB="0" distL="0" distR="0" wp14:anchorId="14BC293D" wp14:editId="5C5C457B">
            <wp:extent cx="4312920" cy="3623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ad profile Histogram.png"/>
                    <pic:cNvPicPr/>
                  </pic:nvPicPr>
                  <pic:blipFill rotWithShape="1">
                    <a:blip r:embed="rId34">
                      <a:extLst>
                        <a:ext uri="{28A0092B-C50C-407E-A947-70E740481C1C}">
                          <a14:useLocalDpi xmlns:a14="http://schemas.microsoft.com/office/drawing/2010/main" val="0"/>
                        </a:ext>
                      </a:extLst>
                    </a:blip>
                    <a:srcRect l="963" t="7015" r="1749" b="1240"/>
                    <a:stretch/>
                  </pic:blipFill>
                  <pic:spPr bwMode="auto">
                    <a:xfrm>
                      <a:off x="0" y="0"/>
                      <a:ext cx="4343088" cy="3649052"/>
                    </a:xfrm>
                    <a:prstGeom prst="rect">
                      <a:avLst/>
                    </a:prstGeom>
                    <a:ln>
                      <a:noFill/>
                    </a:ln>
                    <a:extLst>
                      <a:ext uri="{53640926-AAD7-44D8-BBD7-CCE9431645EC}">
                        <a14:shadowObscured xmlns:a14="http://schemas.microsoft.com/office/drawing/2010/main"/>
                      </a:ext>
                    </a:extLst>
                  </pic:spPr>
                </pic:pic>
              </a:graphicData>
            </a:graphic>
          </wp:inline>
        </w:drawing>
      </w:r>
    </w:p>
    <w:p w14:paraId="0103C9D7" w14:textId="52756131" w:rsidR="007E01A6" w:rsidRPr="000F112B" w:rsidRDefault="001A5B92" w:rsidP="00F03645">
      <w:pPr>
        <w:spacing w:line="480" w:lineRule="auto"/>
        <w:jc w:val="center"/>
        <w:rPr>
          <w:lang w:val="en-US"/>
        </w:rPr>
      </w:pPr>
      <w:r>
        <w:rPr>
          <w:b/>
          <w:sz w:val="20"/>
          <w:szCs w:val="20"/>
          <w:lang w:val="en-US"/>
        </w:rPr>
        <w:t>Figure 4.3</w:t>
      </w:r>
      <w:r w:rsidR="007E01A6">
        <w:rPr>
          <w:b/>
          <w:sz w:val="20"/>
          <w:szCs w:val="20"/>
          <w:lang w:val="en-US"/>
        </w:rPr>
        <w:t xml:space="preserve"> – Histogram Showing Load distribution by Frequency of Incidence.</w:t>
      </w:r>
    </w:p>
    <w:p w14:paraId="0962DE27" w14:textId="77777777" w:rsidR="007E01A6" w:rsidRDefault="007E01A6" w:rsidP="00F03645">
      <w:pPr>
        <w:spacing w:line="480" w:lineRule="auto"/>
        <w:jc w:val="center"/>
        <w:rPr>
          <w:lang w:val="en-US"/>
        </w:rPr>
      </w:pPr>
      <w:r w:rsidRPr="00ED5A97">
        <w:rPr>
          <w:noProof/>
          <w:lang w:val="en-US"/>
        </w:rPr>
        <w:drawing>
          <wp:inline distT="0" distB="0" distL="0" distR="0" wp14:anchorId="7992244A" wp14:editId="087DC83F">
            <wp:extent cx="4427220" cy="323187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73" t="5624" r="1805" b="1676"/>
                    <a:stretch/>
                  </pic:blipFill>
                  <pic:spPr bwMode="auto">
                    <a:xfrm>
                      <a:off x="0" y="0"/>
                      <a:ext cx="4435525" cy="3237934"/>
                    </a:xfrm>
                    <a:prstGeom prst="rect">
                      <a:avLst/>
                    </a:prstGeom>
                    <a:ln>
                      <a:noFill/>
                    </a:ln>
                    <a:extLst>
                      <a:ext uri="{53640926-AAD7-44D8-BBD7-CCE9431645EC}">
                        <a14:shadowObscured xmlns:a14="http://schemas.microsoft.com/office/drawing/2010/main"/>
                      </a:ext>
                    </a:extLst>
                  </pic:spPr>
                </pic:pic>
              </a:graphicData>
            </a:graphic>
          </wp:inline>
        </w:drawing>
      </w:r>
    </w:p>
    <w:p w14:paraId="30F1359E" w14:textId="11E2F388" w:rsidR="007E01A6" w:rsidRDefault="001A5B92" w:rsidP="00F03645">
      <w:pPr>
        <w:spacing w:line="480" w:lineRule="auto"/>
        <w:jc w:val="center"/>
        <w:rPr>
          <w:lang w:val="en-US"/>
        </w:rPr>
      </w:pPr>
      <w:r>
        <w:rPr>
          <w:b/>
          <w:sz w:val="20"/>
          <w:szCs w:val="20"/>
          <w:lang w:val="en-US"/>
        </w:rPr>
        <w:t>Figure 4.4</w:t>
      </w:r>
      <w:r w:rsidR="007E01A6">
        <w:rPr>
          <w:b/>
          <w:sz w:val="20"/>
          <w:szCs w:val="20"/>
          <w:lang w:val="en-US"/>
        </w:rPr>
        <w:t xml:space="preserve"> – Cumulative Distribution of Load Pattern by Frequency of Incidence.</w:t>
      </w:r>
    </w:p>
    <w:p w14:paraId="30A2BD43" w14:textId="77777777" w:rsidR="007E01A6" w:rsidRDefault="007E01A6" w:rsidP="00F03645">
      <w:pPr>
        <w:spacing w:line="480" w:lineRule="auto"/>
        <w:rPr>
          <w:lang w:val="en-US"/>
        </w:rPr>
      </w:pPr>
    </w:p>
    <w:p w14:paraId="6E4380C7" w14:textId="77777777" w:rsidR="007E01A6" w:rsidRDefault="007E01A6" w:rsidP="00F24B7C">
      <w:pPr>
        <w:jc w:val="center"/>
        <w:rPr>
          <w:lang w:val="en-US"/>
        </w:rPr>
      </w:pPr>
      <w:r w:rsidRPr="00A2487B">
        <w:rPr>
          <w:noProof/>
          <w:lang w:val="en-US"/>
        </w:rPr>
        <w:drawing>
          <wp:inline distT="0" distB="0" distL="0" distR="0" wp14:anchorId="37BB3D20" wp14:editId="039B7915">
            <wp:extent cx="4716780" cy="2810293"/>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16"/>
                    <a:stretch/>
                  </pic:blipFill>
                  <pic:spPr bwMode="auto">
                    <a:xfrm>
                      <a:off x="0" y="0"/>
                      <a:ext cx="4729885" cy="2818101"/>
                    </a:xfrm>
                    <a:prstGeom prst="rect">
                      <a:avLst/>
                    </a:prstGeom>
                    <a:ln>
                      <a:noFill/>
                    </a:ln>
                    <a:extLst>
                      <a:ext uri="{53640926-AAD7-44D8-BBD7-CCE9431645EC}">
                        <a14:shadowObscured xmlns:a14="http://schemas.microsoft.com/office/drawing/2010/main"/>
                      </a:ext>
                    </a:extLst>
                  </pic:spPr>
                </pic:pic>
              </a:graphicData>
            </a:graphic>
          </wp:inline>
        </w:drawing>
      </w:r>
    </w:p>
    <w:p w14:paraId="2EB034CA" w14:textId="74267376" w:rsidR="007E01A6" w:rsidRDefault="001A5B92" w:rsidP="00F03645">
      <w:pPr>
        <w:spacing w:line="480" w:lineRule="auto"/>
        <w:jc w:val="center"/>
        <w:rPr>
          <w:lang w:val="en-US"/>
        </w:rPr>
      </w:pPr>
      <w:r>
        <w:rPr>
          <w:b/>
          <w:sz w:val="20"/>
          <w:szCs w:val="20"/>
          <w:lang w:val="en-US"/>
        </w:rPr>
        <w:t>Figure 4.5</w:t>
      </w:r>
      <w:r w:rsidR="007E01A6">
        <w:rPr>
          <w:b/>
          <w:sz w:val="20"/>
          <w:szCs w:val="20"/>
          <w:lang w:val="en-US"/>
        </w:rPr>
        <w:t xml:space="preserve"> – </w:t>
      </w:r>
      <w:r w:rsidR="00830D1B">
        <w:rPr>
          <w:b/>
          <w:sz w:val="20"/>
          <w:szCs w:val="20"/>
          <w:lang w:val="en-US"/>
        </w:rPr>
        <w:t xml:space="preserve">Hourly </w:t>
      </w:r>
      <w:r w:rsidR="007E01A6">
        <w:rPr>
          <w:b/>
          <w:sz w:val="20"/>
          <w:szCs w:val="20"/>
          <w:lang w:val="en-US"/>
        </w:rPr>
        <w:t xml:space="preserve">Load </w:t>
      </w:r>
      <w:r w:rsidR="00830D1B">
        <w:rPr>
          <w:b/>
          <w:sz w:val="20"/>
          <w:szCs w:val="20"/>
          <w:lang w:val="en-US"/>
        </w:rPr>
        <w:t>Time Series</w:t>
      </w:r>
      <w:r w:rsidR="007E01A6">
        <w:rPr>
          <w:b/>
          <w:sz w:val="20"/>
          <w:szCs w:val="20"/>
          <w:lang w:val="en-US"/>
        </w:rPr>
        <w:t xml:space="preserve"> for the First Year of the Simulation</w:t>
      </w:r>
    </w:p>
    <w:p w14:paraId="38E5E733" w14:textId="6711FFDF" w:rsidR="007E01A6" w:rsidRDefault="007E01A6" w:rsidP="00F03645">
      <w:pPr>
        <w:spacing w:line="480" w:lineRule="auto"/>
        <w:rPr>
          <w:lang w:val="en-US"/>
        </w:rPr>
      </w:pPr>
      <w:r>
        <w:rPr>
          <w:lang w:val="en-US"/>
        </w:rPr>
        <w:t xml:space="preserve">Also, weeks with </w:t>
      </w:r>
      <w:r w:rsidR="000F0ABB">
        <w:rPr>
          <w:lang w:val="en-US"/>
        </w:rPr>
        <w:t xml:space="preserve">a </w:t>
      </w:r>
      <w:r>
        <w:rPr>
          <w:lang w:val="en-US"/>
        </w:rPr>
        <w:t xml:space="preserve">low number of outage hours were selected for </w:t>
      </w:r>
      <w:r w:rsidR="000F0ABB">
        <w:rPr>
          <w:lang w:val="en-US"/>
        </w:rPr>
        <w:t xml:space="preserve">a </w:t>
      </w:r>
      <w:r>
        <w:rPr>
          <w:lang w:val="en-US"/>
        </w:rPr>
        <w:t xml:space="preserve">better representation of </w:t>
      </w:r>
      <w:r w:rsidR="000F0ABB">
        <w:rPr>
          <w:lang w:val="en-US"/>
        </w:rPr>
        <w:t xml:space="preserve">the </w:t>
      </w:r>
      <w:r>
        <w:rPr>
          <w:lang w:val="en-US"/>
        </w:rPr>
        <w:t xml:space="preserve">energy usage pattern of the community. A selection of 26 days, designed to include all days of the week, towards the middle of the year (May) and towards the end of the year (November and December) were selected for an hour-by-hour study to develop the diurnal (hourly) load profile for </w:t>
      </w:r>
      <w:r w:rsidR="000F0ABB">
        <w:rPr>
          <w:lang w:val="en-US"/>
        </w:rPr>
        <w:t xml:space="preserve">the </w:t>
      </w:r>
      <w:r>
        <w:rPr>
          <w:lang w:val="en-US"/>
        </w:rPr>
        <w:t>rainy season and dry season which were both considered in developing the HOMER model. The chosen days were selected to include both holidays, weekend days, an</w:t>
      </w:r>
      <w:r w:rsidR="00E45891">
        <w:rPr>
          <w:lang w:val="en-US"/>
        </w:rPr>
        <w:t>d regular work days. Figure 4.6</w:t>
      </w:r>
      <w:r>
        <w:rPr>
          <w:lang w:val="en-US"/>
        </w:rPr>
        <w:t xml:space="preserve"> shows a histogram showing the average daily load profile for sele</w:t>
      </w:r>
      <w:r w:rsidR="00E45891">
        <w:rPr>
          <w:lang w:val="en-US"/>
        </w:rPr>
        <w:t>cted days in May and Figure 4.7</w:t>
      </w:r>
      <w:r>
        <w:rPr>
          <w:lang w:val="en-US"/>
        </w:rPr>
        <w:t xml:space="preserve"> for selected days in November and December</w:t>
      </w:r>
      <w:r w:rsidR="002E71CB">
        <w:rPr>
          <w:lang w:val="en-US"/>
        </w:rPr>
        <w:t xml:space="preserve"> </w:t>
      </w:r>
      <w:r w:rsidR="000F0ABB">
        <w:rPr>
          <w:lang w:val="en-US"/>
        </w:rPr>
        <w:t xml:space="preserve">which were </w:t>
      </w:r>
      <w:r w:rsidR="002E71CB">
        <w:rPr>
          <w:lang w:val="en-US"/>
        </w:rPr>
        <w:t>chosen based on criteria described in the previous chapter</w:t>
      </w:r>
      <w:r>
        <w:rPr>
          <w:lang w:val="en-US"/>
        </w:rPr>
        <w:t>.</w:t>
      </w:r>
    </w:p>
    <w:p w14:paraId="66E363BF" w14:textId="0BB7A242" w:rsidR="007E01A6" w:rsidRDefault="007E01A6" w:rsidP="00F03645">
      <w:pPr>
        <w:spacing w:line="480" w:lineRule="auto"/>
        <w:rPr>
          <w:lang w:val="en-US"/>
        </w:rPr>
      </w:pPr>
      <w:r>
        <w:rPr>
          <w:lang w:val="en-US"/>
        </w:rPr>
        <w:t xml:space="preserve">The standard deviation for the hourly demand in May is found to be 162.456 MW while that of the November-December data is found to be 242.224 MW. The mean for the May load data shows an average of 1.157 MW being consumed while in November-December, the mean load consumption was </w:t>
      </w:r>
      <w:r w:rsidRPr="00572D30">
        <w:rPr>
          <w:lang w:val="en-US"/>
        </w:rPr>
        <w:t>1.248</w:t>
      </w:r>
      <w:r>
        <w:rPr>
          <w:lang w:val="en-US"/>
        </w:rPr>
        <w:t xml:space="preserve"> MW. This shows that the peak demand towards the end of the year tends to be higher than that towards the middle of the year.  Also, the variation in the load profile is higher in </w:t>
      </w:r>
      <w:r w:rsidR="000F0ABB">
        <w:rPr>
          <w:lang w:val="en-US"/>
        </w:rPr>
        <w:t xml:space="preserve">the </w:t>
      </w:r>
      <w:r>
        <w:rPr>
          <w:lang w:val="en-US"/>
        </w:rPr>
        <w:t xml:space="preserve">November-December periods compared to May. Hence, in HOMER, priority was given to the November-December profile in the modelling because the one with more variance and that more accurately depicts the peak would give more accurate results. </w:t>
      </w:r>
    </w:p>
    <w:p w14:paraId="3C767685" w14:textId="77777777" w:rsidR="007E01A6" w:rsidRDefault="007E01A6" w:rsidP="001C0942">
      <w:pPr>
        <w:spacing w:line="240" w:lineRule="auto"/>
        <w:jc w:val="center"/>
        <w:rPr>
          <w:lang w:val="en-US"/>
        </w:rPr>
      </w:pPr>
      <w:r>
        <w:rPr>
          <w:noProof/>
          <w:lang w:val="en-US"/>
        </w:rPr>
        <w:drawing>
          <wp:inline distT="0" distB="0" distL="0" distR="0" wp14:anchorId="0FCC8002" wp14:editId="335795EF">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7ADA7E1" w14:textId="41EC4DF1" w:rsidR="007E01A6" w:rsidRDefault="004D4054" w:rsidP="001C0942">
      <w:pPr>
        <w:spacing w:line="240" w:lineRule="auto"/>
        <w:jc w:val="center"/>
        <w:rPr>
          <w:lang w:val="en-US"/>
        </w:rPr>
      </w:pPr>
      <w:r>
        <w:rPr>
          <w:b/>
          <w:sz w:val="20"/>
          <w:szCs w:val="20"/>
          <w:lang w:val="en-US"/>
        </w:rPr>
        <w:t>Figure 4.6</w:t>
      </w:r>
      <w:r w:rsidR="007E01A6">
        <w:rPr>
          <w:b/>
          <w:sz w:val="20"/>
          <w:szCs w:val="20"/>
          <w:lang w:val="en-US"/>
        </w:rPr>
        <w:t xml:space="preserve"> – Average Hourly Load Profile for Selected Days in May.</w:t>
      </w:r>
    </w:p>
    <w:p w14:paraId="4C0E3B3A" w14:textId="77777777" w:rsidR="007E01A6" w:rsidRDefault="007E01A6" w:rsidP="001C0942">
      <w:pPr>
        <w:spacing w:line="240" w:lineRule="auto"/>
        <w:jc w:val="center"/>
        <w:rPr>
          <w:lang w:val="en-US"/>
        </w:rPr>
      </w:pPr>
      <w:r>
        <w:rPr>
          <w:noProof/>
          <w:lang w:val="en-US"/>
        </w:rPr>
        <w:drawing>
          <wp:inline distT="0" distB="0" distL="0" distR="0" wp14:anchorId="421FB70F" wp14:editId="1D5DE2BB">
            <wp:extent cx="4626955" cy="27813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7493" cy="2787634"/>
                    </a:xfrm>
                    <a:prstGeom prst="rect">
                      <a:avLst/>
                    </a:prstGeom>
                    <a:noFill/>
                  </pic:spPr>
                </pic:pic>
              </a:graphicData>
            </a:graphic>
          </wp:inline>
        </w:drawing>
      </w:r>
    </w:p>
    <w:p w14:paraId="59030DC4" w14:textId="59D1C38E" w:rsidR="007E01A6" w:rsidRPr="000F112B" w:rsidRDefault="00134C11" w:rsidP="001C0942">
      <w:pPr>
        <w:spacing w:line="240" w:lineRule="auto"/>
        <w:jc w:val="center"/>
        <w:rPr>
          <w:lang w:val="en-US"/>
        </w:rPr>
      </w:pPr>
      <w:r>
        <w:rPr>
          <w:b/>
          <w:sz w:val="20"/>
          <w:szCs w:val="20"/>
          <w:lang w:val="en-US"/>
        </w:rPr>
        <w:t>Figure 4.7</w:t>
      </w:r>
      <w:r w:rsidR="007E01A6">
        <w:rPr>
          <w:b/>
          <w:sz w:val="20"/>
          <w:szCs w:val="20"/>
          <w:lang w:val="en-US"/>
        </w:rPr>
        <w:t xml:space="preserve"> – Average Hourly Load Profile for Selected Days in November and December.</w:t>
      </w:r>
    </w:p>
    <w:p w14:paraId="6533EF0B" w14:textId="5958C7E1" w:rsidR="007E01A6" w:rsidRDefault="007E01A6" w:rsidP="00F03645">
      <w:pPr>
        <w:spacing w:line="480" w:lineRule="auto"/>
        <w:rPr>
          <w:lang w:val="en-US"/>
        </w:rPr>
      </w:pPr>
      <w:r>
        <w:rPr>
          <w:lang w:val="en-US"/>
        </w:rPr>
        <w:t xml:space="preserve">In addition, an annual load profile for </w:t>
      </w:r>
      <w:r w:rsidR="000F0ABB">
        <w:rPr>
          <w:lang w:val="en-US"/>
        </w:rPr>
        <w:t xml:space="preserve">the </w:t>
      </w:r>
      <w:r>
        <w:rPr>
          <w:lang w:val="en-US"/>
        </w:rPr>
        <w:t>Arandun community was also developed using the monthly measurement data from the utility company. Both the maximum monthly demand in MW (instantaneous) and the energy usage of the community in MWh (cumulative) were compiled and used in the calculation. It was found that the peak load varied more than the total energy consumption. However, both monthly quantities were found to be higher towards the end or at the beginning of the year than mid-year. Furthermore, January was found to be the peak month for consumption both when measured by MWh an</w:t>
      </w:r>
      <w:r w:rsidR="008355F8">
        <w:rPr>
          <w:lang w:val="en-US"/>
        </w:rPr>
        <w:t>d by peak MW demand. Figure 4.8</w:t>
      </w:r>
      <w:r>
        <w:rPr>
          <w:lang w:val="en-US"/>
        </w:rPr>
        <w:t xml:space="preserve"> shows the graph of the month-by-month statistics for </w:t>
      </w:r>
      <w:r w:rsidR="000F0ABB">
        <w:rPr>
          <w:lang w:val="en-US"/>
        </w:rPr>
        <w:t xml:space="preserve">the </w:t>
      </w:r>
      <w:r>
        <w:rPr>
          <w:lang w:val="en-US"/>
        </w:rPr>
        <w:t>years 2020 and 2021 for A</w:t>
      </w:r>
      <w:r w:rsidR="008355F8">
        <w:rPr>
          <w:lang w:val="en-US"/>
        </w:rPr>
        <w:t>randun peak load and Figure 4.9</w:t>
      </w:r>
      <w:r>
        <w:rPr>
          <w:lang w:val="en-US"/>
        </w:rPr>
        <w:t xml:space="preserve"> shows the total cumulative energy consumption in those periods.</w:t>
      </w:r>
    </w:p>
    <w:p w14:paraId="146666D8" w14:textId="77777777" w:rsidR="007E01A6" w:rsidRDefault="007E01A6" w:rsidP="00F03645">
      <w:pPr>
        <w:spacing w:line="480" w:lineRule="auto"/>
        <w:jc w:val="center"/>
        <w:rPr>
          <w:lang w:val="en-US"/>
        </w:rPr>
      </w:pPr>
      <w:r>
        <w:rPr>
          <w:noProof/>
          <w:lang w:val="en-US"/>
        </w:rPr>
        <w:drawing>
          <wp:inline distT="0" distB="0" distL="0" distR="0" wp14:anchorId="0A5A376C" wp14:editId="420CDE29">
            <wp:extent cx="4511040" cy="271162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8132" cy="2715885"/>
                    </a:xfrm>
                    <a:prstGeom prst="rect">
                      <a:avLst/>
                    </a:prstGeom>
                    <a:noFill/>
                  </pic:spPr>
                </pic:pic>
              </a:graphicData>
            </a:graphic>
          </wp:inline>
        </w:drawing>
      </w:r>
    </w:p>
    <w:p w14:paraId="37842AE3" w14:textId="46AD239D" w:rsidR="007E01A6" w:rsidRPr="000F112B" w:rsidRDefault="008355F8" w:rsidP="00F03645">
      <w:pPr>
        <w:spacing w:line="480" w:lineRule="auto"/>
        <w:jc w:val="center"/>
        <w:rPr>
          <w:lang w:val="en-US"/>
        </w:rPr>
      </w:pPr>
      <w:r>
        <w:rPr>
          <w:b/>
          <w:sz w:val="20"/>
          <w:szCs w:val="20"/>
          <w:lang w:val="en-US"/>
        </w:rPr>
        <w:t>Figure 4.8</w:t>
      </w:r>
      <w:r w:rsidR="007E01A6">
        <w:rPr>
          <w:b/>
          <w:sz w:val="20"/>
          <w:szCs w:val="20"/>
          <w:lang w:val="en-US"/>
        </w:rPr>
        <w:t xml:space="preserve"> – Monthly Peak Load for 2020 and 2021.</w:t>
      </w:r>
    </w:p>
    <w:p w14:paraId="646E05B4" w14:textId="77777777" w:rsidR="007E01A6" w:rsidRDefault="007E01A6" w:rsidP="00F03645">
      <w:pPr>
        <w:spacing w:line="480" w:lineRule="auto"/>
        <w:rPr>
          <w:lang w:val="en-US"/>
        </w:rPr>
      </w:pPr>
    </w:p>
    <w:p w14:paraId="6BDDAFEB" w14:textId="77777777" w:rsidR="007E01A6" w:rsidRDefault="007E01A6" w:rsidP="00F03645">
      <w:pPr>
        <w:spacing w:line="480" w:lineRule="auto"/>
        <w:jc w:val="center"/>
        <w:rPr>
          <w:lang w:val="en-US"/>
        </w:rPr>
      </w:pPr>
      <w:r>
        <w:rPr>
          <w:noProof/>
          <w:lang w:val="en-US"/>
        </w:rPr>
        <w:drawing>
          <wp:inline distT="0" distB="0" distL="0" distR="0" wp14:anchorId="02B3A004" wp14:editId="400E7A1E">
            <wp:extent cx="4584700" cy="2755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2B2A8EF" w14:textId="454A898E" w:rsidR="007E01A6" w:rsidRDefault="008355F8" w:rsidP="00F03645">
      <w:pPr>
        <w:spacing w:line="480" w:lineRule="auto"/>
        <w:jc w:val="center"/>
        <w:rPr>
          <w:lang w:val="en-US"/>
        </w:rPr>
      </w:pPr>
      <w:r>
        <w:rPr>
          <w:b/>
          <w:sz w:val="20"/>
          <w:szCs w:val="20"/>
          <w:lang w:val="en-US"/>
        </w:rPr>
        <w:t>Figure 4.9</w:t>
      </w:r>
      <w:r w:rsidR="007E01A6">
        <w:rPr>
          <w:b/>
          <w:sz w:val="20"/>
          <w:szCs w:val="20"/>
          <w:lang w:val="en-US"/>
        </w:rPr>
        <w:t xml:space="preserve"> – Monthly Energy Consumption in 2021 and 2021.</w:t>
      </w:r>
    </w:p>
    <w:p w14:paraId="0B07954B" w14:textId="0A7A4AD5" w:rsidR="007E01A6" w:rsidRDefault="002D24DA" w:rsidP="00F03645">
      <w:pPr>
        <w:spacing w:line="480" w:lineRule="auto"/>
        <w:rPr>
          <w:lang w:val="en-US"/>
        </w:rPr>
      </w:pPr>
      <w:r>
        <w:rPr>
          <w:lang w:val="en-US"/>
        </w:rPr>
        <w:t>Figure 4.10</w:t>
      </w:r>
      <w:r w:rsidR="007E01A6">
        <w:rPr>
          <w:lang w:val="en-US"/>
        </w:rPr>
        <w:t xml:space="preserve"> shows the variance of the load profile estimated by HOMER based on given data over time, showing that the data selection enabled HOMER to develop unique load profiles for each month, as opposed to having identical profiles for each month as is frequently obtained in literature, thereby making the study as non-deterministic as possible. The various average monthly profile is seen presenting various permutations of Arandun’s “two-humped” load profile pattern.</w:t>
      </w:r>
    </w:p>
    <w:p w14:paraId="3CF72820" w14:textId="77777777" w:rsidR="007E01A6" w:rsidRDefault="007E01A6" w:rsidP="00F03645">
      <w:pPr>
        <w:spacing w:line="480" w:lineRule="auto"/>
        <w:jc w:val="center"/>
        <w:rPr>
          <w:lang w:val="en-US"/>
        </w:rPr>
      </w:pPr>
      <w:r w:rsidRPr="00ED5A97">
        <w:rPr>
          <w:noProof/>
          <w:lang w:val="en-US"/>
        </w:rPr>
        <w:drawing>
          <wp:inline distT="0" distB="0" distL="0" distR="0" wp14:anchorId="066FA161" wp14:editId="038EAD81">
            <wp:extent cx="5372100" cy="3939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11" t="5583" r="972" b="1321"/>
                    <a:stretch/>
                  </pic:blipFill>
                  <pic:spPr bwMode="auto">
                    <a:xfrm>
                      <a:off x="0" y="0"/>
                      <a:ext cx="5372100" cy="3939540"/>
                    </a:xfrm>
                    <a:prstGeom prst="rect">
                      <a:avLst/>
                    </a:prstGeom>
                    <a:ln>
                      <a:noFill/>
                    </a:ln>
                    <a:extLst>
                      <a:ext uri="{53640926-AAD7-44D8-BBD7-CCE9431645EC}">
                        <a14:shadowObscured xmlns:a14="http://schemas.microsoft.com/office/drawing/2010/main"/>
                      </a:ext>
                    </a:extLst>
                  </pic:spPr>
                </pic:pic>
              </a:graphicData>
            </a:graphic>
          </wp:inline>
        </w:drawing>
      </w:r>
    </w:p>
    <w:p w14:paraId="70CB3135" w14:textId="6ED35BB1" w:rsidR="007E01A6" w:rsidRPr="00B84601" w:rsidRDefault="005C3078" w:rsidP="00F03645">
      <w:pPr>
        <w:spacing w:line="480" w:lineRule="auto"/>
        <w:jc w:val="center"/>
        <w:rPr>
          <w:lang w:val="en-US"/>
        </w:rPr>
      </w:pPr>
      <w:r>
        <w:rPr>
          <w:b/>
          <w:sz w:val="20"/>
          <w:szCs w:val="20"/>
          <w:lang w:val="en-US"/>
        </w:rPr>
        <w:t>Figure 4.10</w:t>
      </w:r>
      <w:r w:rsidR="007E01A6">
        <w:rPr>
          <w:b/>
          <w:sz w:val="20"/>
          <w:szCs w:val="20"/>
          <w:lang w:val="en-US"/>
        </w:rPr>
        <w:t xml:space="preserve"> – Average Hourly Load Profiles for each Month as Estimated by HOMER Pro.</w:t>
      </w:r>
    </w:p>
    <w:p w14:paraId="65E1F511" w14:textId="1F62B8A8" w:rsidR="00FB0888" w:rsidRDefault="00924A0D" w:rsidP="00924A0D">
      <w:pPr>
        <w:pStyle w:val="Heading3"/>
        <w:spacing w:line="480" w:lineRule="auto"/>
      </w:pPr>
      <w:bookmarkStart w:id="71" w:name="_Toc110502609"/>
      <w:r>
        <w:t>4.2.2</w:t>
      </w:r>
      <w:r>
        <w:tab/>
      </w:r>
      <w:r w:rsidR="00FB0888">
        <w:t>Optimal Solutions for the Renewable Microgrid.</w:t>
      </w:r>
      <w:bookmarkEnd w:id="71"/>
    </w:p>
    <w:p w14:paraId="3BAE40E5" w14:textId="6E1CF806" w:rsidR="00E6090E" w:rsidRDefault="00FB0888" w:rsidP="00F03645">
      <w:pPr>
        <w:spacing w:line="480" w:lineRule="auto"/>
        <w:rPr>
          <w:lang w:val="en-US"/>
        </w:rPr>
      </w:pPr>
      <w:r>
        <w:rPr>
          <w:lang w:val="en-US"/>
        </w:rPr>
        <w:t xml:space="preserve">Over 5 million solutions were simulated for this particular case. However, due to the unusual constraint faced by HOMER that the system was to be 100% renewable, over 60% of the simulated solutions were found to be infeasible either due to capacity shortage constraints or failing the multiyear adequacy test. It was generally found that wind energy installation was not recommendable in the chosen location due to </w:t>
      </w:r>
      <w:r w:rsidR="000F0ABB">
        <w:rPr>
          <w:lang w:val="en-US"/>
        </w:rPr>
        <w:t xml:space="preserve">the </w:t>
      </w:r>
      <w:r>
        <w:rPr>
          <w:lang w:val="en-US"/>
        </w:rPr>
        <w:t xml:space="preserve">relatively low availability of wind resource which meant that an unreasonably high number of turbines would have been needed. The chosen solution meets the demand completely while having a very competitive Net Present Cost compared to other solutions. CSP showed high viability due to its intrinsic thermal inertia as well. As expected in a tropical location relatively close to the equator, it was more highly recommended than solar PV according to the results of the simulation. An optimal combination is presented. Net Present Cost of $55.7 million compared to the diesel NPC of $408 million over </w:t>
      </w:r>
      <w:r w:rsidR="000F0ABB">
        <w:rPr>
          <w:lang w:val="en-US"/>
        </w:rPr>
        <w:t>25 years</w:t>
      </w:r>
      <w:r>
        <w:rPr>
          <w:lang w:val="en-US"/>
        </w:rPr>
        <w:t xml:space="preserve"> shows the difference between using renewable energy and using fossil fuels in</w:t>
      </w:r>
      <w:r w:rsidR="005C1501">
        <w:rPr>
          <w:lang w:val="en-US"/>
        </w:rPr>
        <w:t xml:space="preserve"> a microgrid of this size.</w:t>
      </w:r>
    </w:p>
    <w:p w14:paraId="21E4C198" w14:textId="528F82E8" w:rsidR="00FB0888" w:rsidRDefault="00FB0888" w:rsidP="00E85D75">
      <w:pPr>
        <w:pStyle w:val="Heading3"/>
        <w:numPr>
          <w:ilvl w:val="2"/>
          <w:numId w:val="9"/>
        </w:numPr>
        <w:spacing w:line="480" w:lineRule="auto"/>
      </w:pPr>
      <w:bookmarkStart w:id="72" w:name="_Toc110502610"/>
      <w:r>
        <w:t>Net Present Cost and Levelized Cost of Energy</w:t>
      </w:r>
      <w:bookmarkEnd w:id="72"/>
    </w:p>
    <w:p w14:paraId="5FE3A4BB" w14:textId="55A0AA16" w:rsidR="00FB0888" w:rsidRDefault="00FB0888" w:rsidP="00F03645">
      <w:pPr>
        <w:spacing w:line="480" w:lineRule="auto"/>
        <w:rPr>
          <w:lang w:val="en-US"/>
        </w:rPr>
      </w:pPr>
      <w:r>
        <w:rPr>
          <w:lang w:val="en-US"/>
        </w:rPr>
        <w:t xml:space="preserve">The total NPC for the renewable microgrid with battery storage was calculated as $55,724,760.00 while the </w:t>
      </w:r>
      <w:r w:rsidR="000F0ABB">
        <w:rPr>
          <w:lang w:val="en-US"/>
        </w:rPr>
        <w:t>L</w:t>
      </w:r>
      <w:r>
        <w:rPr>
          <w:lang w:val="en-US"/>
        </w:rPr>
        <w:t xml:space="preserve">evelized COE was calculated as $0.26 for each unit of electricity generated. Compared to the diesel microgrid, this is much more cost-effective. The chosen optimal system has a system architecture and capacities for each </w:t>
      </w:r>
      <w:r w:rsidR="008D6E07">
        <w:rPr>
          <w:lang w:val="en-US"/>
        </w:rPr>
        <w:t>technology as shown in Table 4.1</w:t>
      </w:r>
      <w:r>
        <w:rPr>
          <w:lang w:val="en-US"/>
        </w:rPr>
        <w:t>. Wind energy in the location was found to be suboptimal, hence the results of the feasibility survey discourage the use of wind turbines in the microgrid project unless cost is not assumed to be a priority. Even in such a scenario, the amount of space that would be taken up by any significant wind installations makes land use a hard constraint against the en-masse installation of wind</w:t>
      </w:r>
      <w:r w:rsidR="007D676A">
        <w:rPr>
          <w:lang w:val="en-US"/>
        </w:rPr>
        <w:t xml:space="preserve"> turbines in the area. Table 4.2</w:t>
      </w:r>
      <w:r>
        <w:rPr>
          <w:lang w:val="en-US"/>
        </w:rPr>
        <w:t xml:space="preserve"> shows a breakdown of the total NPC for the renewable microgrid.</w:t>
      </w:r>
    </w:p>
    <w:p w14:paraId="3B3382D5" w14:textId="3F44CDEE" w:rsidR="00FB0888" w:rsidRDefault="00FB0888" w:rsidP="00F03645">
      <w:pPr>
        <w:spacing w:line="480" w:lineRule="auto"/>
        <w:rPr>
          <w:lang w:val="en-US"/>
        </w:rPr>
      </w:pPr>
      <w:r>
        <w:rPr>
          <w:lang w:val="en-US"/>
        </w:rPr>
        <w:t>The photovoltaic array consists of 3000 kW of photovoltaic generation capacity, a 9MW capacity concentrating solar plant, as well as 200 strings of 50 6V batteries of 1kWh each (or 167 Ah). This is how HOMER sizes its batteries. However, the battery and solar equipment batteries were obtained from battery vendors, PV array statistics, and CSP statistics from literature respectively, and levelized so that the cost of batteries in the simulation was realistic. $144/kWh of Li-ion storage was used in the study.</w:t>
      </w:r>
    </w:p>
    <w:p w14:paraId="4D9CF0A3" w14:textId="77777777" w:rsidR="001C0942" w:rsidRDefault="001C0942" w:rsidP="00F03645">
      <w:pPr>
        <w:spacing w:line="480" w:lineRule="auto"/>
        <w:rPr>
          <w:lang w:val="en-US"/>
        </w:rPr>
      </w:pPr>
    </w:p>
    <w:p w14:paraId="422F0A9B" w14:textId="130DA1BF" w:rsidR="00FB0888" w:rsidRPr="00F513C6" w:rsidRDefault="007D676A" w:rsidP="00F03645">
      <w:pPr>
        <w:spacing w:line="480" w:lineRule="auto"/>
        <w:jc w:val="center"/>
        <w:rPr>
          <w:b/>
          <w:lang w:val="en-US"/>
        </w:rPr>
      </w:pPr>
      <w:r>
        <w:rPr>
          <w:b/>
          <w:lang w:val="en-US"/>
        </w:rPr>
        <w:t>Table 4.1</w:t>
      </w:r>
      <w:r w:rsidR="00FB0888" w:rsidRPr="00F513C6">
        <w:rPr>
          <w:b/>
          <w:lang w:val="en-US"/>
        </w:rPr>
        <w:t xml:space="preserve"> – Architecture of the Chosen Optimal Renewable Microgrid</w:t>
      </w:r>
    </w:p>
    <w:tbl>
      <w:tblPr>
        <w:tblW w:w="0" w:type="auto"/>
        <w:tblBorders>
          <w:top w:val="single" w:sz="4" w:space="0" w:color="auto"/>
          <w:bottom w:val="single" w:sz="4" w:space="0" w:color="auto"/>
        </w:tblBorders>
        <w:tblLook w:val="04A0" w:firstRow="1" w:lastRow="0" w:firstColumn="1" w:lastColumn="0" w:noHBand="0" w:noVBand="1"/>
      </w:tblPr>
      <w:tblGrid>
        <w:gridCol w:w="2157"/>
        <w:gridCol w:w="2157"/>
        <w:gridCol w:w="2158"/>
        <w:gridCol w:w="2158"/>
      </w:tblGrid>
      <w:tr w:rsidR="00FB0888" w14:paraId="531315A0" w14:textId="77777777" w:rsidTr="00F513C6">
        <w:tc>
          <w:tcPr>
            <w:tcW w:w="2157" w:type="dxa"/>
            <w:tcBorders>
              <w:top w:val="single" w:sz="4" w:space="0" w:color="auto"/>
              <w:bottom w:val="single" w:sz="4" w:space="0" w:color="auto"/>
            </w:tcBorders>
            <w:vAlign w:val="bottom"/>
          </w:tcPr>
          <w:p w14:paraId="21B6C55C" w14:textId="77777777" w:rsidR="00FB0888" w:rsidRPr="00AD4D35" w:rsidRDefault="00FB0888" w:rsidP="00771ECA">
            <w:pPr>
              <w:pStyle w:val="HomerTableBody"/>
              <w:spacing w:line="240" w:lineRule="auto"/>
              <w:rPr>
                <w:rFonts w:ascii="Times New Roman" w:hAnsi="Times New Roman" w:cs="Times New Roman"/>
                <w:b/>
                <w:sz w:val="24"/>
                <w:szCs w:val="24"/>
              </w:rPr>
            </w:pPr>
            <w:r w:rsidRPr="00AD4D35">
              <w:rPr>
                <w:rFonts w:ascii="Times New Roman" w:hAnsi="Times New Roman" w:cs="Times New Roman"/>
                <w:b/>
                <w:sz w:val="24"/>
                <w:szCs w:val="24"/>
              </w:rPr>
              <w:t>Component</w:t>
            </w:r>
          </w:p>
        </w:tc>
        <w:tc>
          <w:tcPr>
            <w:tcW w:w="2157" w:type="dxa"/>
            <w:tcBorders>
              <w:top w:val="single" w:sz="4" w:space="0" w:color="auto"/>
              <w:bottom w:val="single" w:sz="4" w:space="0" w:color="auto"/>
            </w:tcBorders>
            <w:vAlign w:val="bottom"/>
          </w:tcPr>
          <w:p w14:paraId="7BBE2738" w14:textId="77777777" w:rsidR="00FB0888" w:rsidRPr="00AD4D35" w:rsidRDefault="00FB0888" w:rsidP="00771ECA">
            <w:pPr>
              <w:pStyle w:val="HomerTableBody"/>
              <w:spacing w:line="240" w:lineRule="auto"/>
              <w:rPr>
                <w:rFonts w:ascii="Times New Roman" w:hAnsi="Times New Roman" w:cs="Times New Roman"/>
                <w:b/>
                <w:sz w:val="24"/>
                <w:szCs w:val="24"/>
              </w:rPr>
            </w:pPr>
            <w:r w:rsidRPr="00AD4D35">
              <w:rPr>
                <w:rFonts w:ascii="Times New Roman" w:hAnsi="Times New Roman" w:cs="Times New Roman"/>
                <w:b/>
                <w:sz w:val="24"/>
                <w:szCs w:val="24"/>
              </w:rPr>
              <w:t>Name</w:t>
            </w:r>
          </w:p>
        </w:tc>
        <w:tc>
          <w:tcPr>
            <w:tcW w:w="2158" w:type="dxa"/>
            <w:tcBorders>
              <w:top w:val="single" w:sz="4" w:space="0" w:color="auto"/>
              <w:bottom w:val="single" w:sz="4" w:space="0" w:color="auto"/>
            </w:tcBorders>
            <w:vAlign w:val="bottom"/>
          </w:tcPr>
          <w:p w14:paraId="48F39684" w14:textId="77777777" w:rsidR="00FB0888" w:rsidRPr="00AD4D35" w:rsidRDefault="00FB0888" w:rsidP="00771ECA">
            <w:pPr>
              <w:pStyle w:val="HomerTableBody"/>
              <w:spacing w:line="240" w:lineRule="auto"/>
              <w:rPr>
                <w:rFonts w:ascii="Times New Roman" w:hAnsi="Times New Roman" w:cs="Times New Roman"/>
                <w:b/>
                <w:sz w:val="24"/>
                <w:szCs w:val="24"/>
              </w:rPr>
            </w:pPr>
            <w:r w:rsidRPr="00AD4D35">
              <w:rPr>
                <w:rFonts w:ascii="Times New Roman" w:hAnsi="Times New Roman" w:cs="Times New Roman"/>
                <w:b/>
                <w:sz w:val="24"/>
                <w:szCs w:val="24"/>
              </w:rPr>
              <w:t>Size</w:t>
            </w:r>
          </w:p>
        </w:tc>
        <w:tc>
          <w:tcPr>
            <w:tcW w:w="2158" w:type="dxa"/>
            <w:tcBorders>
              <w:top w:val="single" w:sz="4" w:space="0" w:color="auto"/>
              <w:bottom w:val="single" w:sz="4" w:space="0" w:color="auto"/>
            </w:tcBorders>
            <w:vAlign w:val="bottom"/>
          </w:tcPr>
          <w:p w14:paraId="43E21381" w14:textId="77777777" w:rsidR="00FB0888" w:rsidRPr="00AD4D35" w:rsidRDefault="00FB0888" w:rsidP="00771ECA">
            <w:pPr>
              <w:pStyle w:val="HomerTableBody"/>
              <w:spacing w:line="240" w:lineRule="auto"/>
              <w:rPr>
                <w:rFonts w:ascii="Times New Roman" w:hAnsi="Times New Roman" w:cs="Times New Roman"/>
                <w:b/>
                <w:sz w:val="24"/>
                <w:szCs w:val="24"/>
              </w:rPr>
            </w:pPr>
            <w:r w:rsidRPr="00AD4D35">
              <w:rPr>
                <w:rFonts w:ascii="Times New Roman" w:hAnsi="Times New Roman" w:cs="Times New Roman"/>
                <w:b/>
                <w:sz w:val="24"/>
                <w:szCs w:val="24"/>
              </w:rPr>
              <w:t>Unit</w:t>
            </w:r>
          </w:p>
        </w:tc>
      </w:tr>
      <w:tr w:rsidR="00FB0888" w14:paraId="75EBD99B" w14:textId="77777777" w:rsidTr="00F513C6">
        <w:tc>
          <w:tcPr>
            <w:tcW w:w="2157" w:type="dxa"/>
            <w:tcBorders>
              <w:top w:val="single" w:sz="4" w:space="0" w:color="auto"/>
            </w:tcBorders>
            <w:vAlign w:val="bottom"/>
          </w:tcPr>
          <w:p w14:paraId="1E318C32"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PV #1</w:t>
            </w:r>
          </w:p>
        </w:tc>
        <w:tc>
          <w:tcPr>
            <w:tcW w:w="2157" w:type="dxa"/>
            <w:tcBorders>
              <w:top w:val="single" w:sz="4" w:space="0" w:color="auto"/>
            </w:tcBorders>
            <w:vAlign w:val="bottom"/>
          </w:tcPr>
          <w:p w14:paraId="6DDC114F"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Generic flat plate PV</w:t>
            </w:r>
          </w:p>
        </w:tc>
        <w:tc>
          <w:tcPr>
            <w:tcW w:w="2158" w:type="dxa"/>
            <w:tcBorders>
              <w:top w:val="single" w:sz="4" w:space="0" w:color="auto"/>
            </w:tcBorders>
            <w:vAlign w:val="bottom"/>
          </w:tcPr>
          <w:p w14:paraId="2E90F7EA"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3,000</w:t>
            </w:r>
          </w:p>
        </w:tc>
        <w:tc>
          <w:tcPr>
            <w:tcW w:w="2158" w:type="dxa"/>
            <w:tcBorders>
              <w:top w:val="single" w:sz="4" w:space="0" w:color="auto"/>
            </w:tcBorders>
            <w:vAlign w:val="bottom"/>
          </w:tcPr>
          <w:p w14:paraId="0A839B5C"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kW</w:t>
            </w:r>
          </w:p>
        </w:tc>
      </w:tr>
      <w:tr w:rsidR="00FB0888" w14:paraId="61680EC6" w14:textId="77777777" w:rsidTr="00656BE3">
        <w:tc>
          <w:tcPr>
            <w:tcW w:w="2157" w:type="dxa"/>
            <w:vAlign w:val="bottom"/>
          </w:tcPr>
          <w:p w14:paraId="7408108F" w14:textId="4E058365" w:rsidR="00FB0888" w:rsidRPr="00AD4D35" w:rsidRDefault="00BC4BED" w:rsidP="00771ECA">
            <w:pPr>
              <w:pStyle w:val="HomerTableBody"/>
              <w:spacing w:line="240" w:lineRule="auto"/>
              <w:rPr>
                <w:rFonts w:ascii="Times New Roman" w:hAnsi="Times New Roman" w:cs="Times New Roman"/>
                <w:sz w:val="24"/>
                <w:szCs w:val="24"/>
              </w:rPr>
            </w:pPr>
            <w:r>
              <w:rPr>
                <w:rFonts w:ascii="Times New Roman" w:hAnsi="Times New Roman" w:cs="Times New Roman"/>
                <w:sz w:val="24"/>
                <w:szCs w:val="24"/>
              </w:rPr>
              <w:t>CSP</w:t>
            </w:r>
          </w:p>
        </w:tc>
        <w:tc>
          <w:tcPr>
            <w:tcW w:w="2157" w:type="dxa"/>
            <w:vAlign w:val="bottom"/>
          </w:tcPr>
          <w:p w14:paraId="74702486" w14:textId="77777777" w:rsidR="00FB0888" w:rsidRPr="00AD4D35" w:rsidRDefault="00FB0888" w:rsidP="00771ECA">
            <w:pPr>
              <w:pStyle w:val="HomerTableBody"/>
              <w:spacing w:line="240" w:lineRule="auto"/>
              <w:rPr>
                <w:rFonts w:ascii="Times New Roman" w:hAnsi="Times New Roman" w:cs="Times New Roman"/>
                <w:sz w:val="24"/>
                <w:szCs w:val="24"/>
              </w:rPr>
            </w:pPr>
            <w:r>
              <w:rPr>
                <w:rFonts w:ascii="Times New Roman" w:hAnsi="Times New Roman" w:cs="Times New Roman"/>
                <w:sz w:val="24"/>
                <w:szCs w:val="24"/>
              </w:rPr>
              <w:t>Concentrating Solar Power</w:t>
            </w:r>
          </w:p>
        </w:tc>
        <w:tc>
          <w:tcPr>
            <w:tcW w:w="2158" w:type="dxa"/>
            <w:vAlign w:val="bottom"/>
          </w:tcPr>
          <w:p w14:paraId="0D361C26"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9,000</w:t>
            </w:r>
          </w:p>
        </w:tc>
        <w:tc>
          <w:tcPr>
            <w:tcW w:w="2158" w:type="dxa"/>
            <w:vAlign w:val="bottom"/>
          </w:tcPr>
          <w:p w14:paraId="6FE28DD5"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kW</w:t>
            </w:r>
          </w:p>
        </w:tc>
      </w:tr>
      <w:tr w:rsidR="00FB0888" w14:paraId="4838051A" w14:textId="77777777" w:rsidTr="00656BE3">
        <w:tc>
          <w:tcPr>
            <w:tcW w:w="2157" w:type="dxa"/>
            <w:vAlign w:val="bottom"/>
          </w:tcPr>
          <w:p w14:paraId="700BBF6F"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 xml:space="preserve">Storage </w:t>
            </w:r>
          </w:p>
        </w:tc>
        <w:tc>
          <w:tcPr>
            <w:tcW w:w="2157" w:type="dxa"/>
            <w:vAlign w:val="bottom"/>
          </w:tcPr>
          <w:p w14:paraId="0DBBE8AF"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Generic 1kWh Li-Ion</w:t>
            </w:r>
          </w:p>
        </w:tc>
        <w:tc>
          <w:tcPr>
            <w:tcW w:w="2158" w:type="dxa"/>
            <w:vAlign w:val="bottom"/>
          </w:tcPr>
          <w:p w14:paraId="7CDA2FA7"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200</w:t>
            </w:r>
          </w:p>
        </w:tc>
        <w:tc>
          <w:tcPr>
            <w:tcW w:w="2158" w:type="dxa"/>
            <w:vAlign w:val="bottom"/>
          </w:tcPr>
          <w:p w14:paraId="59630EB4"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Strings</w:t>
            </w:r>
          </w:p>
        </w:tc>
      </w:tr>
      <w:tr w:rsidR="00FB0888" w14:paraId="7E196DD1" w14:textId="77777777" w:rsidTr="00656BE3">
        <w:tc>
          <w:tcPr>
            <w:tcW w:w="2157" w:type="dxa"/>
            <w:vAlign w:val="bottom"/>
          </w:tcPr>
          <w:p w14:paraId="28289DFF"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System converter</w:t>
            </w:r>
          </w:p>
        </w:tc>
        <w:tc>
          <w:tcPr>
            <w:tcW w:w="2157" w:type="dxa"/>
            <w:vAlign w:val="bottom"/>
          </w:tcPr>
          <w:p w14:paraId="39421A87"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System Converter</w:t>
            </w:r>
          </w:p>
        </w:tc>
        <w:tc>
          <w:tcPr>
            <w:tcW w:w="2158" w:type="dxa"/>
            <w:vAlign w:val="bottom"/>
          </w:tcPr>
          <w:p w14:paraId="38006D2F"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2,500</w:t>
            </w:r>
          </w:p>
        </w:tc>
        <w:tc>
          <w:tcPr>
            <w:tcW w:w="2158" w:type="dxa"/>
            <w:vAlign w:val="bottom"/>
          </w:tcPr>
          <w:p w14:paraId="03696A23"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kW</w:t>
            </w:r>
          </w:p>
        </w:tc>
      </w:tr>
      <w:tr w:rsidR="00FB0888" w14:paraId="2FE69B86" w14:textId="77777777" w:rsidTr="00656BE3">
        <w:tc>
          <w:tcPr>
            <w:tcW w:w="2157" w:type="dxa"/>
            <w:vAlign w:val="bottom"/>
          </w:tcPr>
          <w:p w14:paraId="3096F877"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Hydroelectric</w:t>
            </w:r>
          </w:p>
        </w:tc>
        <w:tc>
          <w:tcPr>
            <w:tcW w:w="2157" w:type="dxa"/>
            <w:vAlign w:val="bottom"/>
          </w:tcPr>
          <w:p w14:paraId="2AC6CBB7"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Generic Hydro 100kW</w:t>
            </w:r>
          </w:p>
        </w:tc>
        <w:tc>
          <w:tcPr>
            <w:tcW w:w="2158" w:type="dxa"/>
            <w:vAlign w:val="bottom"/>
          </w:tcPr>
          <w:p w14:paraId="27820732"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23.5</w:t>
            </w:r>
          </w:p>
        </w:tc>
        <w:tc>
          <w:tcPr>
            <w:tcW w:w="2158" w:type="dxa"/>
            <w:vAlign w:val="bottom"/>
          </w:tcPr>
          <w:p w14:paraId="425AC93A" w14:textId="77777777" w:rsidR="00FB0888" w:rsidRPr="00AD4D35" w:rsidRDefault="00FB0888" w:rsidP="00771ECA">
            <w:pPr>
              <w:pStyle w:val="HomerTableBody"/>
              <w:spacing w:line="240" w:lineRule="auto"/>
              <w:rPr>
                <w:rFonts w:ascii="Times New Roman" w:hAnsi="Times New Roman" w:cs="Times New Roman"/>
                <w:sz w:val="24"/>
                <w:szCs w:val="24"/>
              </w:rPr>
            </w:pPr>
            <w:r w:rsidRPr="00AD4D35">
              <w:rPr>
                <w:rFonts w:ascii="Times New Roman" w:hAnsi="Times New Roman" w:cs="Times New Roman"/>
                <w:sz w:val="24"/>
                <w:szCs w:val="24"/>
              </w:rPr>
              <w:t>kW</w:t>
            </w:r>
          </w:p>
        </w:tc>
      </w:tr>
    </w:tbl>
    <w:p w14:paraId="3CE93B45" w14:textId="77777777" w:rsidR="00FB0888" w:rsidRDefault="00FB0888" w:rsidP="00F03645">
      <w:pPr>
        <w:spacing w:line="480" w:lineRule="auto"/>
        <w:rPr>
          <w:lang w:val="en-US"/>
        </w:rPr>
      </w:pPr>
    </w:p>
    <w:p w14:paraId="5A93ACDE" w14:textId="1928E5C6" w:rsidR="00FB0888" w:rsidRPr="00F513C6" w:rsidRDefault="007D676A" w:rsidP="00F03645">
      <w:pPr>
        <w:spacing w:line="480" w:lineRule="auto"/>
        <w:jc w:val="center"/>
        <w:rPr>
          <w:b/>
          <w:lang w:val="en-US"/>
        </w:rPr>
      </w:pPr>
      <w:r>
        <w:rPr>
          <w:b/>
          <w:lang w:val="en-US"/>
        </w:rPr>
        <w:t>Table 4.2</w:t>
      </w:r>
      <w:r w:rsidR="00FB0888" w:rsidRPr="00F513C6">
        <w:rPr>
          <w:b/>
          <w:lang w:val="en-US"/>
        </w:rPr>
        <w:t xml:space="preserve"> – Net Present Costs Breakdown of the Renewable Microgrid</w:t>
      </w:r>
    </w:p>
    <w:tbl>
      <w:tblPr>
        <w:tblW w:w="0" w:type="auto"/>
        <w:tblLook w:val="04A0" w:firstRow="1" w:lastRow="0" w:firstColumn="1" w:lastColumn="0" w:noHBand="0" w:noVBand="1"/>
      </w:tblPr>
      <w:tblGrid>
        <w:gridCol w:w="1576"/>
        <w:gridCol w:w="1118"/>
        <w:gridCol w:w="1183"/>
        <w:gridCol w:w="1438"/>
        <w:gridCol w:w="1119"/>
        <w:gridCol w:w="1087"/>
        <w:gridCol w:w="1119"/>
      </w:tblGrid>
      <w:tr w:rsidR="00FB0888" w14:paraId="2B09FD2C" w14:textId="77777777" w:rsidTr="00F513C6">
        <w:tc>
          <w:tcPr>
            <w:tcW w:w="1232" w:type="dxa"/>
            <w:tcBorders>
              <w:left w:val="nil"/>
              <w:bottom w:val="single" w:sz="4" w:space="0" w:color="auto"/>
              <w:right w:val="nil"/>
            </w:tcBorders>
            <w:vAlign w:val="bottom"/>
          </w:tcPr>
          <w:p w14:paraId="6E5BA294" w14:textId="77777777" w:rsidR="00FB0888" w:rsidRPr="000261C3" w:rsidRDefault="00FB0888" w:rsidP="00771ECA">
            <w:pPr>
              <w:pStyle w:val="HomerTableBody"/>
              <w:spacing w:line="240" w:lineRule="auto"/>
              <w:rPr>
                <w:rFonts w:ascii="Times New Roman" w:hAnsi="Times New Roman" w:cs="Times New Roman"/>
                <w:b/>
                <w:sz w:val="22"/>
                <w:szCs w:val="22"/>
              </w:rPr>
            </w:pPr>
            <w:r w:rsidRPr="000261C3">
              <w:rPr>
                <w:rFonts w:ascii="Times New Roman" w:hAnsi="Times New Roman" w:cs="Times New Roman"/>
                <w:b/>
                <w:sz w:val="22"/>
                <w:szCs w:val="22"/>
              </w:rPr>
              <w:t>Name</w:t>
            </w:r>
          </w:p>
        </w:tc>
        <w:tc>
          <w:tcPr>
            <w:tcW w:w="1233" w:type="dxa"/>
            <w:tcBorders>
              <w:left w:val="nil"/>
              <w:bottom w:val="single" w:sz="4" w:space="0" w:color="auto"/>
              <w:right w:val="nil"/>
            </w:tcBorders>
            <w:vAlign w:val="bottom"/>
          </w:tcPr>
          <w:p w14:paraId="4C78F11D" w14:textId="77777777" w:rsidR="00FB0888" w:rsidRPr="000261C3" w:rsidRDefault="00FB0888" w:rsidP="00771ECA">
            <w:pPr>
              <w:pStyle w:val="HomerTableBody"/>
              <w:spacing w:line="240" w:lineRule="auto"/>
              <w:rPr>
                <w:rFonts w:ascii="Times New Roman" w:hAnsi="Times New Roman" w:cs="Times New Roman"/>
                <w:b/>
                <w:sz w:val="22"/>
                <w:szCs w:val="22"/>
              </w:rPr>
            </w:pPr>
            <w:r w:rsidRPr="000261C3">
              <w:rPr>
                <w:rFonts w:ascii="Times New Roman" w:hAnsi="Times New Roman" w:cs="Times New Roman"/>
                <w:b/>
                <w:sz w:val="22"/>
                <w:szCs w:val="22"/>
              </w:rPr>
              <w:t>Capital</w:t>
            </w:r>
          </w:p>
        </w:tc>
        <w:tc>
          <w:tcPr>
            <w:tcW w:w="1233" w:type="dxa"/>
            <w:tcBorders>
              <w:left w:val="nil"/>
              <w:bottom w:val="single" w:sz="4" w:space="0" w:color="auto"/>
              <w:right w:val="nil"/>
            </w:tcBorders>
            <w:vAlign w:val="bottom"/>
          </w:tcPr>
          <w:p w14:paraId="56C6CE5C" w14:textId="77777777" w:rsidR="00FB0888" w:rsidRPr="000261C3" w:rsidRDefault="00FB0888" w:rsidP="00771ECA">
            <w:pPr>
              <w:pStyle w:val="HomerTableBody"/>
              <w:spacing w:line="240" w:lineRule="auto"/>
              <w:rPr>
                <w:rFonts w:ascii="Times New Roman" w:hAnsi="Times New Roman" w:cs="Times New Roman"/>
                <w:b/>
                <w:sz w:val="22"/>
                <w:szCs w:val="22"/>
              </w:rPr>
            </w:pPr>
            <w:r w:rsidRPr="000261C3">
              <w:rPr>
                <w:rFonts w:ascii="Times New Roman" w:hAnsi="Times New Roman" w:cs="Times New Roman"/>
                <w:b/>
                <w:sz w:val="22"/>
                <w:szCs w:val="22"/>
              </w:rPr>
              <w:t>Operating</w:t>
            </w:r>
          </w:p>
        </w:tc>
        <w:tc>
          <w:tcPr>
            <w:tcW w:w="1233" w:type="dxa"/>
            <w:tcBorders>
              <w:left w:val="nil"/>
              <w:bottom w:val="single" w:sz="4" w:space="0" w:color="auto"/>
              <w:right w:val="nil"/>
            </w:tcBorders>
            <w:vAlign w:val="bottom"/>
          </w:tcPr>
          <w:p w14:paraId="23E77DAF" w14:textId="77777777" w:rsidR="00FB0888" w:rsidRPr="000261C3" w:rsidRDefault="00FB0888" w:rsidP="00771ECA">
            <w:pPr>
              <w:pStyle w:val="HomerTableBody"/>
              <w:spacing w:line="240" w:lineRule="auto"/>
              <w:rPr>
                <w:rFonts w:ascii="Times New Roman" w:hAnsi="Times New Roman" w:cs="Times New Roman"/>
                <w:b/>
                <w:sz w:val="22"/>
                <w:szCs w:val="22"/>
              </w:rPr>
            </w:pPr>
            <w:r w:rsidRPr="000261C3">
              <w:rPr>
                <w:rFonts w:ascii="Times New Roman" w:hAnsi="Times New Roman" w:cs="Times New Roman"/>
                <w:b/>
                <w:sz w:val="22"/>
                <w:szCs w:val="22"/>
              </w:rPr>
              <w:t>Replacement</w:t>
            </w:r>
          </w:p>
        </w:tc>
        <w:tc>
          <w:tcPr>
            <w:tcW w:w="1233" w:type="dxa"/>
            <w:tcBorders>
              <w:left w:val="nil"/>
              <w:bottom w:val="single" w:sz="4" w:space="0" w:color="auto"/>
              <w:right w:val="nil"/>
            </w:tcBorders>
            <w:vAlign w:val="bottom"/>
          </w:tcPr>
          <w:p w14:paraId="02CD6963" w14:textId="77777777" w:rsidR="00FB0888" w:rsidRPr="000261C3" w:rsidRDefault="00FB0888" w:rsidP="00771ECA">
            <w:pPr>
              <w:pStyle w:val="HomerTableBody"/>
              <w:spacing w:line="240" w:lineRule="auto"/>
              <w:rPr>
                <w:rFonts w:ascii="Times New Roman" w:hAnsi="Times New Roman" w:cs="Times New Roman"/>
                <w:b/>
                <w:sz w:val="22"/>
                <w:szCs w:val="22"/>
              </w:rPr>
            </w:pPr>
            <w:r w:rsidRPr="000261C3">
              <w:rPr>
                <w:rFonts w:ascii="Times New Roman" w:hAnsi="Times New Roman" w:cs="Times New Roman"/>
                <w:b/>
                <w:sz w:val="22"/>
                <w:szCs w:val="22"/>
              </w:rPr>
              <w:t>Salvage</w:t>
            </w:r>
          </w:p>
        </w:tc>
        <w:tc>
          <w:tcPr>
            <w:tcW w:w="1233" w:type="dxa"/>
            <w:tcBorders>
              <w:left w:val="nil"/>
              <w:bottom w:val="single" w:sz="4" w:space="0" w:color="auto"/>
              <w:right w:val="nil"/>
            </w:tcBorders>
            <w:vAlign w:val="bottom"/>
          </w:tcPr>
          <w:p w14:paraId="1D50A108" w14:textId="77777777" w:rsidR="00FB0888" w:rsidRPr="000261C3" w:rsidRDefault="00FB0888" w:rsidP="00771ECA">
            <w:pPr>
              <w:pStyle w:val="HomerTableBody"/>
              <w:spacing w:line="240" w:lineRule="auto"/>
              <w:rPr>
                <w:rFonts w:ascii="Times New Roman" w:hAnsi="Times New Roman" w:cs="Times New Roman"/>
                <w:b/>
                <w:sz w:val="22"/>
                <w:szCs w:val="22"/>
              </w:rPr>
            </w:pPr>
            <w:r w:rsidRPr="000261C3">
              <w:rPr>
                <w:rFonts w:ascii="Times New Roman" w:hAnsi="Times New Roman" w:cs="Times New Roman"/>
                <w:b/>
                <w:sz w:val="22"/>
                <w:szCs w:val="22"/>
              </w:rPr>
              <w:t>Resource</w:t>
            </w:r>
          </w:p>
        </w:tc>
        <w:tc>
          <w:tcPr>
            <w:tcW w:w="1233" w:type="dxa"/>
            <w:tcBorders>
              <w:left w:val="nil"/>
              <w:bottom w:val="single" w:sz="4" w:space="0" w:color="auto"/>
              <w:right w:val="nil"/>
            </w:tcBorders>
            <w:vAlign w:val="bottom"/>
          </w:tcPr>
          <w:p w14:paraId="393E6DE0" w14:textId="77777777" w:rsidR="00FB0888" w:rsidRPr="000261C3" w:rsidRDefault="00FB0888" w:rsidP="00771ECA">
            <w:pPr>
              <w:pStyle w:val="HomerTableBody"/>
              <w:spacing w:line="240" w:lineRule="auto"/>
              <w:rPr>
                <w:rFonts w:ascii="Times New Roman" w:hAnsi="Times New Roman" w:cs="Times New Roman"/>
                <w:b/>
                <w:sz w:val="22"/>
                <w:szCs w:val="22"/>
              </w:rPr>
            </w:pPr>
            <w:r w:rsidRPr="000261C3">
              <w:rPr>
                <w:rFonts w:ascii="Times New Roman" w:hAnsi="Times New Roman" w:cs="Times New Roman"/>
                <w:b/>
                <w:sz w:val="22"/>
                <w:szCs w:val="22"/>
              </w:rPr>
              <w:t>Total</w:t>
            </w:r>
          </w:p>
        </w:tc>
      </w:tr>
      <w:tr w:rsidR="00FB0888" w14:paraId="20E87205" w14:textId="77777777" w:rsidTr="00F513C6">
        <w:tc>
          <w:tcPr>
            <w:tcW w:w="1232" w:type="dxa"/>
            <w:tcBorders>
              <w:left w:val="nil"/>
              <w:bottom w:val="nil"/>
              <w:right w:val="nil"/>
            </w:tcBorders>
            <w:vAlign w:val="bottom"/>
          </w:tcPr>
          <w:p w14:paraId="39424FCF"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Concentrating PV</w:t>
            </w:r>
          </w:p>
        </w:tc>
        <w:tc>
          <w:tcPr>
            <w:tcW w:w="1233" w:type="dxa"/>
            <w:tcBorders>
              <w:left w:val="nil"/>
              <w:bottom w:val="nil"/>
              <w:right w:val="nil"/>
            </w:tcBorders>
            <w:vAlign w:val="bottom"/>
          </w:tcPr>
          <w:p w14:paraId="3FFC9556"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$31.5M</w:t>
            </w:r>
          </w:p>
        </w:tc>
        <w:tc>
          <w:tcPr>
            <w:tcW w:w="1233" w:type="dxa"/>
            <w:tcBorders>
              <w:left w:val="nil"/>
              <w:bottom w:val="nil"/>
              <w:right w:val="nil"/>
            </w:tcBorders>
            <w:vAlign w:val="bottom"/>
          </w:tcPr>
          <w:p w14:paraId="57F9D59D"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$2.25M</w:t>
            </w:r>
          </w:p>
        </w:tc>
        <w:tc>
          <w:tcPr>
            <w:tcW w:w="1233" w:type="dxa"/>
            <w:tcBorders>
              <w:left w:val="nil"/>
              <w:bottom w:val="nil"/>
              <w:right w:val="nil"/>
            </w:tcBorders>
            <w:vAlign w:val="bottom"/>
          </w:tcPr>
          <w:p w14:paraId="2684CBEB"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$27.0M</w:t>
            </w:r>
          </w:p>
        </w:tc>
        <w:tc>
          <w:tcPr>
            <w:tcW w:w="1233" w:type="dxa"/>
            <w:tcBorders>
              <w:left w:val="nil"/>
              <w:bottom w:val="nil"/>
              <w:right w:val="nil"/>
            </w:tcBorders>
            <w:vAlign w:val="bottom"/>
          </w:tcPr>
          <w:p w14:paraId="4F8FAEB7"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-$20.3M</w:t>
            </w:r>
          </w:p>
        </w:tc>
        <w:tc>
          <w:tcPr>
            <w:tcW w:w="1233" w:type="dxa"/>
            <w:tcBorders>
              <w:left w:val="nil"/>
              <w:bottom w:val="nil"/>
              <w:right w:val="nil"/>
            </w:tcBorders>
            <w:vAlign w:val="bottom"/>
          </w:tcPr>
          <w:p w14:paraId="562E9319"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left w:val="nil"/>
              <w:bottom w:val="nil"/>
              <w:right w:val="nil"/>
            </w:tcBorders>
            <w:vAlign w:val="bottom"/>
          </w:tcPr>
          <w:p w14:paraId="53CE0025"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$40.5M</w:t>
            </w:r>
          </w:p>
        </w:tc>
      </w:tr>
      <w:tr w:rsidR="00FB0888" w14:paraId="3B2E52DB" w14:textId="77777777" w:rsidTr="00F513C6">
        <w:tc>
          <w:tcPr>
            <w:tcW w:w="1232" w:type="dxa"/>
            <w:tcBorders>
              <w:top w:val="nil"/>
              <w:left w:val="nil"/>
              <w:bottom w:val="nil"/>
              <w:right w:val="nil"/>
            </w:tcBorders>
            <w:vAlign w:val="bottom"/>
          </w:tcPr>
          <w:p w14:paraId="106AF6D9"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Generic 1kWh Li-Ion</w:t>
            </w:r>
          </w:p>
        </w:tc>
        <w:tc>
          <w:tcPr>
            <w:tcW w:w="1233" w:type="dxa"/>
            <w:tcBorders>
              <w:top w:val="nil"/>
              <w:left w:val="nil"/>
              <w:bottom w:val="nil"/>
              <w:right w:val="nil"/>
            </w:tcBorders>
            <w:vAlign w:val="bottom"/>
          </w:tcPr>
          <w:p w14:paraId="728C8BD1"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$1.80M</w:t>
            </w:r>
          </w:p>
        </w:tc>
        <w:tc>
          <w:tcPr>
            <w:tcW w:w="1233" w:type="dxa"/>
            <w:tcBorders>
              <w:top w:val="nil"/>
              <w:left w:val="nil"/>
              <w:bottom w:val="nil"/>
              <w:right w:val="nil"/>
            </w:tcBorders>
            <w:vAlign w:val="bottom"/>
          </w:tcPr>
          <w:p w14:paraId="14DCB87B"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$2.50M</w:t>
            </w:r>
          </w:p>
        </w:tc>
        <w:tc>
          <w:tcPr>
            <w:tcW w:w="1233" w:type="dxa"/>
            <w:tcBorders>
              <w:top w:val="nil"/>
              <w:left w:val="nil"/>
              <w:bottom w:val="nil"/>
              <w:right w:val="nil"/>
            </w:tcBorders>
            <w:vAlign w:val="bottom"/>
          </w:tcPr>
          <w:p w14:paraId="729DFB5B"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$1.44M</w:t>
            </w:r>
          </w:p>
        </w:tc>
        <w:tc>
          <w:tcPr>
            <w:tcW w:w="1233" w:type="dxa"/>
            <w:tcBorders>
              <w:top w:val="nil"/>
              <w:left w:val="nil"/>
              <w:bottom w:val="nil"/>
              <w:right w:val="nil"/>
            </w:tcBorders>
            <w:vAlign w:val="bottom"/>
          </w:tcPr>
          <w:p w14:paraId="31C0C680"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-$1.08M</w:t>
            </w:r>
          </w:p>
        </w:tc>
        <w:tc>
          <w:tcPr>
            <w:tcW w:w="1233" w:type="dxa"/>
            <w:tcBorders>
              <w:top w:val="nil"/>
              <w:left w:val="nil"/>
              <w:bottom w:val="nil"/>
              <w:right w:val="nil"/>
            </w:tcBorders>
            <w:vAlign w:val="bottom"/>
          </w:tcPr>
          <w:p w14:paraId="4B8BDA77"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bottom w:val="nil"/>
              <w:right w:val="nil"/>
            </w:tcBorders>
            <w:vAlign w:val="bottom"/>
          </w:tcPr>
          <w:p w14:paraId="4F48E963"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$4.66M</w:t>
            </w:r>
          </w:p>
        </w:tc>
      </w:tr>
      <w:tr w:rsidR="00FB0888" w14:paraId="7A50D623" w14:textId="77777777" w:rsidTr="00F513C6">
        <w:tc>
          <w:tcPr>
            <w:tcW w:w="1232" w:type="dxa"/>
            <w:tcBorders>
              <w:top w:val="nil"/>
              <w:left w:val="nil"/>
              <w:bottom w:val="nil"/>
              <w:right w:val="nil"/>
            </w:tcBorders>
            <w:vAlign w:val="bottom"/>
          </w:tcPr>
          <w:p w14:paraId="7B2D77DE"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Generic flat plate PV</w:t>
            </w:r>
          </w:p>
        </w:tc>
        <w:tc>
          <w:tcPr>
            <w:tcW w:w="1233" w:type="dxa"/>
            <w:tcBorders>
              <w:top w:val="nil"/>
              <w:left w:val="nil"/>
              <w:bottom w:val="nil"/>
              <w:right w:val="nil"/>
            </w:tcBorders>
            <w:vAlign w:val="bottom"/>
          </w:tcPr>
          <w:p w14:paraId="1A5C7776"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$9.00M</w:t>
            </w:r>
          </w:p>
        </w:tc>
        <w:tc>
          <w:tcPr>
            <w:tcW w:w="1233" w:type="dxa"/>
            <w:tcBorders>
              <w:top w:val="nil"/>
              <w:left w:val="nil"/>
              <w:bottom w:val="nil"/>
              <w:right w:val="nil"/>
            </w:tcBorders>
            <w:vAlign w:val="bottom"/>
          </w:tcPr>
          <w:p w14:paraId="685FAE6D"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$750,000</w:t>
            </w:r>
          </w:p>
        </w:tc>
        <w:tc>
          <w:tcPr>
            <w:tcW w:w="1233" w:type="dxa"/>
            <w:tcBorders>
              <w:top w:val="nil"/>
              <w:left w:val="nil"/>
              <w:bottom w:val="nil"/>
              <w:right w:val="nil"/>
            </w:tcBorders>
            <w:vAlign w:val="bottom"/>
          </w:tcPr>
          <w:p w14:paraId="39B36D28"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bottom w:val="nil"/>
              <w:right w:val="nil"/>
            </w:tcBorders>
            <w:vAlign w:val="bottom"/>
          </w:tcPr>
          <w:p w14:paraId="336F5E0A"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bottom w:val="nil"/>
              <w:right w:val="nil"/>
            </w:tcBorders>
            <w:vAlign w:val="bottom"/>
          </w:tcPr>
          <w:p w14:paraId="52777C8D"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bottom w:val="nil"/>
              <w:right w:val="nil"/>
            </w:tcBorders>
            <w:vAlign w:val="bottom"/>
          </w:tcPr>
          <w:p w14:paraId="4CF1FBAC"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$9.75M</w:t>
            </w:r>
          </w:p>
        </w:tc>
      </w:tr>
      <w:tr w:rsidR="00FB0888" w14:paraId="4EC09F61" w14:textId="77777777" w:rsidTr="00F513C6">
        <w:tc>
          <w:tcPr>
            <w:tcW w:w="1232" w:type="dxa"/>
            <w:tcBorders>
              <w:top w:val="nil"/>
              <w:left w:val="nil"/>
              <w:bottom w:val="nil"/>
              <w:right w:val="nil"/>
            </w:tcBorders>
            <w:vAlign w:val="bottom"/>
          </w:tcPr>
          <w:p w14:paraId="0A34090F"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Generic Hydro 100kW</w:t>
            </w:r>
          </w:p>
        </w:tc>
        <w:tc>
          <w:tcPr>
            <w:tcW w:w="1233" w:type="dxa"/>
            <w:tcBorders>
              <w:top w:val="nil"/>
              <w:left w:val="nil"/>
              <w:bottom w:val="nil"/>
              <w:right w:val="nil"/>
            </w:tcBorders>
            <w:vAlign w:val="bottom"/>
          </w:tcPr>
          <w:p w14:paraId="094C402C"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$459,845</w:t>
            </w:r>
          </w:p>
        </w:tc>
        <w:tc>
          <w:tcPr>
            <w:tcW w:w="1233" w:type="dxa"/>
            <w:tcBorders>
              <w:top w:val="nil"/>
              <w:left w:val="nil"/>
              <w:bottom w:val="nil"/>
              <w:right w:val="nil"/>
            </w:tcBorders>
            <w:vAlign w:val="bottom"/>
          </w:tcPr>
          <w:p w14:paraId="4D46828B"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$344,875</w:t>
            </w:r>
          </w:p>
        </w:tc>
        <w:tc>
          <w:tcPr>
            <w:tcW w:w="1233" w:type="dxa"/>
            <w:tcBorders>
              <w:top w:val="nil"/>
              <w:left w:val="nil"/>
              <w:bottom w:val="nil"/>
              <w:right w:val="nil"/>
            </w:tcBorders>
            <w:vAlign w:val="bottom"/>
          </w:tcPr>
          <w:p w14:paraId="250AEEEE"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bottom w:val="nil"/>
              <w:right w:val="nil"/>
            </w:tcBorders>
            <w:vAlign w:val="bottom"/>
          </w:tcPr>
          <w:p w14:paraId="2F7CF189"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-$114,962</w:t>
            </w:r>
          </w:p>
        </w:tc>
        <w:tc>
          <w:tcPr>
            <w:tcW w:w="1233" w:type="dxa"/>
            <w:tcBorders>
              <w:top w:val="nil"/>
              <w:left w:val="nil"/>
              <w:bottom w:val="nil"/>
              <w:right w:val="nil"/>
            </w:tcBorders>
            <w:vAlign w:val="bottom"/>
          </w:tcPr>
          <w:p w14:paraId="674ADCC6"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bottom w:val="nil"/>
              <w:right w:val="nil"/>
            </w:tcBorders>
            <w:vAlign w:val="bottom"/>
          </w:tcPr>
          <w:p w14:paraId="3E048720"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$689,759</w:t>
            </w:r>
          </w:p>
        </w:tc>
      </w:tr>
      <w:tr w:rsidR="00FB0888" w14:paraId="0B561754" w14:textId="77777777" w:rsidTr="00F513C6">
        <w:tc>
          <w:tcPr>
            <w:tcW w:w="1232" w:type="dxa"/>
            <w:tcBorders>
              <w:top w:val="nil"/>
              <w:left w:val="nil"/>
              <w:bottom w:val="nil"/>
              <w:right w:val="nil"/>
            </w:tcBorders>
            <w:vAlign w:val="bottom"/>
          </w:tcPr>
          <w:p w14:paraId="4EAF3463"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System Converter</w:t>
            </w:r>
          </w:p>
        </w:tc>
        <w:tc>
          <w:tcPr>
            <w:tcW w:w="1233" w:type="dxa"/>
            <w:tcBorders>
              <w:top w:val="nil"/>
              <w:left w:val="nil"/>
              <w:bottom w:val="nil"/>
              <w:right w:val="nil"/>
            </w:tcBorders>
            <w:vAlign w:val="bottom"/>
          </w:tcPr>
          <w:p w14:paraId="3279A63D"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$75,000</w:t>
            </w:r>
          </w:p>
        </w:tc>
        <w:tc>
          <w:tcPr>
            <w:tcW w:w="1233" w:type="dxa"/>
            <w:tcBorders>
              <w:top w:val="nil"/>
              <w:left w:val="nil"/>
              <w:bottom w:val="nil"/>
              <w:right w:val="nil"/>
            </w:tcBorders>
            <w:vAlign w:val="bottom"/>
          </w:tcPr>
          <w:p w14:paraId="7FEB37B1"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bottom w:val="nil"/>
              <w:right w:val="nil"/>
            </w:tcBorders>
            <w:vAlign w:val="bottom"/>
          </w:tcPr>
          <w:p w14:paraId="7DC470B7"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$75,000</w:t>
            </w:r>
          </w:p>
        </w:tc>
        <w:tc>
          <w:tcPr>
            <w:tcW w:w="1233" w:type="dxa"/>
            <w:tcBorders>
              <w:top w:val="nil"/>
              <w:left w:val="nil"/>
              <w:bottom w:val="nil"/>
              <w:right w:val="nil"/>
            </w:tcBorders>
            <w:vAlign w:val="bottom"/>
          </w:tcPr>
          <w:p w14:paraId="74252094"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-$25,000</w:t>
            </w:r>
          </w:p>
        </w:tc>
        <w:tc>
          <w:tcPr>
            <w:tcW w:w="1233" w:type="dxa"/>
            <w:tcBorders>
              <w:top w:val="nil"/>
              <w:left w:val="nil"/>
              <w:bottom w:val="nil"/>
              <w:right w:val="nil"/>
            </w:tcBorders>
            <w:vAlign w:val="bottom"/>
          </w:tcPr>
          <w:p w14:paraId="4F5FB098"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bottom w:val="nil"/>
              <w:right w:val="nil"/>
            </w:tcBorders>
            <w:vAlign w:val="bottom"/>
          </w:tcPr>
          <w:p w14:paraId="2506A78A"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$125,000</w:t>
            </w:r>
          </w:p>
        </w:tc>
      </w:tr>
      <w:tr w:rsidR="00FB0888" w14:paraId="020D6715" w14:textId="77777777" w:rsidTr="00F513C6">
        <w:tc>
          <w:tcPr>
            <w:tcW w:w="1232" w:type="dxa"/>
            <w:tcBorders>
              <w:top w:val="nil"/>
              <w:left w:val="nil"/>
              <w:right w:val="nil"/>
            </w:tcBorders>
            <w:vAlign w:val="bottom"/>
          </w:tcPr>
          <w:p w14:paraId="00C99BDB"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System</w:t>
            </w:r>
          </w:p>
        </w:tc>
        <w:tc>
          <w:tcPr>
            <w:tcW w:w="1233" w:type="dxa"/>
            <w:tcBorders>
              <w:top w:val="nil"/>
              <w:left w:val="nil"/>
              <w:right w:val="nil"/>
            </w:tcBorders>
            <w:vAlign w:val="bottom"/>
          </w:tcPr>
          <w:p w14:paraId="516CC5B9"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$42.8M</w:t>
            </w:r>
          </w:p>
        </w:tc>
        <w:tc>
          <w:tcPr>
            <w:tcW w:w="1233" w:type="dxa"/>
            <w:tcBorders>
              <w:top w:val="nil"/>
              <w:left w:val="nil"/>
              <w:right w:val="nil"/>
            </w:tcBorders>
            <w:vAlign w:val="bottom"/>
          </w:tcPr>
          <w:p w14:paraId="54EA27A5"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$5.84M</w:t>
            </w:r>
          </w:p>
        </w:tc>
        <w:tc>
          <w:tcPr>
            <w:tcW w:w="1233" w:type="dxa"/>
            <w:tcBorders>
              <w:top w:val="nil"/>
              <w:left w:val="nil"/>
              <w:right w:val="nil"/>
            </w:tcBorders>
            <w:vAlign w:val="bottom"/>
          </w:tcPr>
          <w:p w14:paraId="35FFB74A"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$28.5M</w:t>
            </w:r>
          </w:p>
        </w:tc>
        <w:tc>
          <w:tcPr>
            <w:tcW w:w="1233" w:type="dxa"/>
            <w:tcBorders>
              <w:top w:val="nil"/>
              <w:left w:val="nil"/>
              <w:right w:val="nil"/>
            </w:tcBorders>
            <w:vAlign w:val="bottom"/>
          </w:tcPr>
          <w:p w14:paraId="2E275D43"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-$21.5M</w:t>
            </w:r>
          </w:p>
        </w:tc>
        <w:tc>
          <w:tcPr>
            <w:tcW w:w="1233" w:type="dxa"/>
            <w:tcBorders>
              <w:top w:val="nil"/>
              <w:left w:val="nil"/>
              <w:right w:val="nil"/>
            </w:tcBorders>
            <w:vAlign w:val="bottom"/>
          </w:tcPr>
          <w:p w14:paraId="3731A2D7"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$0.00</w:t>
            </w:r>
          </w:p>
        </w:tc>
        <w:tc>
          <w:tcPr>
            <w:tcW w:w="1233" w:type="dxa"/>
            <w:tcBorders>
              <w:top w:val="nil"/>
              <w:left w:val="nil"/>
              <w:right w:val="nil"/>
            </w:tcBorders>
            <w:vAlign w:val="bottom"/>
          </w:tcPr>
          <w:p w14:paraId="0640E13C" w14:textId="77777777" w:rsidR="00FB0888" w:rsidRPr="000261C3" w:rsidRDefault="00FB0888" w:rsidP="00771ECA">
            <w:pPr>
              <w:pStyle w:val="HomerTableBody"/>
              <w:spacing w:line="240" w:lineRule="auto"/>
              <w:rPr>
                <w:rFonts w:ascii="Times New Roman" w:hAnsi="Times New Roman" w:cs="Times New Roman"/>
                <w:sz w:val="24"/>
                <w:szCs w:val="24"/>
              </w:rPr>
            </w:pPr>
            <w:r w:rsidRPr="000261C3">
              <w:rPr>
                <w:rFonts w:ascii="Times New Roman" w:hAnsi="Times New Roman" w:cs="Times New Roman"/>
                <w:sz w:val="24"/>
                <w:szCs w:val="24"/>
              </w:rPr>
              <w:t>$55.7M</w:t>
            </w:r>
          </w:p>
        </w:tc>
      </w:tr>
    </w:tbl>
    <w:p w14:paraId="57385184" w14:textId="20C1AF8C" w:rsidR="00FB0888" w:rsidRDefault="00FB0888" w:rsidP="00F03645">
      <w:pPr>
        <w:spacing w:line="480" w:lineRule="auto"/>
        <w:rPr>
          <w:lang w:val="en-US"/>
        </w:rPr>
      </w:pPr>
    </w:p>
    <w:p w14:paraId="06B0A7F0" w14:textId="2E5F97F8" w:rsidR="00CF33BC" w:rsidRDefault="00CF33BC" w:rsidP="00F03645">
      <w:pPr>
        <w:spacing w:line="480" w:lineRule="auto"/>
        <w:rPr>
          <w:lang w:val="en-US"/>
        </w:rPr>
      </w:pPr>
    </w:p>
    <w:p w14:paraId="269C1A56" w14:textId="7BA90581" w:rsidR="00FB0888" w:rsidRDefault="00FB0888" w:rsidP="00E85D75">
      <w:pPr>
        <w:pStyle w:val="Heading3"/>
        <w:numPr>
          <w:ilvl w:val="2"/>
          <w:numId w:val="9"/>
        </w:numPr>
        <w:spacing w:line="480" w:lineRule="auto"/>
      </w:pPr>
      <w:bookmarkStart w:id="73" w:name="_Toc110502611"/>
      <w:r>
        <w:t>Battery Energy Storage System (BESS)</w:t>
      </w:r>
      <w:bookmarkEnd w:id="73"/>
    </w:p>
    <w:p w14:paraId="4DAB1681" w14:textId="46CBC206" w:rsidR="00FB0888" w:rsidRDefault="00FB0888" w:rsidP="00F03645">
      <w:pPr>
        <w:spacing w:line="480" w:lineRule="auto"/>
        <w:rPr>
          <w:lang w:val="en-US"/>
        </w:rPr>
      </w:pPr>
      <w:r>
        <w:rPr>
          <w:lang w:val="en-US"/>
        </w:rPr>
        <w:t>The battery energy storage as designed is based on Lithium-ion technology. Lithium batteries are less vulnerable to degradation over time, and they tend to charge faster than lead-acid batteries. The search space for the battery capacity to be put in the microgrid includes 0, 200, and 500. The search space was originally more fine-grained. However, the complexity of simulations made it necessary to selectively eliminate some entries in the search space which had already proved themselves to be invisible. For this reason, the simulation had to be repeated with various search spaces. Because there are 10000 batteries needed, space consideratio</w:t>
      </w:r>
      <w:r w:rsidR="008D6E07">
        <w:rPr>
          <w:lang w:val="en-US"/>
        </w:rPr>
        <w:t>ns are also important. Table 4.3</w:t>
      </w:r>
      <w:r>
        <w:rPr>
          <w:lang w:val="en-US"/>
        </w:rPr>
        <w:t xml:space="preserve"> presents information on the battery energy storage system recommended after the optimization.</w:t>
      </w:r>
    </w:p>
    <w:p w14:paraId="378B34B8" w14:textId="20341D9E" w:rsidR="00FB0888" w:rsidRPr="00F513C6" w:rsidRDefault="007D676A" w:rsidP="00F03645">
      <w:pPr>
        <w:spacing w:line="480" w:lineRule="auto"/>
        <w:jc w:val="center"/>
        <w:rPr>
          <w:b/>
          <w:lang w:val="en-US"/>
        </w:rPr>
      </w:pPr>
      <w:r>
        <w:rPr>
          <w:b/>
          <w:lang w:val="en-US"/>
        </w:rPr>
        <w:t>Table 4.3</w:t>
      </w:r>
      <w:r w:rsidR="00FB0888" w:rsidRPr="00F513C6">
        <w:rPr>
          <w:b/>
          <w:lang w:val="en-US"/>
        </w:rPr>
        <w:t xml:space="preserve"> – Design Properties of the Battery Energy Storage System</w:t>
      </w:r>
    </w:p>
    <w:tbl>
      <w:tblPr>
        <w:tblW w:w="0" w:type="auto"/>
        <w:tblBorders>
          <w:top w:val="single" w:sz="4" w:space="0" w:color="auto"/>
          <w:bottom w:val="single" w:sz="4" w:space="0" w:color="auto"/>
        </w:tblBorders>
        <w:tblLook w:val="04A0" w:firstRow="1" w:lastRow="0" w:firstColumn="1" w:lastColumn="0" w:noHBand="0" w:noVBand="1"/>
      </w:tblPr>
      <w:tblGrid>
        <w:gridCol w:w="2876"/>
        <w:gridCol w:w="2877"/>
        <w:gridCol w:w="2877"/>
      </w:tblGrid>
      <w:tr w:rsidR="00FB0888" w14:paraId="0DAA3E23" w14:textId="77777777" w:rsidTr="00F513C6">
        <w:tc>
          <w:tcPr>
            <w:tcW w:w="2876" w:type="dxa"/>
            <w:tcBorders>
              <w:top w:val="single" w:sz="4" w:space="0" w:color="auto"/>
              <w:bottom w:val="single" w:sz="4" w:space="0" w:color="auto"/>
            </w:tcBorders>
            <w:vAlign w:val="bottom"/>
          </w:tcPr>
          <w:p w14:paraId="72725939" w14:textId="77777777" w:rsidR="00FB0888" w:rsidRPr="00DA0EDD" w:rsidRDefault="00FB0888" w:rsidP="00771ECA">
            <w:pPr>
              <w:pStyle w:val="HomerTableBody"/>
              <w:spacing w:line="240" w:lineRule="auto"/>
              <w:rPr>
                <w:rFonts w:ascii="Times New Roman" w:hAnsi="Times New Roman" w:cs="Times New Roman"/>
                <w:b/>
                <w:sz w:val="24"/>
                <w:szCs w:val="24"/>
              </w:rPr>
            </w:pPr>
            <w:r w:rsidRPr="00DA0EDD">
              <w:rPr>
                <w:rFonts w:ascii="Times New Roman" w:hAnsi="Times New Roman" w:cs="Times New Roman"/>
                <w:b/>
                <w:sz w:val="24"/>
                <w:szCs w:val="24"/>
              </w:rPr>
              <w:t>Quantity</w:t>
            </w:r>
          </w:p>
        </w:tc>
        <w:tc>
          <w:tcPr>
            <w:tcW w:w="2877" w:type="dxa"/>
            <w:tcBorders>
              <w:top w:val="single" w:sz="4" w:space="0" w:color="auto"/>
              <w:bottom w:val="single" w:sz="4" w:space="0" w:color="auto"/>
            </w:tcBorders>
            <w:vAlign w:val="bottom"/>
          </w:tcPr>
          <w:p w14:paraId="27D5CC81" w14:textId="77777777" w:rsidR="00FB0888" w:rsidRPr="00DA0EDD" w:rsidRDefault="00FB0888" w:rsidP="00771ECA">
            <w:pPr>
              <w:pStyle w:val="HomerTableBody"/>
              <w:spacing w:line="240" w:lineRule="auto"/>
              <w:rPr>
                <w:rFonts w:ascii="Times New Roman" w:hAnsi="Times New Roman" w:cs="Times New Roman"/>
                <w:b/>
                <w:sz w:val="24"/>
                <w:szCs w:val="24"/>
              </w:rPr>
            </w:pPr>
            <w:r w:rsidRPr="00DA0EDD">
              <w:rPr>
                <w:rFonts w:ascii="Times New Roman" w:hAnsi="Times New Roman" w:cs="Times New Roman"/>
                <w:b/>
                <w:sz w:val="24"/>
                <w:szCs w:val="24"/>
              </w:rPr>
              <w:t>Value</w:t>
            </w:r>
          </w:p>
        </w:tc>
        <w:tc>
          <w:tcPr>
            <w:tcW w:w="2877" w:type="dxa"/>
            <w:tcBorders>
              <w:top w:val="single" w:sz="4" w:space="0" w:color="auto"/>
              <w:bottom w:val="single" w:sz="4" w:space="0" w:color="auto"/>
            </w:tcBorders>
            <w:vAlign w:val="bottom"/>
          </w:tcPr>
          <w:p w14:paraId="501340D0" w14:textId="77777777" w:rsidR="00FB0888" w:rsidRPr="00DA0EDD" w:rsidRDefault="00FB0888" w:rsidP="00771ECA">
            <w:pPr>
              <w:pStyle w:val="HomerTableBody"/>
              <w:spacing w:line="240" w:lineRule="auto"/>
              <w:rPr>
                <w:rFonts w:ascii="Times New Roman" w:hAnsi="Times New Roman" w:cs="Times New Roman"/>
                <w:b/>
                <w:sz w:val="24"/>
                <w:szCs w:val="24"/>
              </w:rPr>
            </w:pPr>
            <w:r w:rsidRPr="00DA0EDD">
              <w:rPr>
                <w:rFonts w:ascii="Times New Roman" w:hAnsi="Times New Roman" w:cs="Times New Roman"/>
                <w:b/>
                <w:sz w:val="24"/>
                <w:szCs w:val="24"/>
              </w:rPr>
              <w:t>Units</w:t>
            </w:r>
          </w:p>
        </w:tc>
      </w:tr>
      <w:tr w:rsidR="00FB0888" w14:paraId="4FB1CDFF" w14:textId="77777777" w:rsidTr="00F513C6">
        <w:tc>
          <w:tcPr>
            <w:tcW w:w="2876" w:type="dxa"/>
            <w:tcBorders>
              <w:top w:val="single" w:sz="4" w:space="0" w:color="auto"/>
            </w:tcBorders>
            <w:vAlign w:val="bottom"/>
          </w:tcPr>
          <w:p w14:paraId="571E7EA2"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Batteries</w:t>
            </w:r>
          </w:p>
        </w:tc>
        <w:tc>
          <w:tcPr>
            <w:tcW w:w="2877" w:type="dxa"/>
            <w:tcBorders>
              <w:top w:val="single" w:sz="4" w:space="0" w:color="auto"/>
            </w:tcBorders>
            <w:vAlign w:val="bottom"/>
          </w:tcPr>
          <w:p w14:paraId="47ECF65A"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10,000</w:t>
            </w:r>
          </w:p>
        </w:tc>
        <w:tc>
          <w:tcPr>
            <w:tcW w:w="2877" w:type="dxa"/>
            <w:tcBorders>
              <w:top w:val="single" w:sz="4" w:space="0" w:color="auto"/>
            </w:tcBorders>
            <w:vAlign w:val="bottom"/>
          </w:tcPr>
          <w:p w14:paraId="68B3AAF1"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qty.</w:t>
            </w:r>
          </w:p>
        </w:tc>
      </w:tr>
      <w:tr w:rsidR="00FB0888" w14:paraId="0F4B3FD1" w14:textId="77777777" w:rsidTr="00F513C6">
        <w:tc>
          <w:tcPr>
            <w:tcW w:w="2876" w:type="dxa"/>
            <w:vAlign w:val="bottom"/>
          </w:tcPr>
          <w:p w14:paraId="73387F6F"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String Size</w:t>
            </w:r>
          </w:p>
        </w:tc>
        <w:tc>
          <w:tcPr>
            <w:tcW w:w="2877" w:type="dxa"/>
            <w:vAlign w:val="bottom"/>
          </w:tcPr>
          <w:p w14:paraId="597DB052"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50.0</w:t>
            </w:r>
          </w:p>
        </w:tc>
        <w:tc>
          <w:tcPr>
            <w:tcW w:w="2877" w:type="dxa"/>
            <w:vAlign w:val="bottom"/>
          </w:tcPr>
          <w:p w14:paraId="45E22250"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batteries</w:t>
            </w:r>
          </w:p>
        </w:tc>
      </w:tr>
      <w:tr w:rsidR="00FB0888" w14:paraId="3CCB96B8" w14:textId="77777777" w:rsidTr="00F513C6">
        <w:tc>
          <w:tcPr>
            <w:tcW w:w="2876" w:type="dxa"/>
            <w:vAlign w:val="bottom"/>
          </w:tcPr>
          <w:p w14:paraId="54DBE5DA"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Strings in Parallel</w:t>
            </w:r>
          </w:p>
        </w:tc>
        <w:tc>
          <w:tcPr>
            <w:tcW w:w="2877" w:type="dxa"/>
            <w:vAlign w:val="bottom"/>
          </w:tcPr>
          <w:p w14:paraId="130DCD7D"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200</w:t>
            </w:r>
          </w:p>
        </w:tc>
        <w:tc>
          <w:tcPr>
            <w:tcW w:w="2877" w:type="dxa"/>
            <w:vAlign w:val="bottom"/>
          </w:tcPr>
          <w:p w14:paraId="13910077"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strings</w:t>
            </w:r>
          </w:p>
        </w:tc>
      </w:tr>
      <w:tr w:rsidR="00FB0888" w14:paraId="671D0F8B" w14:textId="77777777" w:rsidTr="00F513C6">
        <w:tc>
          <w:tcPr>
            <w:tcW w:w="2876" w:type="dxa"/>
            <w:vAlign w:val="bottom"/>
          </w:tcPr>
          <w:p w14:paraId="6961E13D"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Bus Voltage</w:t>
            </w:r>
          </w:p>
        </w:tc>
        <w:tc>
          <w:tcPr>
            <w:tcW w:w="2877" w:type="dxa"/>
            <w:vAlign w:val="bottom"/>
          </w:tcPr>
          <w:p w14:paraId="6B0ADD8A"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300</w:t>
            </w:r>
          </w:p>
        </w:tc>
        <w:tc>
          <w:tcPr>
            <w:tcW w:w="2877" w:type="dxa"/>
            <w:vAlign w:val="bottom"/>
          </w:tcPr>
          <w:p w14:paraId="1AE1E50E"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V</w:t>
            </w:r>
          </w:p>
        </w:tc>
      </w:tr>
      <w:tr w:rsidR="00FB0888" w14:paraId="29CE29D2" w14:textId="77777777" w:rsidTr="00F513C6">
        <w:tc>
          <w:tcPr>
            <w:tcW w:w="2876" w:type="dxa"/>
            <w:vAlign w:val="bottom"/>
          </w:tcPr>
          <w:p w14:paraId="60EA2FF2"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Average Energy Cost</w:t>
            </w:r>
          </w:p>
        </w:tc>
        <w:tc>
          <w:tcPr>
            <w:tcW w:w="2877" w:type="dxa"/>
            <w:vAlign w:val="bottom"/>
          </w:tcPr>
          <w:p w14:paraId="133E38B3"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0</w:t>
            </w:r>
          </w:p>
        </w:tc>
        <w:tc>
          <w:tcPr>
            <w:tcW w:w="2877" w:type="dxa"/>
            <w:vAlign w:val="bottom"/>
          </w:tcPr>
          <w:p w14:paraId="5511E013"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$/kWh</w:t>
            </w:r>
          </w:p>
        </w:tc>
      </w:tr>
      <w:tr w:rsidR="00FB0888" w14:paraId="2B5F2B78" w14:textId="77777777" w:rsidTr="00F513C6">
        <w:tc>
          <w:tcPr>
            <w:tcW w:w="2876" w:type="dxa"/>
            <w:vAlign w:val="bottom"/>
          </w:tcPr>
          <w:p w14:paraId="65272CDC"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Energy In</w:t>
            </w:r>
          </w:p>
        </w:tc>
        <w:tc>
          <w:tcPr>
            <w:tcW w:w="2877" w:type="dxa"/>
            <w:vAlign w:val="bottom"/>
          </w:tcPr>
          <w:p w14:paraId="2AF0F061"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222,624</w:t>
            </w:r>
          </w:p>
        </w:tc>
        <w:tc>
          <w:tcPr>
            <w:tcW w:w="2877" w:type="dxa"/>
            <w:vAlign w:val="bottom"/>
          </w:tcPr>
          <w:p w14:paraId="784287C3"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kWh/yr</w:t>
            </w:r>
          </w:p>
        </w:tc>
      </w:tr>
      <w:tr w:rsidR="00FB0888" w14:paraId="71996797" w14:textId="77777777" w:rsidTr="00F513C6">
        <w:tc>
          <w:tcPr>
            <w:tcW w:w="2876" w:type="dxa"/>
            <w:vAlign w:val="bottom"/>
          </w:tcPr>
          <w:p w14:paraId="7D135629"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Energy Out</w:t>
            </w:r>
          </w:p>
        </w:tc>
        <w:tc>
          <w:tcPr>
            <w:tcW w:w="2877" w:type="dxa"/>
            <w:vAlign w:val="bottom"/>
          </w:tcPr>
          <w:p w14:paraId="69DD4C3E"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199,413</w:t>
            </w:r>
          </w:p>
        </w:tc>
        <w:tc>
          <w:tcPr>
            <w:tcW w:w="2877" w:type="dxa"/>
            <w:vAlign w:val="bottom"/>
          </w:tcPr>
          <w:p w14:paraId="69C2CF59"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kWh/yr</w:t>
            </w:r>
          </w:p>
        </w:tc>
      </w:tr>
      <w:tr w:rsidR="00FB0888" w14:paraId="264D0648" w14:textId="77777777" w:rsidTr="00F513C6">
        <w:tc>
          <w:tcPr>
            <w:tcW w:w="2876" w:type="dxa"/>
            <w:vAlign w:val="bottom"/>
          </w:tcPr>
          <w:p w14:paraId="2527F907"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Storage Depletion</w:t>
            </w:r>
          </w:p>
        </w:tc>
        <w:tc>
          <w:tcPr>
            <w:tcW w:w="2877" w:type="dxa"/>
            <w:vAlign w:val="bottom"/>
          </w:tcPr>
          <w:p w14:paraId="09894E0C"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-1,000</w:t>
            </w:r>
          </w:p>
        </w:tc>
        <w:tc>
          <w:tcPr>
            <w:tcW w:w="2877" w:type="dxa"/>
            <w:vAlign w:val="bottom"/>
          </w:tcPr>
          <w:p w14:paraId="7383E74A"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kWh/yr</w:t>
            </w:r>
          </w:p>
        </w:tc>
      </w:tr>
      <w:tr w:rsidR="00FB0888" w14:paraId="354B0945" w14:textId="77777777" w:rsidTr="00F513C6">
        <w:tc>
          <w:tcPr>
            <w:tcW w:w="2876" w:type="dxa"/>
            <w:vAlign w:val="bottom"/>
          </w:tcPr>
          <w:p w14:paraId="73F6D07E"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Losses</w:t>
            </w:r>
          </w:p>
        </w:tc>
        <w:tc>
          <w:tcPr>
            <w:tcW w:w="2877" w:type="dxa"/>
            <w:vAlign w:val="bottom"/>
          </w:tcPr>
          <w:p w14:paraId="5EA977E5"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22,211</w:t>
            </w:r>
          </w:p>
        </w:tc>
        <w:tc>
          <w:tcPr>
            <w:tcW w:w="2877" w:type="dxa"/>
            <w:vAlign w:val="bottom"/>
          </w:tcPr>
          <w:p w14:paraId="26696B6D"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kWh/yr</w:t>
            </w:r>
          </w:p>
        </w:tc>
      </w:tr>
      <w:tr w:rsidR="00FB0888" w14:paraId="12101BAE" w14:textId="77777777" w:rsidTr="00F513C6">
        <w:tc>
          <w:tcPr>
            <w:tcW w:w="2876" w:type="dxa"/>
            <w:vAlign w:val="bottom"/>
          </w:tcPr>
          <w:p w14:paraId="1AAF5949"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Autonomy</w:t>
            </w:r>
          </w:p>
        </w:tc>
        <w:tc>
          <w:tcPr>
            <w:tcW w:w="2877" w:type="dxa"/>
            <w:vAlign w:val="bottom"/>
          </w:tcPr>
          <w:p w14:paraId="5401085B"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8.21</w:t>
            </w:r>
          </w:p>
        </w:tc>
        <w:tc>
          <w:tcPr>
            <w:tcW w:w="2877" w:type="dxa"/>
            <w:vAlign w:val="bottom"/>
          </w:tcPr>
          <w:p w14:paraId="46AA65CC"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hr</w:t>
            </w:r>
          </w:p>
        </w:tc>
      </w:tr>
      <w:tr w:rsidR="00FB0888" w14:paraId="4A5368E3" w14:textId="77777777" w:rsidTr="00F513C6">
        <w:tc>
          <w:tcPr>
            <w:tcW w:w="2876" w:type="dxa"/>
            <w:vAlign w:val="bottom"/>
          </w:tcPr>
          <w:p w14:paraId="0F028A27"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Storage Wear Cost</w:t>
            </w:r>
          </w:p>
        </w:tc>
        <w:tc>
          <w:tcPr>
            <w:tcW w:w="2877" w:type="dxa"/>
            <w:vAlign w:val="bottom"/>
          </w:tcPr>
          <w:p w14:paraId="6F7AA686"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0.0506</w:t>
            </w:r>
          </w:p>
        </w:tc>
        <w:tc>
          <w:tcPr>
            <w:tcW w:w="2877" w:type="dxa"/>
            <w:vAlign w:val="bottom"/>
          </w:tcPr>
          <w:p w14:paraId="4F5350E6"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$/kWh</w:t>
            </w:r>
          </w:p>
        </w:tc>
      </w:tr>
      <w:tr w:rsidR="00FB0888" w14:paraId="488D7600" w14:textId="77777777" w:rsidTr="00F513C6">
        <w:tc>
          <w:tcPr>
            <w:tcW w:w="2876" w:type="dxa"/>
            <w:vAlign w:val="bottom"/>
          </w:tcPr>
          <w:p w14:paraId="7CEBA46D"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Nominal Capacity</w:t>
            </w:r>
          </w:p>
        </w:tc>
        <w:tc>
          <w:tcPr>
            <w:tcW w:w="2877" w:type="dxa"/>
            <w:vAlign w:val="bottom"/>
          </w:tcPr>
          <w:p w14:paraId="770FF33D"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10,000</w:t>
            </w:r>
          </w:p>
        </w:tc>
        <w:tc>
          <w:tcPr>
            <w:tcW w:w="2877" w:type="dxa"/>
            <w:vAlign w:val="bottom"/>
          </w:tcPr>
          <w:p w14:paraId="39F35EED"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kWh</w:t>
            </w:r>
          </w:p>
        </w:tc>
      </w:tr>
      <w:tr w:rsidR="00FB0888" w14:paraId="7118FADF" w14:textId="77777777" w:rsidTr="00F513C6">
        <w:tc>
          <w:tcPr>
            <w:tcW w:w="2876" w:type="dxa"/>
            <w:vAlign w:val="bottom"/>
          </w:tcPr>
          <w:p w14:paraId="75F4B7E9"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Usable Nominal Capacity</w:t>
            </w:r>
          </w:p>
        </w:tc>
        <w:tc>
          <w:tcPr>
            <w:tcW w:w="2877" w:type="dxa"/>
            <w:vAlign w:val="bottom"/>
          </w:tcPr>
          <w:p w14:paraId="484064A6"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8,000</w:t>
            </w:r>
          </w:p>
        </w:tc>
        <w:tc>
          <w:tcPr>
            <w:tcW w:w="2877" w:type="dxa"/>
            <w:vAlign w:val="bottom"/>
          </w:tcPr>
          <w:p w14:paraId="696209A5" w14:textId="77777777" w:rsidR="00FB0888" w:rsidRPr="00DA0EDD" w:rsidRDefault="00FB0888" w:rsidP="00771ECA">
            <w:pPr>
              <w:pStyle w:val="HomerTableBody"/>
              <w:spacing w:line="240" w:lineRule="auto"/>
              <w:rPr>
                <w:rFonts w:ascii="Times New Roman" w:hAnsi="Times New Roman" w:cs="Times New Roman"/>
                <w:sz w:val="24"/>
                <w:szCs w:val="24"/>
              </w:rPr>
            </w:pPr>
            <w:r w:rsidRPr="00DA0EDD">
              <w:rPr>
                <w:rFonts w:ascii="Times New Roman" w:hAnsi="Times New Roman" w:cs="Times New Roman"/>
                <w:sz w:val="24"/>
                <w:szCs w:val="24"/>
              </w:rPr>
              <w:t>kWh</w:t>
            </w:r>
          </w:p>
        </w:tc>
      </w:tr>
    </w:tbl>
    <w:p w14:paraId="1EC09E3C" w14:textId="006957AA" w:rsidR="00FB0888" w:rsidRDefault="00FB0888" w:rsidP="00F03645">
      <w:pPr>
        <w:spacing w:line="480" w:lineRule="auto"/>
        <w:rPr>
          <w:lang w:val="en-US"/>
        </w:rPr>
      </w:pPr>
      <w:r>
        <w:rPr>
          <w:lang w:val="en-US"/>
        </w:rPr>
        <w:t>The battery input power over the year is shown in form of a box</w:t>
      </w:r>
      <w:r w:rsidR="00F91618">
        <w:rPr>
          <w:lang w:val="en-US"/>
        </w:rPr>
        <w:t xml:space="preserve">-and-whisker </w:t>
      </w:r>
      <w:r w:rsidR="00464047">
        <w:rPr>
          <w:lang w:val="en-US"/>
        </w:rPr>
        <w:t>plot in Figure 4.11</w:t>
      </w:r>
      <w:r>
        <w:rPr>
          <w:lang w:val="en-US"/>
        </w:rPr>
        <w:t>. From the figure, it can be seen that the Harmattan months such as January and December show less power flow involving the battery. November, December, and January in particular show very little utilization of the batteries. However</w:t>
      </w:r>
      <w:r w:rsidR="000F0ABB">
        <w:rPr>
          <w:lang w:val="en-US"/>
        </w:rPr>
        <w:t>,</w:t>
      </w:r>
      <w:r>
        <w:rPr>
          <w:lang w:val="en-US"/>
        </w:rPr>
        <w:t xml:space="preserve"> the rainy months of June, July, August, September, and October show massive exchanges of energy between the BESS and the rest of the microgrid. The box-and-whisker plot of the State-of-</w:t>
      </w:r>
      <w:r w:rsidR="00464047">
        <w:rPr>
          <w:lang w:val="en-US"/>
        </w:rPr>
        <w:t>Charge (SOC) in Figure 4.12</w:t>
      </w:r>
      <w:r>
        <w:rPr>
          <w:lang w:val="en-US"/>
        </w:rPr>
        <w:t xml:space="preserve"> corroborates this narrative, as it is shown that, in the first year, the State of Charge is at its lowest value of 55% in September. The median, shown as the central line on the September box, however, shows that the dip in SOC is a fringe phenomenon. However, as degradation of batteries occurs, the SOC dips as low as 20% in year 20, but no lower. This is not coincidental, as 20 years is the lifespan of the BESS as estimated by HOMER. HOMER recommends the overhauling of the battery system after this time.</w:t>
      </w:r>
    </w:p>
    <w:p w14:paraId="5E8323A2" w14:textId="77777777" w:rsidR="00FB0888" w:rsidRDefault="00FB0888" w:rsidP="00F03645">
      <w:pPr>
        <w:spacing w:line="480" w:lineRule="auto"/>
        <w:jc w:val="center"/>
        <w:rPr>
          <w:lang w:val="en-US"/>
        </w:rPr>
      </w:pPr>
      <w:r>
        <w:rPr>
          <w:noProof/>
          <w:lang w:val="en-US"/>
        </w:rPr>
        <w:drawing>
          <wp:inline distT="0" distB="0" distL="0" distR="0" wp14:anchorId="38F61CE5" wp14:editId="10F8A609">
            <wp:extent cx="4055165" cy="3004696"/>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45" t="22351" r="2084" b="1861"/>
                    <a:stretch/>
                  </pic:blipFill>
                  <pic:spPr bwMode="auto">
                    <a:xfrm>
                      <a:off x="0" y="0"/>
                      <a:ext cx="4077278" cy="3021081"/>
                    </a:xfrm>
                    <a:prstGeom prst="rect">
                      <a:avLst/>
                    </a:prstGeom>
                    <a:ln>
                      <a:noFill/>
                    </a:ln>
                    <a:extLst>
                      <a:ext uri="{53640926-AAD7-44D8-BBD7-CCE9431645EC}">
                        <a14:shadowObscured xmlns:a14="http://schemas.microsoft.com/office/drawing/2010/main"/>
                      </a:ext>
                    </a:extLst>
                  </pic:spPr>
                </pic:pic>
              </a:graphicData>
            </a:graphic>
          </wp:inline>
        </w:drawing>
      </w:r>
    </w:p>
    <w:p w14:paraId="67FAF4C3" w14:textId="2CE7A13C" w:rsidR="00FB0888" w:rsidRDefault="00FB0888" w:rsidP="00F03645">
      <w:pPr>
        <w:spacing w:line="480" w:lineRule="auto"/>
        <w:jc w:val="center"/>
        <w:rPr>
          <w:lang w:val="en-US"/>
        </w:rPr>
      </w:pPr>
      <w:r>
        <w:rPr>
          <w:b/>
          <w:sz w:val="20"/>
          <w:szCs w:val="20"/>
          <w:lang w:val="en-US"/>
        </w:rPr>
        <w:t>Figure 4.</w:t>
      </w:r>
      <w:r w:rsidR="00464047">
        <w:rPr>
          <w:b/>
          <w:sz w:val="20"/>
          <w:szCs w:val="20"/>
          <w:lang w:val="en-US"/>
        </w:rPr>
        <w:t>11</w:t>
      </w:r>
      <w:r>
        <w:rPr>
          <w:b/>
          <w:sz w:val="20"/>
          <w:szCs w:val="20"/>
          <w:lang w:val="en-US"/>
        </w:rPr>
        <w:t xml:space="preserve"> – Box-and-Whisker Plot of the BESS Input Power in Year 1.</w:t>
      </w:r>
    </w:p>
    <w:p w14:paraId="218CC0CC" w14:textId="77777777" w:rsidR="00FB0888" w:rsidRDefault="00FB0888" w:rsidP="00F03645">
      <w:pPr>
        <w:spacing w:line="480" w:lineRule="auto"/>
        <w:jc w:val="center"/>
        <w:rPr>
          <w:lang w:val="en-US"/>
        </w:rPr>
      </w:pPr>
      <w:r>
        <w:rPr>
          <w:noProof/>
          <w:lang w:val="en-US"/>
        </w:rPr>
        <w:drawing>
          <wp:inline distT="0" distB="0" distL="0" distR="0" wp14:anchorId="48F0FCCE" wp14:editId="601F4EDD">
            <wp:extent cx="4472940" cy="3515371"/>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22" t="17318" r="1113" b="1714"/>
                    <a:stretch/>
                  </pic:blipFill>
                  <pic:spPr bwMode="auto">
                    <a:xfrm>
                      <a:off x="0" y="0"/>
                      <a:ext cx="4478841" cy="3520009"/>
                    </a:xfrm>
                    <a:prstGeom prst="rect">
                      <a:avLst/>
                    </a:prstGeom>
                    <a:ln>
                      <a:noFill/>
                    </a:ln>
                    <a:extLst>
                      <a:ext uri="{53640926-AAD7-44D8-BBD7-CCE9431645EC}">
                        <a14:shadowObscured xmlns:a14="http://schemas.microsoft.com/office/drawing/2010/main"/>
                      </a:ext>
                    </a:extLst>
                  </pic:spPr>
                </pic:pic>
              </a:graphicData>
            </a:graphic>
          </wp:inline>
        </w:drawing>
      </w:r>
    </w:p>
    <w:p w14:paraId="2FCD116D" w14:textId="4661F871" w:rsidR="00FB0888" w:rsidRDefault="00FB0888" w:rsidP="00F03645">
      <w:pPr>
        <w:spacing w:line="480" w:lineRule="auto"/>
        <w:jc w:val="center"/>
        <w:rPr>
          <w:b/>
          <w:sz w:val="20"/>
          <w:szCs w:val="20"/>
          <w:lang w:val="en-US"/>
        </w:rPr>
      </w:pPr>
      <w:r>
        <w:rPr>
          <w:b/>
          <w:sz w:val="20"/>
          <w:szCs w:val="20"/>
          <w:lang w:val="en-US"/>
        </w:rPr>
        <w:t>Figure 4.</w:t>
      </w:r>
      <w:r w:rsidR="00464047">
        <w:rPr>
          <w:b/>
          <w:sz w:val="20"/>
          <w:szCs w:val="20"/>
          <w:lang w:val="en-US"/>
        </w:rPr>
        <w:t>12</w:t>
      </w:r>
      <w:r>
        <w:rPr>
          <w:b/>
          <w:sz w:val="20"/>
          <w:szCs w:val="20"/>
          <w:lang w:val="en-US"/>
        </w:rPr>
        <w:t xml:space="preserve"> – Box-and-Whisker Plot of the BESS State of Charge in Year 1.</w:t>
      </w:r>
    </w:p>
    <w:p w14:paraId="692248BA" w14:textId="20AB6116" w:rsidR="00FB0888" w:rsidRDefault="00924A0D" w:rsidP="00924A0D">
      <w:pPr>
        <w:pStyle w:val="Heading3"/>
        <w:spacing w:line="480" w:lineRule="auto"/>
      </w:pPr>
      <w:bookmarkStart w:id="74" w:name="_Toc110502612"/>
      <w:r>
        <w:t>4.2.5</w:t>
      </w:r>
      <w:r>
        <w:tab/>
      </w:r>
      <w:r w:rsidR="00FB0888">
        <w:t>System Converter (Bidirectional)</w:t>
      </w:r>
      <w:bookmarkEnd w:id="74"/>
    </w:p>
    <w:p w14:paraId="2111DBF1" w14:textId="0F532A38" w:rsidR="00E16F8B" w:rsidRDefault="00FB0888" w:rsidP="00F03645">
      <w:pPr>
        <w:spacing w:line="480" w:lineRule="auto"/>
        <w:rPr>
          <w:lang w:val="en-US"/>
        </w:rPr>
      </w:pPr>
      <w:r>
        <w:rPr>
          <w:lang w:val="en-US"/>
        </w:rPr>
        <w:t>HOMER allows the modelling of the energy balance between AC and DC parts of the microgrid network. After a market survey for large-scale grid inverters, a value of $15,000 for a 500 kW inverter was determined to be appropriate. The search space for inverter ranged from 0 to 5000 in steps of 2500. There were originally more values in the search space but they had to be whittled down into three entries. The optimization determined an optimum size of 2500 kW for the converter in the network. The bidirectional AC-DC converter was estimated with an efficiency of 95%, with an effective lifespan of 15 years before needing overhauling</w:t>
      </w:r>
      <w:r w:rsidR="008D6E07">
        <w:rPr>
          <w:lang w:val="en-US"/>
        </w:rPr>
        <w:t xml:space="preserve"> or total replacement. Table 4.4</w:t>
      </w:r>
      <w:r>
        <w:rPr>
          <w:lang w:val="en-US"/>
        </w:rPr>
        <w:t xml:space="preserve"> shows the summary of information concerning the converter operation</w:t>
      </w:r>
      <w:r w:rsidR="00F23D7E">
        <w:rPr>
          <w:lang w:val="en-US"/>
        </w:rPr>
        <w:t xml:space="preserve"> involved in HOMER simulations.</w:t>
      </w:r>
    </w:p>
    <w:p w14:paraId="04876404" w14:textId="77777777" w:rsidR="00241FAA" w:rsidRDefault="00241FAA" w:rsidP="00F03645">
      <w:pPr>
        <w:spacing w:line="480" w:lineRule="auto"/>
        <w:rPr>
          <w:lang w:val="en-US"/>
        </w:rPr>
      </w:pPr>
    </w:p>
    <w:p w14:paraId="1D470792" w14:textId="1789AB52" w:rsidR="00FB0888" w:rsidRDefault="007D676A" w:rsidP="00F03645">
      <w:pPr>
        <w:spacing w:line="480" w:lineRule="auto"/>
        <w:jc w:val="center"/>
        <w:rPr>
          <w:lang w:val="en-US"/>
        </w:rPr>
      </w:pPr>
      <w:r>
        <w:rPr>
          <w:b/>
          <w:lang w:val="en-US"/>
        </w:rPr>
        <w:t>Table 4.4</w:t>
      </w:r>
      <w:r w:rsidR="00FB0888" w:rsidRPr="007D5D1B">
        <w:rPr>
          <w:b/>
          <w:lang w:val="en-US"/>
        </w:rPr>
        <w:t xml:space="preserve"> – Electrical Summary of the Bidirectional Converter</w:t>
      </w:r>
      <w:r w:rsidR="00FB0888">
        <w:rPr>
          <w:lang w:val="en-US"/>
        </w:rPr>
        <w:t>.</w:t>
      </w:r>
    </w:p>
    <w:tbl>
      <w:tblPr>
        <w:tblW w:w="0" w:type="auto"/>
        <w:tblBorders>
          <w:top w:val="single" w:sz="4" w:space="0" w:color="auto"/>
          <w:bottom w:val="single" w:sz="4" w:space="0" w:color="auto"/>
        </w:tblBorders>
        <w:tblLook w:val="04A0" w:firstRow="1" w:lastRow="0" w:firstColumn="1" w:lastColumn="0" w:noHBand="0" w:noVBand="1"/>
      </w:tblPr>
      <w:tblGrid>
        <w:gridCol w:w="2876"/>
        <w:gridCol w:w="2877"/>
        <w:gridCol w:w="2877"/>
      </w:tblGrid>
      <w:tr w:rsidR="00FB0888" w:rsidRPr="00B37E2C" w14:paraId="2F27A690" w14:textId="77777777" w:rsidTr="00F513C6">
        <w:tc>
          <w:tcPr>
            <w:tcW w:w="2876" w:type="dxa"/>
            <w:tcBorders>
              <w:top w:val="single" w:sz="4" w:space="0" w:color="auto"/>
              <w:bottom w:val="single" w:sz="4" w:space="0" w:color="auto"/>
            </w:tcBorders>
            <w:vAlign w:val="bottom"/>
          </w:tcPr>
          <w:p w14:paraId="48FA2476" w14:textId="77777777" w:rsidR="00FB0888" w:rsidRPr="00B37E2C" w:rsidRDefault="00FB0888" w:rsidP="00771ECA">
            <w:pPr>
              <w:pStyle w:val="HomerTableBody"/>
              <w:spacing w:line="240" w:lineRule="auto"/>
              <w:rPr>
                <w:rFonts w:ascii="Times New Roman" w:hAnsi="Times New Roman" w:cs="Times New Roman"/>
                <w:b/>
                <w:sz w:val="24"/>
                <w:szCs w:val="24"/>
              </w:rPr>
            </w:pPr>
            <w:r w:rsidRPr="00B37E2C">
              <w:rPr>
                <w:rFonts w:ascii="Times New Roman" w:hAnsi="Times New Roman" w:cs="Times New Roman"/>
                <w:b/>
                <w:sz w:val="24"/>
                <w:szCs w:val="24"/>
              </w:rPr>
              <w:t>Quantity</w:t>
            </w:r>
          </w:p>
        </w:tc>
        <w:tc>
          <w:tcPr>
            <w:tcW w:w="2877" w:type="dxa"/>
            <w:tcBorders>
              <w:top w:val="single" w:sz="4" w:space="0" w:color="auto"/>
              <w:bottom w:val="single" w:sz="4" w:space="0" w:color="auto"/>
            </w:tcBorders>
            <w:vAlign w:val="bottom"/>
          </w:tcPr>
          <w:p w14:paraId="3F559417" w14:textId="77777777" w:rsidR="00FB0888" w:rsidRPr="00B37E2C" w:rsidRDefault="00FB0888" w:rsidP="00771ECA">
            <w:pPr>
              <w:pStyle w:val="HomerTableBody"/>
              <w:spacing w:line="240" w:lineRule="auto"/>
              <w:rPr>
                <w:rFonts w:ascii="Times New Roman" w:hAnsi="Times New Roman" w:cs="Times New Roman"/>
                <w:b/>
                <w:sz w:val="24"/>
                <w:szCs w:val="24"/>
              </w:rPr>
            </w:pPr>
            <w:r w:rsidRPr="00B37E2C">
              <w:rPr>
                <w:rFonts w:ascii="Times New Roman" w:hAnsi="Times New Roman" w:cs="Times New Roman"/>
                <w:b/>
                <w:sz w:val="24"/>
                <w:szCs w:val="24"/>
              </w:rPr>
              <w:t>Value</w:t>
            </w:r>
          </w:p>
        </w:tc>
        <w:tc>
          <w:tcPr>
            <w:tcW w:w="2877" w:type="dxa"/>
            <w:tcBorders>
              <w:top w:val="single" w:sz="4" w:space="0" w:color="auto"/>
              <w:bottom w:val="single" w:sz="4" w:space="0" w:color="auto"/>
            </w:tcBorders>
            <w:vAlign w:val="bottom"/>
          </w:tcPr>
          <w:p w14:paraId="511F0C4C" w14:textId="77777777" w:rsidR="00FB0888" w:rsidRPr="00B37E2C" w:rsidRDefault="00FB0888" w:rsidP="00771ECA">
            <w:pPr>
              <w:pStyle w:val="HomerTableBody"/>
              <w:spacing w:line="240" w:lineRule="auto"/>
              <w:rPr>
                <w:rFonts w:ascii="Times New Roman" w:hAnsi="Times New Roman" w:cs="Times New Roman"/>
                <w:b/>
                <w:sz w:val="24"/>
                <w:szCs w:val="24"/>
              </w:rPr>
            </w:pPr>
            <w:r w:rsidRPr="00B37E2C">
              <w:rPr>
                <w:rFonts w:ascii="Times New Roman" w:hAnsi="Times New Roman" w:cs="Times New Roman"/>
                <w:b/>
                <w:sz w:val="24"/>
                <w:szCs w:val="24"/>
              </w:rPr>
              <w:t>Units</w:t>
            </w:r>
          </w:p>
        </w:tc>
      </w:tr>
      <w:tr w:rsidR="00FB0888" w:rsidRPr="00B37E2C" w14:paraId="46391429" w14:textId="77777777" w:rsidTr="00F513C6">
        <w:tc>
          <w:tcPr>
            <w:tcW w:w="2876" w:type="dxa"/>
            <w:tcBorders>
              <w:top w:val="single" w:sz="4" w:space="0" w:color="auto"/>
            </w:tcBorders>
            <w:vAlign w:val="bottom"/>
          </w:tcPr>
          <w:p w14:paraId="1F2DABD2"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Hours of Operation</w:t>
            </w:r>
          </w:p>
        </w:tc>
        <w:tc>
          <w:tcPr>
            <w:tcW w:w="2877" w:type="dxa"/>
            <w:tcBorders>
              <w:top w:val="single" w:sz="4" w:space="0" w:color="auto"/>
            </w:tcBorders>
            <w:vAlign w:val="bottom"/>
          </w:tcPr>
          <w:p w14:paraId="36255209"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1,170</w:t>
            </w:r>
          </w:p>
        </w:tc>
        <w:tc>
          <w:tcPr>
            <w:tcW w:w="2877" w:type="dxa"/>
            <w:tcBorders>
              <w:top w:val="single" w:sz="4" w:space="0" w:color="auto"/>
            </w:tcBorders>
            <w:vAlign w:val="bottom"/>
          </w:tcPr>
          <w:p w14:paraId="50C8E654"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hrs/yr</w:t>
            </w:r>
          </w:p>
        </w:tc>
      </w:tr>
      <w:tr w:rsidR="00FB0888" w:rsidRPr="00B37E2C" w14:paraId="6CE76471" w14:textId="77777777" w:rsidTr="00F513C6">
        <w:tc>
          <w:tcPr>
            <w:tcW w:w="2876" w:type="dxa"/>
            <w:vAlign w:val="bottom"/>
          </w:tcPr>
          <w:p w14:paraId="16C73519"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Energy Out</w:t>
            </w:r>
          </w:p>
        </w:tc>
        <w:tc>
          <w:tcPr>
            <w:tcW w:w="2877" w:type="dxa"/>
            <w:vAlign w:val="bottom"/>
          </w:tcPr>
          <w:p w14:paraId="734CCF81"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273,393</w:t>
            </w:r>
          </w:p>
        </w:tc>
        <w:tc>
          <w:tcPr>
            <w:tcW w:w="2877" w:type="dxa"/>
            <w:vAlign w:val="bottom"/>
          </w:tcPr>
          <w:p w14:paraId="64C17661"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kWh/yr</w:t>
            </w:r>
          </w:p>
        </w:tc>
      </w:tr>
      <w:tr w:rsidR="00FB0888" w:rsidRPr="00B37E2C" w14:paraId="35E965F9" w14:textId="77777777" w:rsidTr="00F513C6">
        <w:tc>
          <w:tcPr>
            <w:tcW w:w="2876" w:type="dxa"/>
            <w:vAlign w:val="bottom"/>
          </w:tcPr>
          <w:p w14:paraId="040530E6"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Energy In</w:t>
            </w:r>
          </w:p>
        </w:tc>
        <w:tc>
          <w:tcPr>
            <w:tcW w:w="2877" w:type="dxa"/>
            <w:vAlign w:val="bottom"/>
          </w:tcPr>
          <w:p w14:paraId="5631A61E"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287,782</w:t>
            </w:r>
          </w:p>
        </w:tc>
        <w:tc>
          <w:tcPr>
            <w:tcW w:w="2877" w:type="dxa"/>
            <w:vAlign w:val="bottom"/>
          </w:tcPr>
          <w:p w14:paraId="49BEC070"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kWh/yr</w:t>
            </w:r>
          </w:p>
        </w:tc>
      </w:tr>
      <w:tr w:rsidR="00FB0888" w:rsidRPr="00B37E2C" w14:paraId="77C8C309" w14:textId="77777777" w:rsidTr="00F513C6">
        <w:tc>
          <w:tcPr>
            <w:tcW w:w="2876" w:type="dxa"/>
            <w:vAlign w:val="bottom"/>
          </w:tcPr>
          <w:p w14:paraId="55F9E0C4"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Losses</w:t>
            </w:r>
          </w:p>
        </w:tc>
        <w:tc>
          <w:tcPr>
            <w:tcW w:w="2877" w:type="dxa"/>
            <w:vAlign w:val="bottom"/>
          </w:tcPr>
          <w:p w14:paraId="6E309AD7"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14,389</w:t>
            </w:r>
          </w:p>
        </w:tc>
        <w:tc>
          <w:tcPr>
            <w:tcW w:w="2877" w:type="dxa"/>
            <w:vAlign w:val="bottom"/>
          </w:tcPr>
          <w:p w14:paraId="59B10990"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kWh/yr</w:t>
            </w:r>
          </w:p>
        </w:tc>
      </w:tr>
      <w:tr w:rsidR="00FB0888" w:rsidRPr="00B37E2C" w14:paraId="2565506B" w14:textId="77777777" w:rsidTr="00F513C6">
        <w:tc>
          <w:tcPr>
            <w:tcW w:w="2876" w:type="dxa"/>
            <w:vAlign w:val="bottom"/>
          </w:tcPr>
          <w:p w14:paraId="6BEF156C"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Capacity</w:t>
            </w:r>
          </w:p>
        </w:tc>
        <w:tc>
          <w:tcPr>
            <w:tcW w:w="2877" w:type="dxa"/>
            <w:vAlign w:val="bottom"/>
          </w:tcPr>
          <w:p w14:paraId="4E15B277"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2,500</w:t>
            </w:r>
          </w:p>
        </w:tc>
        <w:tc>
          <w:tcPr>
            <w:tcW w:w="2877" w:type="dxa"/>
            <w:vAlign w:val="bottom"/>
          </w:tcPr>
          <w:p w14:paraId="316C5E2A"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kW</w:t>
            </w:r>
          </w:p>
        </w:tc>
      </w:tr>
      <w:tr w:rsidR="00FB0888" w:rsidRPr="00B37E2C" w14:paraId="0779684F" w14:textId="77777777" w:rsidTr="00F513C6">
        <w:tc>
          <w:tcPr>
            <w:tcW w:w="2876" w:type="dxa"/>
            <w:vAlign w:val="bottom"/>
          </w:tcPr>
          <w:p w14:paraId="3ACAE693"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Mean Output</w:t>
            </w:r>
          </w:p>
        </w:tc>
        <w:tc>
          <w:tcPr>
            <w:tcW w:w="2877" w:type="dxa"/>
            <w:vAlign w:val="bottom"/>
          </w:tcPr>
          <w:p w14:paraId="14FC56BE"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31.2</w:t>
            </w:r>
          </w:p>
        </w:tc>
        <w:tc>
          <w:tcPr>
            <w:tcW w:w="2877" w:type="dxa"/>
            <w:vAlign w:val="bottom"/>
          </w:tcPr>
          <w:p w14:paraId="2F98797C"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kW</w:t>
            </w:r>
          </w:p>
        </w:tc>
      </w:tr>
      <w:tr w:rsidR="00FB0888" w:rsidRPr="00B37E2C" w14:paraId="4E90D2CB" w14:textId="77777777" w:rsidTr="00F513C6">
        <w:tc>
          <w:tcPr>
            <w:tcW w:w="2876" w:type="dxa"/>
            <w:vAlign w:val="bottom"/>
          </w:tcPr>
          <w:p w14:paraId="57A36581"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Minimum Output</w:t>
            </w:r>
          </w:p>
        </w:tc>
        <w:tc>
          <w:tcPr>
            <w:tcW w:w="2877" w:type="dxa"/>
            <w:vAlign w:val="bottom"/>
          </w:tcPr>
          <w:p w14:paraId="3279F8A8"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0</w:t>
            </w:r>
          </w:p>
        </w:tc>
        <w:tc>
          <w:tcPr>
            <w:tcW w:w="2877" w:type="dxa"/>
            <w:vAlign w:val="bottom"/>
          </w:tcPr>
          <w:p w14:paraId="0C450300"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kW</w:t>
            </w:r>
          </w:p>
        </w:tc>
      </w:tr>
      <w:tr w:rsidR="00FB0888" w:rsidRPr="00B37E2C" w14:paraId="61FE1442" w14:textId="77777777" w:rsidTr="00F513C6">
        <w:tc>
          <w:tcPr>
            <w:tcW w:w="2876" w:type="dxa"/>
            <w:vAlign w:val="bottom"/>
          </w:tcPr>
          <w:p w14:paraId="24F38DA4"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Maximum Output</w:t>
            </w:r>
          </w:p>
        </w:tc>
        <w:tc>
          <w:tcPr>
            <w:tcW w:w="2877" w:type="dxa"/>
            <w:vAlign w:val="bottom"/>
          </w:tcPr>
          <w:p w14:paraId="2E8D8287"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1,100</w:t>
            </w:r>
          </w:p>
        </w:tc>
        <w:tc>
          <w:tcPr>
            <w:tcW w:w="2877" w:type="dxa"/>
            <w:vAlign w:val="bottom"/>
          </w:tcPr>
          <w:p w14:paraId="05D5467E"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kW</w:t>
            </w:r>
          </w:p>
        </w:tc>
      </w:tr>
      <w:tr w:rsidR="00FB0888" w:rsidRPr="00B37E2C" w14:paraId="3CA2AEB6" w14:textId="77777777" w:rsidTr="00F513C6">
        <w:tc>
          <w:tcPr>
            <w:tcW w:w="2876" w:type="dxa"/>
            <w:vAlign w:val="bottom"/>
          </w:tcPr>
          <w:p w14:paraId="6B5C0290"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Capacity Factor</w:t>
            </w:r>
          </w:p>
        </w:tc>
        <w:tc>
          <w:tcPr>
            <w:tcW w:w="2877" w:type="dxa"/>
            <w:vAlign w:val="bottom"/>
          </w:tcPr>
          <w:p w14:paraId="43DB3F4E"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1.25</w:t>
            </w:r>
          </w:p>
        </w:tc>
        <w:tc>
          <w:tcPr>
            <w:tcW w:w="2877" w:type="dxa"/>
            <w:vAlign w:val="bottom"/>
          </w:tcPr>
          <w:p w14:paraId="4D1869E1" w14:textId="77777777" w:rsidR="00FB0888" w:rsidRPr="00B37E2C" w:rsidRDefault="00FB0888" w:rsidP="00771ECA">
            <w:pPr>
              <w:pStyle w:val="HomerTableBody"/>
              <w:spacing w:line="240" w:lineRule="auto"/>
              <w:rPr>
                <w:rFonts w:ascii="Times New Roman" w:hAnsi="Times New Roman" w:cs="Times New Roman"/>
                <w:sz w:val="24"/>
                <w:szCs w:val="24"/>
              </w:rPr>
            </w:pPr>
            <w:r w:rsidRPr="00B37E2C">
              <w:rPr>
                <w:rFonts w:ascii="Times New Roman" w:hAnsi="Times New Roman" w:cs="Times New Roman"/>
                <w:sz w:val="24"/>
                <w:szCs w:val="24"/>
              </w:rPr>
              <w:t>%</w:t>
            </w:r>
          </w:p>
        </w:tc>
      </w:tr>
    </w:tbl>
    <w:p w14:paraId="75C6288D" w14:textId="5714BA4D" w:rsidR="00F23D7E" w:rsidRDefault="00F23D7E" w:rsidP="00F03645">
      <w:pPr>
        <w:spacing w:line="480" w:lineRule="auto"/>
        <w:rPr>
          <w:rFonts w:cs="Times New Roman"/>
          <w:szCs w:val="24"/>
          <w:lang w:val="en-US"/>
        </w:rPr>
      </w:pPr>
    </w:p>
    <w:p w14:paraId="73EBBC8E" w14:textId="30849520" w:rsidR="00FB0888" w:rsidRDefault="00FB0888" w:rsidP="00E85D75">
      <w:pPr>
        <w:pStyle w:val="Heading3"/>
        <w:numPr>
          <w:ilvl w:val="2"/>
          <w:numId w:val="10"/>
        </w:numPr>
        <w:spacing w:line="480" w:lineRule="auto"/>
      </w:pPr>
      <w:bookmarkStart w:id="75" w:name="_Toc110502613"/>
      <w:r>
        <w:t>Micro-Hydro Turbine</w:t>
      </w:r>
      <w:bookmarkEnd w:id="75"/>
    </w:p>
    <w:p w14:paraId="43529753" w14:textId="66220720" w:rsidR="00E6090E" w:rsidRDefault="00FB0888" w:rsidP="00F03645">
      <w:pPr>
        <w:spacing w:line="480" w:lineRule="auto"/>
        <w:rPr>
          <w:lang w:val="en-US"/>
        </w:rPr>
      </w:pPr>
      <w:r>
        <w:rPr>
          <w:lang w:val="en-US"/>
        </w:rPr>
        <w:t>The hydropower potential of the Osin river as measured during the stream</w:t>
      </w:r>
      <w:r w:rsidR="000F0ABB">
        <w:rPr>
          <w:lang w:val="en-US"/>
        </w:rPr>
        <w:t xml:space="preserve"> </w:t>
      </w:r>
      <w:r>
        <w:rPr>
          <w:lang w:val="en-US"/>
        </w:rPr>
        <w:t>gauging was used in HOMER and it was found that a turbine with up to 200kW capacity would be appropriate for the location. The hydrological flow varies significantly in Arandun. Being a small project, extensive damming would not be recommended. However, a weir could be constructed</w:t>
      </w:r>
      <w:r w:rsidR="000F0ABB">
        <w:rPr>
          <w:lang w:val="en-US"/>
        </w:rPr>
        <w:t>,</w:t>
      </w:r>
      <w:r>
        <w:rPr>
          <w:lang w:val="en-US"/>
        </w:rPr>
        <w:t xml:space="preserve"> </w:t>
      </w:r>
      <w:r w:rsidR="000F0ABB">
        <w:rPr>
          <w:lang w:val="en-US"/>
        </w:rPr>
        <w:t>and</w:t>
      </w:r>
      <w:r>
        <w:rPr>
          <w:lang w:val="en-US"/>
        </w:rPr>
        <w:t xml:space="preserve"> dredging and installation of </w:t>
      </w:r>
      <w:r w:rsidR="000F0ABB">
        <w:rPr>
          <w:lang w:val="en-US"/>
        </w:rPr>
        <w:t>the turbine at an artificially-</w:t>
      </w:r>
      <w:r>
        <w:rPr>
          <w:lang w:val="en-US"/>
        </w:rPr>
        <w:t>lowered height would ensure a consistent head of 3m at the location year round, although the flow rate of water itself would vary highly during the year. A capital cost of $</w:t>
      </w:r>
      <w:r w:rsidRPr="00981CB2">
        <w:rPr>
          <w:lang w:val="en-US"/>
        </w:rPr>
        <w:t>459,845.00</w:t>
      </w:r>
      <w:r>
        <w:rPr>
          <w:lang w:val="en-US"/>
        </w:rPr>
        <w:t xml:space="preserve"> was estimated for the hydropower of 200kW capacity based on scaling from similar projects. Yearly operation and maintenance costs were estimated at $</w:t>
      </w:r>
      <w:r w:rsidRPr="00660142">
        <w:rPr>
          <w:lang w:val="en-US"/>
        </w:rPr>
        <w:t>13,795.00</w:t>
      </w:r>
      <w:r w:rsidR="008D6E07">
        <w:rPr>
          <w:lang w:val="en-US"/>
        </w:rPr>
        <w:t xml:space="preserve"> per year. Table 4.5</w:t>
      </w:r>
      <w:r>
        <w:rPr>
          <w:lang w:val="en-US"/>
        </w:rPr>
        <w:t xml:space="preserve"> shows the summary of the capacity and performance of the hydropower turbine.</w:t>
      </w:r>
      <w:r w:rsidR="00F23D7E">
        <w:rPr>
          <w:lang w:val="en-US"/>
        </w:rPr>
        <w:t xml:space="preserve"> </w:t>
      </w:r>
    </w:p>
    <w:p w14:paraId="4429A670" w14:textId="64FDAB9C" w:rsidR="00241FAA" w:rsidRDefault="00241FAA" w:rsidP="00F03645">
      <w:pPr>
        <w:spacing w:line="480" w:lineRule="auto"/>
        <w:rPr>
          <w:lang w:val="en-US"/>
        </w:rPr>
      </w:pPr>
    </w:p>
    <w:p w14:paraId="5D2893DB" w14:textId="182BB69C" w:rsidR="00FB0888" w:rsidRPr="00F513C6" w:rsidRDefault="007D676A" w:rsidP="00F03645">
      <w:pPr>
        <w:spacing w:line="480" w:lineRule="auto"/>
        <w:jc w:val="center"/>
        <w:rPr>
          <w:b/>
          <w:lang w:val="en-US"/>
        </w:rPr>
      </w:pPr>
      <w:r>
        <w:rPr>
          <w:b/>
          <w:lang w:val="en-US"/>
        </w:rPr>
        <w:t>Table 4.5</w:t>
      </w:r>
      <w:r w:rsidR="00FB0888" w:rsidRPr="00F513C6">
        <w:rPr>
          <w:b/>
          <w:lang w:val="en-US"/>
        </w:rPr>
        <w:t xml:space="preserve"> – Statistics and Capacity of the Hydropower Turbine</w:t>
      </w:r>
    </w:p>
    <w:tbl>
      <w:tblPr>
        <w:tblW w:w="0" w:type="auto"/>
        <w:tblBorders>
          <w:top w:val="single" w:sz="4" w:space="0" w:color="auto"/>
          <w:bottom w:val="single" w:sz="4" w:space="0" w:color="auto"/>
        </w:tblBorders>
        <w:tblLook w:val="04A0" w:firstRow="1" w:lastRow="0" w:firstColumn="1" w:lastColumn="0" w:noHBand="0" w:noVBand="1"/>
      </w:tblPr>
      <w:tblGrid>
        <w:gridCol w:w="2876"/>
        <w:gridCol w:w="2877"/>
        <w:gridCol w:w="2877"/>
      </w:tblGrid>
      <w:tr w:rsidR="00FB0888" w:rsidRPr="00E04045" w14:paraId="4869EDF8" w14:textId="77777777" w:rsidTr="00F513C6">
        <w:tc>
          <w:tcPr>
            <w:tcW w:w="2876" w:type="dxa"/>
            <w:tcBorders>
              <w:top w:val="single" w:sz="4" w:space="0" w:color="auto"/>
              <w:bottom w:val="single" w:sz="4" w:space="0" w:color="auto"/>
            </w:tcBorders>
            <w:vAlign w:val="bottom"/>
          </w:tcPr>
          <w:p w14:paraId="78BD1AB6" w14:textId="77777777" w:rsidR="00FB0888" w:rsidRPr="00E04045" w:rsidRDefault="00FB0888" w:rsidP="00771ECA">
            <w:pPr>
              <w:pStyle w:val="HomerTableBody"/>
              <w:spacing w:line="240" w:lineRule="auto"/>
              <w:rPr>
                <w:rFonts w:ascii="Times New Roman" w:hAnsi="Times New Roman" w:cs="Times New Roman"/>
                <w:b/>
                <w:sz w:val="24"/>
                <w:szCs w:val="24"/>
              </w:rPr>
            </w:pPr>
            <w:r w:rsidRPr="00E04045">
              <w:rPr>
                <w:rFonts w:ascii="Times New Roman" w:hAnsi="Times New Roman" w:cs="Times New Roman"/>
                <w:b/>
                <w:sz w:val="24"/>
                <w:szCs w:val="24"/>
              </w:rPr>
              <w:t>Quantity</w:t>
            </w:r>
          </w:p>
        </w:tc>
        <w:tc>
          <w:tcPr>
            <w:tcW w:w="2877" w:type="dxa"/>
            <w:tcBorders>
              <w:top w:val="single" w:sz="4" w:space="0" w:color="auto"/>
              <w:bottom w:val="single" w:sz="4" w:space="0" w:color="auto"/>
            </w:tcBorders>
            <w:vAlign w:val="bottom"/>
          </w:tcPr>
          <w:p w14:paraId="09B6B660" w14:textId="77777777" w:rsidR="00FB0888" w:rsidRPr="00E04045" w:rsidRDefault="00FB0888" w:rsidP="00771ECA">
            <w:pPr>
              <w:pStyle w:val="HomerTableBody"/>
              <w:spacing w:line="240" w:lineRule="auto"/>
              <w:rPr>
                <w:rFonts w:ascii="Times New Roman" w:hAnsi="Times New Roman" w:cs="Times New Roman"/>
                <w:b/>
                <w:sz w:val="24"/>
                <w:szCs w:val="24"/>
              </w:rPr>
            </w:pPr>
            <w:r w:rsidRPr="00E04045">
              <w:rPr>
                <w:rFonts w:ascii="Times New Roman" w:hAnsi="Times New Roman" w:cs="Times New Roman"/>
                <w:b/>
                <w:sz w:val="24"/>
                <w:szCs w:val="24"/>
              </w:rPr>
              <w:t>Value</w:t>
            </w:r>
          </w:p>
        </w:tc>
        <w:tc>
          <w:tcPr>
            <w:tcW w:w="2877" w:type="dxa"/>
            <w:tcBorders>
              <w:top w:val="single" w:sz="4" w:space="0" w:color="auto"/>
              <w:bottom w:val="single" w:sz="4" w:space="0" w:color="auto"/>
            </w:tcBorders>
            <w:vAlign w:val="bottom"/>
          </w:tcPr>
          <w:p w14:paraId="417F36E6" w14:textId="77777777" w:rsidR="00FB0888" w:rsidRPr="00E04045" w:rsidRDefault="00FB0888" w:rsidP="00771ECA">
            <w:pPr>
              <w:pStyle w:val="HomerTableBody"/>
              <w:spacing w:line="240" w:lineRule="auto"/>
              <w:rPr>
                <w:rFonts w:ascii="Times New Roman" w:hAnsi="Times New Roman" w:cs="Times New Roman"/>
                <w:b/>
                <w:sz w:val="24"/>
                <w:szCs w:val="24"/>
              </w:rPr>
            </w:pPr>
            <w:r w:rsidRPr="00E04045">
              <w:rPr>
                <w:rFonts w:ascii="Times New Roman" w:hAnsi="Times New Roman" w:cs="Times New Roman"/>
                <w:b/>
                <w:sz w:val="24"/>
                <w:szCs w:val="24"/>
              </w:rPr>
              <w:t>Units</w:t>
            </w:r>
          </w:p>
        </w:tc>
      </w:tr>
      <w:tr w:rsidR="00FB0888" w:rsidRPr="00E04045" w14:paraId="77526724" w14:textId="77777777" w:rsidTr="00F513C6">
        <w:tc>
          <w:tcPr>
            <w:tcW w:w="2876" w:type="dxa"/>
            <w:tcBorders>
              <w:top w:val="single" w:sz="4" w:space="0" w:color="auto"/>
            </w:tcBorders>
            <w:vAlign w:val="bottom"/>
          </w:tcPr>
          <w:p w14:paraId="22DB29D3"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Nominal Capacity</w:t>
            </w:r>
          </w:p>
        </w:tc>
        <w:tc>
          <w:tcPr>
            <w:tcW w:w="2877" w:type="dxa"/>
            <w:tcBorders>
              <w:top w:val="single" w:sz="4" w:space="0" w:color="auto"/>
            </w:tcBorders>
            <w:vAlign w:val="bottom"/>
          </w:tcPr>
          <w:p w14:paraId="4CE03840"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23.5</w:t>
            </w:r>
          </w:p>
        </w:tc>
        <w:tc>
          <w:tcPr>
            <w:tcW w:w="2877" w:type="dxa"/>
            <w:tcBorders>
              <w:top w:val="single" w:sz="4" w:space="0" w:color="auto"/>
            </w:tcBorders>
            <w:vAlign w:val="bottom"/>
          </w:tcPr>
          <w:p w14:paraId="50DADCB8"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kW</w:t>
            </w:r>
          </w:p>
        </w:tc>
      </w:tr>
      <w:tr w:rsidR="00FB0888" w:rsidRPr="00E04045" w14:paraId="6F25E6AC" w14:textId="77777777" w:rsidTr="00F513C6">
        <w:tc>
          <w:tcPr>
            <w:tcW w:w="2876" w:type="dxa"/>
            <w:vAlign w:val="bottom"/>
          </w:tcPr>
          <w:p w14:paraId="2F4BCA4A"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Mean output</w:t>
            </w:r>
          </w:p>
        </w:tc>
        <w:tc>
          <w:tcPr>
            <w:tcW w:w="2877" w:type="dxa"/>
            <w:vAlign w:val="bottom"/>
          </w:tcPr>
          <w:p w14:paraId="099C3641"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89.5</w:t>
            </w:r>
          </w:p>
        </w:tc>
        <w:tc>
          <w:tcPr>
            <w:tcW w:w="2877" w:type="dxa"/>
            <w:vAlign w:val="bottom"/>
          </w:tcPr>
          <w:p w14:paraId="48DA0606"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kW</w:t>
            </w:r>
          </w:p>
        </w:tc>
      </w:tr>
      <w:tr w:rsidR="00FB0888" w:rsidRPr="00E04045" w14:paraId="529D319E" w14:textId="77777777" w:rsidTr="00F513C6">
        <w:tc>
          <w:tcPr>
            <w:tcW w:w="2876" w:type="dxa"/>
            <w:vAlign w:val="bottom"/>
          </w:tcPr>
          <w:p w14:paraId="1C0F542A"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Capacity factor</w:t>
            </w:r>
          </w:p>
        </w:tc>
        <w:tc>
          <w:tcPr>
            <w:tcW w:w="2877" w:type="dxa"/>
            <w:vAlign w:val="bottom"/>
          </w:tcPr>
          <w:p w14:paraId="131C9685"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380</w:t>
            </w:r>
          </w:p>
        </w:tc>
        <w:tc>
          <w:tcPr>
            <w:tcW w:w="2877" w:type="dxa"/>
            <w:vAlign w:val="bottom"/>
          </w:tcPr>
          <w:p w14:paraId="4AC715D4"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w:t>
            </w:r>
          </w:p>
        </w:tc>
      </w:tr>
      <w:tr w:rsidR="00FB0888" w:rsidRPr="00E04045" w14:paraId="5CE99540" w14:textId="77777777" w:rsidTr="00F513C6">
        <w:tc>
          <w:tcPr>
            <w:tcW w:w="2876" w:type="dxa"/>
            <w:vAlign w:val="bottom"/>
          </w:tcPr>
          <w:p w14:paraId="73855ECD"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Total Production</w:t>
            </w:r>
          </w:p>
        </w:tc>
        <w:tc>
          <w:tcPr>
            <w:tcW w:w="2877" w:type="dxa"/>
            <w:vAlign w:val="bottom"/>
          </w:tcPr>
          <w:p w14:paraId="5E92C798"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784,108</w:t>
            </w:r>
          </w:p>
        </w:tc>
        <w:tc>
          <w:tcPr>
            <w:tcW w:w="2877" w:type="dxa"/>
            <w:vAlign w:val="bottom"/>
          </w:tcPr>
          <w:p w14:paraId="40000C6D"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kWh/yr</w:t>
            </w:r>
          </w:p>
        </w:tc>
      </w:tr>
      <w:tr w:rsidR="00FB0888" w:rsidRPr="00E04045" w14:paraId="7C676A78" w14:textId="77777777" w:rsidTr="00F513C6">
        <w:tc>
          <w:tcPr>
            <w:tcW w:w="2876" w:type="dxa"/>
            <w:vAlign w:val="bottom"/>
          </w:tcPr>
          <w:p w14:paraId="080FA86C"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Minimum output</w:t>
            </w:r>
          </w:p>
        </w:tc>
        <w:tc>
          <w:tcPr>
            <w:tcW w:w="2877" w:type="dxa"/>
            <w:vAlign w:val="bottom"/>
          </w:tcPr>
          <w:p w14:paraId="5BBCE77D"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4.99</w:t>
            </w:r>
          </w:p>
        </w:tc>
        <w:tc>
          <w:tcPr>
            <w:tcW w:w="2877" w:type="dxa"/>
            <w:vAlign w:val="bottom"/>
          </w:tcPr>
          <w:p w14:paraId="79097F59"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kW</w:t>
            </w:r>
          </w:p>
        </w:tc>
      </w:tr>
      <w:tr w:rsidR="00FB0888" w:rsidRPr="00E04045" w14:paraId="60EA97AC" w14:textId="77777777" w:rsidTr="00F513C6">
        <w:tc>
          <w:tcPr>
            <w:tcW w:w="2876" w:type="dxa"/>
            <w:vAlign w:val="bottom"/>
          </w:tcPr>
          <w:p w14:paraId="266C8896"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Maximum output</w:t>
            </w:r>
          </w:p>
        </w:tc>
        <w:tc>
          <w:tcPr>
            <w:tcW w:w="2877" w:type="dxa"/>
            <w:vAlign w:val="bottom"/>
          </w:tcPr>
          <w:p w14:paraId="2CC0BA3C"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200</w:t>
            </w:r>
          </w:p>
        </w:tc>
        <w:tc>
          <w:tcPr>
            <w:tcW w:w="2877" w:type="dxa"/>
            <w:vAlign w:val="bottom"/>
          </w:tcPr>
          <w:p w14:paraId="78B55E2B"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kW</w:t>
            </w:r>
          </w:p>
        </w:tc>
      </w:tr>
      <w:tr w:rsidR="00FB0888" w:rsidRPr="00E04045" w14:paraId="44DAC86D" w14:textId="77777777" w:rsidTr="00F513C6">
        <w:tc>
          <w:tcPr>
            <w:tcW w:w="2876" w:type="dxa"/>
            <w:vAlign w:val="bottom"/>
          </w:tcPr>
          <w:p w14:paraId="22C98BA9"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Hydro penetration</w:t>
            </w:r>
          </w:p>
        </w:tc>
        <w:tc>
          <w:tcPr>
            <w:tcW w:w="2877" w:type="dxa"/>
            <w:vAlign w:val="bottom"/>
          </w:tcPr>
          <w:p w14:paraId="28FF94A2"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9.18</w:t>
            </w:r>
          </w:p>
        </w:tc>
        <w:tc>
          <w:tcPr>
            <w:tcW w:w="2877" w:type="dxa"/>
            <w:vAlign w:val="bottom"/>
          </w:tcPr>
          <w:p w14:paraId="6FF5D434"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w:t>
            </w:r>
          </w:p>
        </w:tc>
      </w:tr>
      <w:tr w:rsidR="00FB0888" w:rsidRPr="00E04045" w14:paraId="47F7C9DB" w14:textId="77777777" w:rsidTr="00F513C6">
        <w:tc>
          <w:tcPr>
            <w:tcW w:w="2876" w:type="dxa"/>
            <w:vAlign w:val="bottom"/>
          </w:tcPr>
          <w:p w14:paraId="1847C90E"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Hours of operation</w:t>
            </w:r>
          </w:p>
        </w:tc>
        <w:tc>
          <w:tcPr>
            <w:tcW w:w="2877" w:type="dxa"/>
            <w:vAlign w:val="bottom"/>
          </w:tcPr>
          <w:p w14:paraId="14F8CE31"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8,760</w:t>
            </w:r>
          </w:p>
        </w:tc>
        <w:tc>
          <w:tcPr>
            <w:tcW w:w="2877" w:type="dxa"/>
            <w:vAlign w:val="bottom"/>
          </w:tcPr>
          <w:p w14:paraId="280AF8CE"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hrs/yr</w:t>
            </w:r>
          </w:p>
        </w:tc>
      </w:tr>
      <w:tr w:rsidR="00FB0888" w:rsidRPr="00E04045" w14:paraId="5F8EB85B" w14:textId="77777777" w:rsidTr="00F513C6">
        <w:tc>
          <w:tcPr>
            <w:tcW w:w="2876" w:type="dxa"/>
            <w:vAlign w:val="bottom"/>
          </w:tcPr>
          <w:p w14:paraId="0807BA4B"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Levelized Cost</w:t>
            </w:r>
          </w:p>
        </w:tc>
        <w:tc>
          <w:tcPr>
            <w:tcW w:w="2877" w:type="dxa"/>
            <w:vAlign w:val="bottom"/>
          </w:tcPr>
          <w:p w14:paraId="2B8279A8"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0.0352</w:t>
            </w:r>
          </w:p>
        </w:tc>
        <w:tc>
          <w:tcPr>
            <w:tcW w:w="2877" w:type="dxa"/>
            <w:vAlign w:val="bottom"/>
          </w:tcPr>
          <w:p w14:paraId="4781F487" w14:textId="77777777" w:rsidR="00FB0888" w:rsidRPr="00E04045" w:rsidRDefault="00FB0888" w:rsidP="00771ECA">
            <w:pPr>
              <w:pStyle w:val="HomerTableBody"/>
              <w:spacing w:line="240" w:lineRule="auto"/>
              <w:rPr>
                <w:rFonts w:ascii="Times New Roman" w:hAnsi="Times New Roman" w:cs="Times New Roman"/>
                <w:sz w:val="24"/>
                <w:szCs w:val="24"/>
              </w:rPr>
            </w:pPr>
            <w:r w:rsidRPr="00E04045">
              <w:rPr>
                <w:rFonts w:ascii="Times New Roman" w:hAnsi="Times New Roman" w:cs="Times New Roman"/>
                <w:sz w:val="24"/>
                <w:szCs w:val="24"/>
              </w:rPr>
              <w:t>$/kWh</w:t>
            </w:r>
          </w:p>
        </w:tc>
      </w:tr>
    </w:tbl>
    <w:p w14:paraId="014368AF" w14:textId="77777777" w:rsidR="00FB0888" w:rsidRDefault="00FB0888" w:rsidP="00F03645">
      <w:pPr>
        <w:spacing w:line="480" w:lineRule="auto"/>
        <w:rPr>
          <w:lang w:val="en-US"/>
        </w:rPr>
      </w:pPr>
    </w:p>
    <w:p w14:paraId="1213AB16" w14:textId="3480CB86" w:rsidR="00FB0888" w:rsidRDefault="0012500B" w:rsidP="00F03645">
      <w:pPr>
        <w:spacing w:line="480" w:lineRule="auto"/>
        <w:rPr>
          <w:lang w:val="en-US"/>
        </w:rPr>
      </w:pPr>
      <w:r>
        <w:rPr>
          <w:lang w:val="en-US"/>
        </w:rPr>
        <w:t>Osin s</w:t>
      </w:r>
      <w:r w:rsidR="00FB0888">
        <w:rPr>
          <w:lang w:val="en-US"/>
        </w:rPr>
        <w:t>treamflow data, unlike most of the other data which were made available in the POWER dataset, had to be measured and some estimated for each month based on observations at the location, not on a</w:t>
      </w:r>
      <w:r w:rsidR="000F0ABB">
        <w:rPr>
          <w:lang w:val="en-US"/>
        </w:rPr>
        <w:t>n</w:t>
      </w:r>
      <w:r w:rsidR="00FB0888">
        <w:rPr>
          <w:lang w:val="en-US"/>
        </w:rPr>
        <w:t xml:space="preserve"> hourly/daily basis</w:t>
      </w:r>
      <w:r w:rsidR="00897CE9">
        <w:rPr>
          <w:lang w:val="en-US"/>
        </w:rPr>
        <w:t>. Hence, the plot in Figure 4.13</w:t>
      </w:r>
      <w:r w:rsidR="00FB0888">
        <w:rPr>
          <w:lang w:val="en-US"/>
        </w:rPr>
        <w:t xml:space="preserve"> shows the hydropower output based on the estimated streamflow for each month as used in the HOMER software. As expected, the rainier months have more hydropower output, while the dry season severely impacts the available power from the turbine.</w:t>
      </w:r>
    </w:p>
    <w:p w14:paraId="17973699" w14:textId="77777777" w:rsidR="00FB0888" w:rsidRDefault="00FB0888" w:rsidP="00F03645">
      <w:pPr>
        <w:spacing w:line="480" w:lineRule="auto"/>
        <w:jc w:val="center"/>
        <w:rPr>
          <w:lang w:val="en-US"/>
        </w:rPr>
      </w:pPr>
      <w:r w:rsidRPr="001E2377">
        <w:rPr>
          <w:noProof/>
          <w:lang w:val="en-US"/>
        </w:rPr>
        <w:drawing>
          <wp:inline distT="0" distB="0" distL="0" distR="0" wp14:anchorId="2C2160EF" wp14:editId="179072D7">
            <wp:extent cx="4396740" cy="3249496"/>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73" t="1472" r="555" b="2176"/>
                    <a:stretch/>
                  </pic:blipFill>
                  <pic:spPr bwMode="auto">
                    <a:xfrm>
                      <a:off x="0" y="0"/>
                      <a:ext cx="4409167" cy="3258681"/>
                    </a:xfrm>
                    <a:prstGeom prst="rect">
                      <a:avLst/>
                    </a:prstGeom>
                    <a:ln>
                      <a:noFill/>
                    </a:ln>
                    <a:extLst>
                      <a:ext uri="{53640926-AAD7-44D8-BBD7-CCE9431645EC}">
                        <a14:shadowObscured xmlns:a14="http://schemas.microsoft.com/office/drawing/2010/main"/>
                      </a:ext>
                    </a:extLst>
                  </pic:spPr>
                </pic:pic>
              </a:graphicData>
            </a:graphic>
          </wp:inline>
        </w:drawing>
      </w:r>
    </w:p>
    <w:p w14:paraId="1F165520" w14:textId="786025DF" w:rsidR="00FB0888" w:rsidRDefault="00897CE9" w:rsidP="00F03645">
      <w:pPr>
        <w:spacing w:line="480" w:lineRule="auto"/>
        <w:jc w:val="center"/>
        <w:rPr>
          <w:b/>
          <w:sz w:val="20"/>
          <w:szCs w:val="20"/>
          <w:lang w:val="en-US"/>
        </w:rPr>
      </w:pPr>
      <w:r>
        <w:rPr>
          <w:b/>
          <w:sz w:val="20"/>
          <w:szCs w:val="20"/>
          <w:lang w:val="en-US"/>
        </w:rPr>
        <w:t>Figure 4.13</w:t>
      </w:r>
      <w:r w:rsidR="00FB0888">
        <w:rPr>
          <w:b/>
          <w:sz w:val="20"/>
          <w:szCs w:val="20"/>
          <w:lang w:val="en-US"/>
        </w:rPr>
        <w:t xml:space="preserve"> – Hydropower Output Annual Curve as estimated for the Osin River in Arandun.</w:t>
      </w:r>
    </w:p>
    <w:p w14:paraId="36CC7E09" w14:textId="386838FE" w:rsidR="00FB0888" w:rsidRDefault="00924A0D" w:rsidP="00924A0D">
      <w:pPr>
        <w:pStyle w:val="Heading3"/>
        <w:spacing w:line="480" w:lineRule="auto"/>
      </w:pPr>
      <w:bookmarkStart w:id="76" w:name="_Toc110502614"/>
      <w:r>
        <w:t>4.2.7</w:t>
      </w:r>
      <w:r>
        <w:tab/>
      </w:r>
      <w:r w:rsidR="00FB0888">
        <w:t>Effect of Removing the Battery Energy Storage</w:t>
      </w:r>
      <w:bookmarkEnd w:id="76"/>
    </w:p>
    <w:p w14:paraId="76944D94" w14:textId="5DF2C703" w:rsidR="00FB0888" w:rsidRDefault="00FB0888" w:rsidP="00F03645">
      <w:pPr>
        <w:spacing w:line="480" w:lineRule="auto"/>
      </w:pPr>
      <w:r>
        <w:t xml:space="preserve">The system was simulated without the BESS, and the results were observed. Notably, the generation had to be increased to compensate for the lack of storage. Even though the Concentrated Solar Power has intrinsic storage capacity, 9MW capacity of solar power was no longer enough to meet the load demand, with a new NPC of $67,314,760.00 being incurred (compared to $55.7 million with batteries)  and still having an unmet electric load of 1.92% in the first year and a capacity shortage of 44% while wasting about a third of the generated electricity. Hence, the impact of the BESS on the system performance and economics </w:t>
      </w:r>
      <w:r w:rsidR="000F0ABB">
        <w:t>is</w:t>
      </w:r>
      <w:r>
        <w:t xml:space="preserve"> established.</w:t>
      </w:r>
    </w:p>
    <w:p w14:paraId="7500D637" w14:textId="21DD85F7" w:rsidR="00645D30" w:rsidRDefault="00645D30" w:rsidP="00F03645">
      <w:pPr>
        <w:spacing w:line="480" w:lineRule="auto"/>
      </w:pPr>
      <w:r>
        <w:t xml:space="preserve">The </w:t>
      </w:r>
      <w:r w:rsidR="00DE4C6D">
        <w:t xml:space="preserve">primary load and </w:t>
      </w:r>
      <w:r>
        <w:t>complementarity curve</w:t>
      </w:r>
      <w:r w:rsidR="00DE4C6D">
        <w:t>s of the microgrid are</w:t>
      </w:r>
      <w:r>
        <w:t xml:space="preserve"> shown in</w:t>
      </w:r>
      <w:r w:rsidR="00897CE9">
        <w:t xml:space="preserve"> Figures 4.14</w:t>
      </w:r>
      <w:r w:rsidR="00DE4C6D">
        <w:t xml:space="preserve"> and</w:t>
      </w:r>
      <w:r>
        <w:t xml:space="preserve"> Figure 4.</w:t>
      </w:r>
      <w:r w:rsidR="002E098E">
        <w:t>1</w:t>
      </w:r>
      <w:r w:rsidR="00897CE9">
        <w:t>5</w:t>
      </w:r>
      <w:r w:rsidR="00C33AB7">
        <w:t xml:space="preserve">. The highest and concave curve represents the Concentrated Solar Power (CSP) output </w:t>
      </w:r>
      <w:r w:rsidR="00111773">
        <w:t xml:space="preserve">in kW </w:t>
      </w:r>
      <w:r w:rsidR="00C33AB7">
        <w:t xml:space="preserve">which decreases during the middle months of the year (when precipitation interferes with </w:t>
      </w:r>
      <w:r w:rsidR="000F0ABB">
        <w:t xml:space="preserve">the </w:t>
      </w:r>
      <w:r w:rsidR="00C33AB7">
        <w:t>DNI component of solar radiation). The convex curve represents the output of the micro-hydro turbine over the year</w:t>
      </w:r>
      <w:r w:rsidR="00111773">
        <w:t xml:space="preserve"> in kW. The hydropower component produces its maximum of 200kW from </w:t>
      </w:r>
      <w:r w:rsidR="003458CD">
        <w:t xml:space="preserve">early </w:t>
      </w:r>
      <w:r w:rsidR="00111773">
        <w:t>June</w:t>
      </w:r>
      <w:r w:rsidR="003458CD">
        <w:t xml:space="preserve"> to late August, at which point it drops gradually until the next rainy season. The highly-erratic curve sandwiched between the CSP and the hydro represents the output of the inverter which is a combination of battery and PV system. The output of the inverter is used instead of the direct DC power output of the PV because it is a more accurate representation of the functioning of the system over time. Also, the direct output of the PV makes it difficult to see other curves on the graph properly. From the inverter output curve, it can be seen that the battery and PV power is used more during the rainy season when the CSP output has reduced and the hydro is not enough to supply the demand. Hence, the renewable-based microgrid with energy storage is complementary. </w:t>
      </w:r>
    </w:p>
    <w:p w14:paraId="68D86030" w14:textId="55120795" w:rsidR="00597EE7" w:rsidRDefault="00597EE7" w:rsidP="00FD7C2B">
      <w:pPr>
        <w:spacing w:line="480" w:lineRule="auto"/>
        <w:jc w:val="center"/>
      </w:pPr>
      <w:r w:rsidRPr="00A2487B">
        <w:rPr>
          <w:noProof/>
          <w:lang w:val="en-US"/>
        </w:rPr>
        <w:drawing>
          <wp:inline distT="0" distB="0" distL="0" distR="0" wp14:anchorId="06B52CC0" wp14:editId="6F8264BD">
            <wp:extent cx="4716780" cy="2810293"/>
            <wp:effectExtent l="0" t="0" r="762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16"/>
                    <a:stretch/>
                  </pic:blipFill>
                  <pic:spPr bwMode="auto">
                    <a:xfrm>
                      <a:off x="0" y="0"/>
                      <a:ext cx="4729885" cy="2818101"/>
                    </a:xfrm>
                    <a:prstGeom prst="rect">
                      <a:avLst/>
                    </a:prstGeom>
                    <a:ln>
                      <a:noFill/>
                    </a:ln>
                    <a:extLst>
                      <a:ext uri="{53640926-AAD7-44D8-BBD7-CCE9431645EC}">
                        <a14:shadowObscured xmlns:a14="http://schemas.microsoft.com/office/drawing/2010/main"/>
                      </a:ext>
                    </a:extLst>
                  </pic:spPr>
                </pic:pic>
              </a:graphicData>
            </a:graphic>
          </wp:inline>
        </w:drawing>
      </w:r>
    </w:p>
    <w:p w14:paraId="2FB9CB07" w14:textId="35AB02AD" w:rsidR="00597EE7" w:rsidRDefault="00897CE9" w:rsidP="00597EE7">
      <w:pPr>
        <w:spacing w:line="480" w:lineRule="auto"/>
        <w:jc w:val="center"/>
      </w:pPr>
      <w:r>
        <w:rPr>
          <w:b/>
          <w:sz w:val="20"/>
          <w:szCs w:val="20"/>
          <w:lang w:val="en-US"/>
        </w:rPr>
        <w:t>Figure 4.14</w:t>
      </w:r>
      <w:r w:rsidR="00597EE7">
        <w:rPr>
          <w:b/>
          <w:sz w:val="20"/>
          <w:szCs w:val="20"/>
          <w:lang w:val="en-US"/>
        </w:rPr>
        <w:t xml:space="preserve"> – </w:t>
      </w:r>
      <w:r w:rsidR="00297999">
        <w:rPr>
          <w:b/>
          <w:sz w:val="20"/>
          <w:szCs w:val="20"/>
          <w:lang w:val="en-US"/>
        </w:rPr>
        <w:t>AC Primary Load</w:t>
      </w:r>
      <w:r w:rsidR="00597EE7">
        <w:rPr>
          <w:b/>
          <w:sz w:val="20"/>
          <w:szCs w:val="20"/>
          <w:lang w:val="en-US"/>
        </w:rPr>
        <w:t xml:space="preserve"> Curve of the Renewable-Based Microgrid.</w:t>
      </w:r>
    </w:p>
    <w:p w14:paraId="6D20F18B" w14:textId="5620855F" w:rsidR="00C33AB7" w:rsidRDefault="0027103F" w:rsidP="003458CD">
      <w:pPr>
        <w:spacing w:line="480" w:lineRule="auto"/>
        <w:jc w:val="center"/>
      </w:pPr>
      <w:r>
        <w:rPr>
          <w:noProof/>
          <w:lang w:val="en-US"/>
        </w:rPr>
        <mc:AlternateContent>
          <mc:Choice Requires="wps">
            <w:drawing>
              <wp:anchor distT="0" distB="0" distL="114300" distR="114300" simplePos="0" relativeHeight="251674624" behindDoc="0" locked="0" layoutInCell="1" allowOverlap="1" wp14:anchorId="2824637E" wp14:editId="275C8B87">
                <wp:simplePos x="0" y="0"/>
                <wp:positionH relativeFrom="column">
                  <wp:posOffset>3924300</wp:posOffset>
                </wp:positionH>
                <wp:positionV relativeFrom="paragraph">
                  <wp:posOffset>1562100</wp:posOffset>
                </wp:positionV>
                <wp:extent cx="807720" cy="281940"/>
                <wp:effectExtent l="0" t="0" r="11430" b="22860"/>
                <wp:wrapNone/>
                <wp:docPr id="56" name="Text Box 56"/>
                <wp:cNvGraphicFramePr/>
                <a:graphic xmlns:a="http://schemas.openxmlformats.org/drawingml/2006/main">
                  <a:graphicData uri="http://schemas.microsoft.com/office/word/2010/wordprocessingShape">
                    <wps:wsp>
                      <wps:cNvSpPr txBox="1"/>
                      <wps:spPr>
                        <a:xfrm>
                          <a:off x="0" y="0"/>
                          <a:ext cx="807720" cy="281940"/>
                        </a:xfrm>
                        <a:prstGeom prst="rect">
                          <a:avLst/>
                        </a:prstGeom>
                        <a:solidFill>
                          <a:schemeClr val="lt1"/>
                        </a:solidFill>
                        <a:ln w="6350">
                          <a:solidFill>
                            <a:prstClr val="black"/>
                          </a:solidFill>
                        </a:ln>
                      </wps:spPr>
                      <wps:txbx>
                        <w:txbxContent>
                          <w:p w14:paraId="4E515356" w14:textId="5B391A6D" w:rsidR="00FC41BC" w:rsidRPr="0027103F" w:rsidRDefault="00FC41BC" w:rsidP="0027103F">
                            <w:pPr>
                              <w:rPr>
                                <w:lang w:val="en-US"/>
                              </w:rPr>
                            </w:pPr>
                            <w:r>
                              <w:rPr>
                                <w:lang w:val="en-US"/>
                              </w:rPr>
                              <w:t>PV-BESS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24637E" id="Text Box 56" o:spid="_x0000_s1053" type="#_x0000_t202" style="position:absolute;left:0;text-align:left;margin-left:309pt;margin-top:123pt;width:63.6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" fillcolor="white [3201]" strokeweight=".5pt">
                <v:textbox>
                  <w:txbxContent>
                    <w:p w14:paraId="4E515356" w14:textId="5B391A6D" w:rsidR="00FC41BC" w:rsidRPr="0027103F" w:rsidRDefault="00FC41BC" w:rsidP="0027103F">
                      <w:pPr>
                        <w:rPr>
                          <w:lang w:val="en-US"/>
                        </w:rPr>
                      </w:pPr>
                      <w:r>
                        <w:rPr>
                          <w:lang w:val="en-US"/>
                        </w:rPr>
                        <w:t>PV-BESS</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2C2B15C6" wp14:editId="491FDA6C">
                <wp:simplePos x="0" y="0"/>
                <wp:positionH relativeFrom="column">
                  <wp:posOffset>4229100</wp:posOffset>
                </wp:positionH>
                <wp:positionV relativeFrom="paragraph">
                  <wp:posOffset>2049780</wp:posOffset>
                </wp:positionV>
                <wp:extent cx="617220" cy="281940"/>
                <wp:effectExtent l="0" t="0" r="11430" b="22860"/>
                <wp:wrapNone/>
                <wp:docPr id="55" name="Text Box 55"/>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ysClr val="window" lastClr="FFFFFF"/>
                        </a:solidFill>
                        <a:ln w="6350">
                          <a:solidFill>
                            <a:prstClr val="black"/>
                          </a:solidFill>
                        </a:ln>
                      </wps:spPr>
                      <wps:txbx>
                        <w:txbxContent>
                          <w:p w14:paraId="195E7F71" w14:textId="6C397876" w:rsidR="00FC41BC" w:rsidRPr="0027103F" w:rsidRDefault="00FC41BC" w:rsidP="0027103F">
                            <w:pPr>
                              <w:rPr>
                                <w:lang w:val="en-US"/>
                              </w:rPr>
                            </w:pPr>
                            <w:r>
                              <w:rPr>
                                <w:lang w:val="en-US"/>
                              </w:rPr>
                              <w:t>Hydro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2B15C6" id="Text Box 55" o:spid="_x0000_s1054" type="#_x0000_t202" style="position:absolute;left:0;text-align:left;margin-left:333pt;margin-top:161.4pt;width:48.6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" fillcolor="window" strokeweight=".5pt">
                <v:textbox>
                  <w:txbxContent>
                    <w:p w14:paraId="195E7F71" w14:textId="6C397876" w:rsidR="00FC41BC" w:rsidRPr="0027103F" w:rsidRDefault="00FC41BC" w:rsidP="0027103F">
                      <w:pPr>
                        <w:rPr>
                          <w:lang w:val="en-US"/>
                        </w:rPr>
                      </w:pPr>
                      <w:r>
                        <w:rPr>
                          <w:lang w:val="en-US"/>
                        </w:rPr>
                        <w:t>Hydro</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36D3A7E4" wp14:editId="53C544D4">
                <wp:simplePos x="0" y="0"/>
                <wp:positionH relativeFrom="column">
                  <wp:posOffset>4328160</wp:posOffset>
                </wp:positionH>
                <wp:positionV relativeFrom="paragraph">
                  <wp:posOffset>22860</wp:posOffset>
                </wp:positionV>
                <wp:extent cx="617220" cy="281940"/>
                <wp:effectExtent l="0" t="0" r="11430" b="22860"/>
                <wp:wrapNone/>
                <wp:docPr id="54" name="Text Box 54"/>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chemeClr val="lt1"/>
                        </a:solidFill>
                        <a:ln w="6350">
                          <a:solidFill>
                            <a:prstClr val="black"/>
                          </a:solidFill>
                        </a:ln>
                      </wps:spPr>
                      <wps:txbx>
                        <w:txbxContent>
                          <w:p w14:paraId="402EAE73" w14:textId="5FDE48CE" w:rsidR="00FC41BC" w:rsidRPr="0027103F" w:rsidRDefault="00FC41BC">
                            <w:pPr>
                              <w:rPr>
                                <w:lang w:val="en-US"/>
                              </w:rPr>
                            </w:pPr>
                            <w:r>
                              <w:rPr>
                                <w:lang w:val="en-US"/>
                              </w:rPr>
                              <w:t>CSP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D3A7E4" id="Text Box 54" o:spid="_x0000_s1055" type="#_x0000_t202" style="position:absolute;left:0;text-align:left;margin-left:340.8pt;margin-top:1.8pt;width:48.6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" fillcolor="white [3201]" strokeweight=".5pt">
                <v:textbox>
                  <w:txbxContent>
                    <w:p w14:paraId="402EAE73" w14:textId="5FDE48CE" w:rsidR="00FC41BC" w:rsidRPr="0027103F" w:rsidRDefault="00FC41BC">
                      <w:pPr>
                        <w:rPr>
                          <w:lang w:val="en-US"/>
                        </w:rPr>
                      </w:pPr>
                      <w:r>
                        <w:rPr>
                          <w:lang w:val="en-US"/>
                        </w:rPr>
                        <w:t>CSP</w:t>
                      </w:r>
                    </w:p>
                  </w:txbxContent>
                </v:textbox>
              </v:shape>
            </w:pict>
          </mc:Fallback>
        </mc:AlternateContent>
      </w:r>
      <w:r w:rsidR="00C33AB7" w:rsidRPr="00C33AB7">
        <w:rPr>
          <w:noProof/>
          <w:lang w:val="en-US"/>
        </w:rPr>
        <w:drawing>
          <wp:inline distT="0" distB="0" distL="0" distR="0" wp14:anchorId="43F99F9A" wp14:editId="2DF0DE41">
            <wp:extent cx="4320540" cy="2786269"/>
            <wp:effectExtent l="0" t="0" r="3810" b="0"/>
            <wp:docPr id="8" name="Picture 8" descr="C:\Users\oyinl\Pictures\Screenshots\Screenshot (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yinl\Pictures\Screenshots\Screenshot (104).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167" t="34852" r="40900" b="7901"/>
                    <a:stretch/>
                  </pic:blipFill>
                  <pic:spPr bwMode="auto">
                    <a:xfrm>
                      <a:off x="0" y="0"/>
                      <a:ext cx="4356562" cy="2809499"/>
                    </a:xfrm>
                    <a:prstGeom prst="rect">
                      <a:avLst/>
                    </a:prstGeom>
                    <a:noFill/>
                    <a:ln>
                      <a:noFill/>
                    </a:ln>
                    <a:extLst>
                      <a:ext uri="{53640926-AAD7-44D8-BBD7-CCE9431645EC}">
                        <a14:shadowObscured xmlns:a14="http://schemas.microsoft.com/office/drawing/2010/main"/>
                      </a:ext>
                    </a:extLst>
                  </pic:spPr>
                </pic:pic>
              </a:graphicData>
            </a:graphic>
          </wp:inline>
        </w:drawing>
      </w:r>
    </w:p>
    <w:p w14:paraId="6202A7EE" w14:textId="005F9E29" w:rsidR="007E01A6" w:rsidRPr="00FD7C2B" w:rsidRDefault="00F24B7C" w:rsidP="00FD7C2B">
      <w:pPr>
        <w:spacing w:line="480" w:lineRule="auto"/>
        <w:jc w:val="center"/>
        <w:rPr>
          <w:b/>
          <w:sz w:val="20"/>
          <w:szCs w:val="20"/>
          <w:lang w:val="en-US"/>
        </w:rPr>
      </w:pPr>
      <w:r>
        <w:rPr>
          <w:b/>
          <w:sz w:val="20"/>
          <w:szCs w:val="20"/>
          <w:lang w:val="en-US"/>
        </w:rPr>
        <w:t>Figure 4.</w:t>
      </w:r>
      <w:r w:rsidR="00897CE9">
        <w:rPr>
          <w:b/>
          <w:sz w:val="20"/>
          <w:szCs w:val="20"/>
          <w:lang w:val="en-US"/>
        </w:rPr>
        <w:t>15</w:t>
      </w:r>
      <w:r w:rsidR="003458CD">
        <w:rPr>
          <w:b/>
          <w:sz w:val="20"/>
          <w:szCs w:val="20"/>
          <w:lang w:val="en-US"/>
        </w:rPr>
        <w:t xml:space="preserve"> – Complementarity C</w:t>
      </w:r>
      <w:r w:rsidR="0066033D">
        <w:rPr>
          <w:b/>
          <w:sz w:val="20"/>
          <w:szCs w:val="20"/>
          <w:lang w:val="en-US"/>
        </w:rPr>
        <w:t>urve of the Renewable-Based Microgrid.</w:t>
      </w:r>
    </w:p>
    <w:p w14:paraId="1AF14555" w14:textId="07AA4D42" w:rsidR="007E01A6" w:rsidRDefault="00924A0D" w:rsidP="00F03645">
      <w:pPr>
        <w:pStyle w:val="Heading3"/>
        <w:spacing w:line="480" w:lineRule="auto"/>
      </w:pPr>
      <w:bookmarkStart w:id="77" w:name="_Toc110502615"/>
      <w:r>
        <w:t>4.2.8</w:t>
      </w:r>
      <w:r>
        <w:tab/>
      </w:r>
      <w:r w:rsidR="007E01A6">
        <w:t>Optimal Solutions for Diesel Scenario.</w:t>
      </w:r>
      <w:bookmarkEnd w:id="77"/>
    </w:p>
    <w:p w14:paraId="34FD88A0" w14:textId="655DC8AD" w:rsidR="007E01A6" w:rsidRDefault="007E01A6" w:rsidP="00F03645">
      <w:pPr>
        <w:spacing w:line="480" w:lineRule="auto"/>
        <w:rPr>
          <w:lang w:val="en-US"/>
        </w:rPr>
      </w:pPr>
      <w:r>
        <w:rPr>
          <w:lang w:val="en-US"/>
        </w:rPr>
        <w:t>For the diesel operating scenario, ultimately, 328 solutions were simulated in the final multiyear scenario run (for a 25-year lifetime project) after the search space was refined iteratively. 316 of the solutions were feasible while 12 were infeasible due to capacity shortage constraint</w:t>
      </w:r>
      <w:r w:rsidR="000F0ABB">
        <w:rPr>
          <w:lang w:val="en-US"/>
        </w:rPr>
        <w:t>s</w:t>
      </w:r>
      <w:r>
        <w:rPr>
          <w:lang w:val="en-US"/>
        </w:rPr>
        <w:t>. In the optimal solutions, 4000 kW of installed capacity was recommended by HOMER to meet up the load demand at all points during the microgrid lifetime. This corresponded to a Net Present Cost (NPC) of $408 million despite having a capital cost of less than $</w:t>
      </w:r>
      <w:r w:rsidR="000F0ABB">
        <w:rPr>
          <w:lang w:val="en-US"/>
        </w:rPr>
        <w:t>1 million</w:t>
      </w:r>
      <w:r>
        <w:rPr>
          <w:lang w:val="en-US"/>
        </w:rPr>
        <w:t xml:space="preserve"> initially. Further investigations showed that the effects of compounding inflation and fueling and maintenance expenses in an economic environment with dwindling relief of fossil fuel projects are responsible for the high ratio of running costs to initial costs. Illuminatingly, it is found that if the effects of inflation are removed and </w:t>
      </w:r>
      <w:r w:rsidR="000F0ABB">
        <w:rPr>
          <w:lang w:val="en-US"/>
        </w:rPr>
        <w:t xml:space="preserve">a </w:t>
      </w:r>
      <w:r>
        <w:rPr>
          <w:lang w:val="en-US"/>
        </w:rPr>
        <w:t>discount</w:t>
      </w:r>
      <w:r w:rsidR="000F0ABB">
        <w:rPr>
          <w:lang w:val="en-US"/>
        </w:rPr>
        <w:t xml:space="preserve"> rate</w:t>
      </w:r>
      <w:r>
        <w:rPr>
          <w:lang w:val="en-US"/>
        </w:rPr>
        <w:t xml:space="preserve"> of 20% on all products </w:t>
      </w:r>
      <w:r w:rsidR="000F0ABB">
        <w:rPr>
          <w:lang w:val="en-US"/>
        </w:rPr>
        <w:t>is</w:t>
      </w:r>
      <w:r>
        <w:rPr>
          <w:lang w:val="en-US"/>
        </w:rPr>
        <w:t xml:space="preserve"> introduced, the net present cost would only be $40.9 million, a tenth of its nominal NPC of $408 million under realistic economic conditions. This shows how much inflation and fueling costs greatly multiply the overall cost of the microgrid.</w:t>
      </w:r>
    </w:p>
    <w:p w14:paraId="7D6F252F" w14:textId="37EA4EA6" w:rsidR="007E01A6" w:rsidRDefault="00924A0D" w:rsidP="00F03645">
      <w:pPr>
        <w:pStyle w:val="Heading3"/>
        <w:spacing w:line="480" w:lineRule="auto"/>
      </w:pPr>
      <w:bookmarkStart w:id="78" w:name="_Toc110502616"/>
      <w:r>
        <w:t>4.2.9</w:t>
      </w:r>
      <w:r>
        <w:tab/>
      </w:r>
      <w:r w:rsidR="007E01A6">
        <w:t>Total Net Present Cost (NPC) for Diesel Microgrid</w:t>
      </w:r>
      <w:bookmarkEnd w:id="78"/>
    </w:p>
    <w:p w14:paraId="2BF26BB8" w14:textId="2863FF38" w:rsidR="007E01A6" w:rsidRDefault="007E01A6" w:rsidP="00F03645">
      <w:pPr>
        <w:spacing w:line="480" w:lineRule="auto"/>
        <w:rPr>
          <w:lang w:val="en-US"/>
        </w:rPr>
      </w:pPr>
      <w:r>
        <w:rPr>
          <w:lang w:val="en-US"/>
        </w:rPr>
        <w:t xml:space="preserve">The Total Net Present Cost for a power generating station is the total of its life-cycle costs. It corresponds to the </w:t>
      </w:r>
      <w:r w:rsidRPr="004D53B4">
        <w:rPr>
          <w:lang w:val="en-US"/>
        </w:rPr>
        <w:t xml:space="preserve">present value of all expenditures </w:t>
      </w:r>
      <w:r w:rsidR="000F0ABB">
        <w:rPr>
          <w:lang w:val="en-US"/>
        </w:rPr>
        <w:t>for</w:t>
      </w:r>
      <w:r>
        <w:rPr>
          <w:lang w:val="en-US"/>
        </w:rPr>
        <w:t xml:space="preserve"> installing and operating the system c</w:t>
      </w:r>
      <w:r w:rsidRPr="004D53B4">
        <w:rPr>
          <w:lang w:val="en-US"/>
        </w:rPr>
        <w:t>omponent</w:t>
      </w:r>
      <w:r>
        <w:rPr>
          <w:lang w:val="en-US"/>
        </w:rPr>
        <w:t>s</w:t>
      </w:r>
      <w:r w:rsidRPr="004D53B4">
        <w:rPr>
          <w:lang w:val="en-US"/>
        </w:rPr>
        <w:t xml:space="preserve"> over the </w:t>
      </w:r>
      <w:r>
        <w:rPr>
          <w:lang w:val="en-US"/>
        </w:rPr>
        <w:t>lifespan of the project (in this case, 25 years for the purpose of the study)</w:t>
      </w:r>
      <w:r w:rsidRPr="004D53B4">
        <w:rPr>
          <w:lang w:val="en-US"/>
        </w:rPr>
        <w:t>, less the present value of all revenues earned during that time</w:t>
      </w:r>
      <w:r>
        <w:rPr>
          <w:lang w:val="en-US"/>
        </w:rPr>
        <w:t xml:space="preserve">. The net present cost for the diesel microgrid scenario in Arandun based on the information used in the study under a no-discount, 10% inflation rate for the microgrid was calculated to be $408,109,800.00. For comparative purposes, the system was also simulated with an assumption of zero inflation for the entire 25 years, with a discount of 20% on all expenses, which reduced the NPC to $40,911,500.00. This represents almost 10% of the original value under realistic conditions, due to the time value of money. This difference </w:t>
      </w:r>
      <w:r w:rsidR="000F0ABB">
        <w:rPr>
          <w:lang w:val="en-US"/>
        </w:rPr>
        <w:t>is</w:t>
      </w:r>
      <w:r>
        <w:rPr>
          <w:lang w:val="en-US"/>
        </w:rPr>
        <w:t xml:space="preserve"> due to the compounding of inflation (which HOMER represents by using </w:t>
      </w:r>
      <w:r w:rsidR="000F0ABB">
        <w:rPr>
          <w:lang w:val="en-US"/>
        </w:rPr>
        <w:t xml:space="preserve">a </w:t>
      </w:r>
      <w:r>
        <w:rPr>
          <w:lang w:val="en-US"/>
        </w:rPr>
        <w:t xml:space="preserve">real discount rate instead of </w:t>
      </w:r>
      <w:r w:rsidR="000F0ABB">
        <w:rPr>
          <w:lang w:val="en-US"/>
        </w:rPr>
        <w:t xml:space="preserve">a </w:t>
      </w:r>
      <w:r>
        <w:rPr>
          <w:lang w:val="en-US"/>
        </w:rPr>
        <w:t>nominal discount rate) in running costs over a period of 25 years while still giving the same results with less computational complexity.</w:t>
      </w:r>
    </w:p>
    <w:p w14:paraId="0E1B3E33" w14:textId="23E30E94" w:rsidR="007E01A6" w:rsidRDefault="00924A0D" w:rsidP="00F03645">
      <w:pPr>
        <w:pStyle w:val="Heading3"/>
        <w:spacing w:line="480" w:lineRule="auto"/>
      </w:pPr>
      <w:bookmarkStart w:id="79" w:name="_Toc110502617"/>
      <w:r>
        <w:t>4.2.10</w:t>
      </w:r>
      <w:r>
        <w:tab/>
      </w:r>
      <w:r w:rsidR="000F0ABB">
        <w:t>Leveliz</w:t>
      </w:r>
      <w:r w:rsidR="007E01A6">
        <w:t>ed Cost of Energy (COE) for the Diesel Microgrid</w:t>
      </w:r>
      <w:bookmarkEnd w:id="79"/>
    </w:p>
    <w:p w14:paraId="462DE186" w14:textId="56C4FEDD" w:rsidR="007E01A6" w:rsidRDefault="000F0ABB" w:rsidP="00F03645">
      <w:pPr>
        <w:spacing w:line="480" w:lineRule="auto"/>
        <w:rPr>
          <w:lang w:val="en-US"/>
        </w:rPr>
      </w:pPr>
      <w:r>
        <w:rPr>
          <w:lang w:val="en-US"/>
        </w:rPr>
        <w:t>The leveliz</w:t>
      </w:r>
      <w:r w:rsidR="007E01A6">
        <w:rPr>
          <w:lang w:val="en-US"/>
        </w:rPr>
        <w:t>ed COE for a power generating station is the average cost of generating 1 kWh of useful energy (i.e not counting losses) in the system over its lifetime. It is used to compare various options for electricity generation especially when viewed from the consumer perspective (it is scaled) while the Net Present Cost views the same phenomena from the investors’ perspective (i.e it is</w:t>
      </w:r>
      <w:r w:rsidR="00C77D96">
        <w:rPr>
          <w:lang w:val="en-US"/>
        </w:rPr>
        <w:t xml:space="preserve"> an absolute value). The leveliz</w:t>
      </w:r>
      <w:r w:rsidR="007E01A6">
        <w:rPr>
          <w:lang w:val="en-US"/>
        </w:rPr>
        <w:t>ed COE for the diesel microgrid over the lifetime of the project was calculated as being $1.01</w:t>
      </w:r>
      <w:r w:rsidR="00DF7CCD">
        <w:rPr>
          <w:lang w:val="en-US"/>
        </w:rPr>
        <w:t>.</w:t>
      </w:r>
    </w:p>
    <w:p w14:paraId="6931B7F4" w14:textId="36FD95D4" w:rsidR="007E01A6" w:rsidRDefault="00924A0D" w:rsidP="00F03645">
      <w:pPr>
        <w:pStyle w:val="Heading3"/>
        <w:spacing w:line="480" w:lineRule="auto"/>
      </w:pPr>
      <w:bookmarkStart w:id="80" w:name="_Toc110502618"/>
      <w:r>
        <w:t>4.2.11</w:t>
      </w:r>
      <w:r w:rsidR="007E01A6">
        <w:tab/>
        <w:t>Annual Operating Cost</w:t>
      </w:r>
      <w:bookmarkEnd w:id="80"/>
    </w:p>
    <w:p w14:paraId="336B0985" w14:textId="3D5EE6A2" w:rsidR="007E01A6" w:rsidRDefault="007E01A6" w:rsidP="00F03645">
      <w:pPr>
        <w:spacing w:line="480" w:lineRule="auto"/>
        <w:rPr>
          <w:lang w:val="en-US"/>
        </w:rPr>
      </w:pPr>
      <w:r>
        <w:rPr>
          <w:lang w:val="en-US"/>
        </w:rPr>
        <w:t>This is the annualized magnitude of the total costs and revenue other than the starting costs (initial capital). The annual operating cost for the diesel microgrid was calculated as $16,296,270.00 per year.</w:t>
      </w:r>
    </w:p>
    <w:p w14:paraId="2C591327" w14:textId="7A68AE4D" w:rsidR="007E01A6" w:rsidRDefault="00924A0D" w:rsidP="00F03645">
      <w:pPr>
        <w:pStyle w:val="Heading3"/>
        <w:spacing w:line="480" w:lineRule="auto"/>
      </w:pPr>
      <w:bookmarkStart w:id="81" w:name="_Toc110502619"/>
      <w:r>
        <w:t>4.2.12</w:t>
      </w:r>
      <w:r>
        <w:tab/>
      </w:r>
      <w:r w:rsidR="007E01A6">
        <w:t xml:space="preserve"> Electrical Summary of the Diesel Microgrid</w:t>
      </w:r>
      <w:bookmarkEnd w:id="81"/>
    </w:p>
    <w:p w14:paraId="70407EDB" w14:textId="32209F81" w:rsidR="007E01A6" w:rsidRDefault="007E01A6" w:rsidP="00F03645">
      <w:pPr>
        <w:spacing w:line="480" w:lineRule="auto"/>
        <w:rPr>
          <w:lang w:val="en-US"/>
        </w:rPr>
      </w:pPr>
      <w:r>
        <w:rPr>
          <w:lang w:val="en-US"/>
        </w:rPr>
        <w:t xml:space="preserve">After going through the simulation, HOMER recommended 4000kW of installed capacity of diesel generation i.e 10 500kVA generating sets to consistently economically meet the load for 25 years, considering maintenance schedules and load variations. The search space for the installed capacity also included smaller options such as 2000kW, 3000kW, and 3500kW options. However, the HOMER’s proprietary algorithms deduced that the 4000kW option, which would consist of 10 units of 400kW (500 kVA), would be the best for the community based on stochastic calculations considering maintenance schedules and </w:t>
      </w:r>
      <w:r w:rsidR="00C77D96">
        <w:rPr>
          <w:lang w:val="en-US"/>
        </w:rPr>
        <w:t xml:space="preserve">the </w:t>
      </w:r>
      <w:r>
        <w:rPr>
          <w:lang w:val="en-US"/>
        </w:rPr>
        <w:t xml:space="preserve">probability of </w:t>
      </w:r>
      <w:r w:rsidR="00C77D96">
        <w:rPr>
          <w:lang w:val="en-US"/>
        </w:rPr>
        <w:t xml:space="preserve">a </w:t>
      </w:r>
      <w:r>
        <w:rPr>
          <w:lang w:val="en-US"/>
        </w:rPr>
        <w:t xml:space="preserve">breakdown and optimizing the fuel efficiency and maintaining </w:t>
      </w:r>
      <w:r w:rsidR="00C77D96">
        <w:rPr>
          <w:lang w:val="en-US"/>
        </w:rPr>
        <w:t xml:space="preserve">the </w:t>
      </w:r>
      <w:r>
        <w:rPr>
          <w:lang w:val="en-US"/>
        </w:rPr>
        <w:t xml:space="preserve">reliability of the system. This is because HOMER not only prioritises initial cost, but also running costs, maintenance schedules, maintenance costs, unit dispatch strategy, and most importantly, generation adequacy with respect to load demand growth. </w:t>
      </w:r>
    </w:p>
    <w:p w14:paraId="754F8088" w14:textId="4E680365" w:rsidR="007E01A6" w:rsidRDefault="007E01A6" w:rsidP="00F03645">
      <w:pPr>
        <w:spacing w:line="480" w:lineRule="auto"/>
        <w:rPr>
          <w:lang w:val="en-US"/>
        </w:rPr>
      </w:pPr>
      <w:r>
        <w:rPr>
          <w:lang w:val="en-US"/>
        </w:rPr>
        <w:t>Hence, when all of the aforementioned factors are considered, over the lifetime of the project, the bigger system proved more economical than the others, especially when considering that the load is projected to grow by an average of ~5% every year assuming that constant electricity in the location can be guaranteed, leading to mean consumption of 3.034 kW by the end of the 25th year and leading to 3.73% unmet load by this time. By the twenty-fifth year, the unmet load can be supplemented</w:t>
      </w:r>
      <w:r w:rsidR="00C77D96">
        <w:rPr>
          <w:lang w:val="en-US"/>
        </w:rPr>
        <w:t>,</w:t>
      </w:r>
      <w:r>
        <w:rPr>
          <w:lang w:val="en-US"/>
        </w:rPr>
        <w:t xml:space="preserve"> either by isolation of point loads for separate small generating units, or by procurement of more generating units. However, the 4000kW diesel capacity represents the optimal balance of performance and net present cost. </w:t>
      </w:r>
    </w:p>
    <w:p w14:paraId="5AC5CE92" w14:textId="73AB4DF4" w:rsidR="00FD7C2B" w:rsidRDefault="007E01A6" w:rsidP="00F03645">
      <w:pPr>
        <w:spacing w:line="480" w:lineRule="auto"/>
        <w:rPr>
          <w:lang w:val="en-US"/>
        </w:rPr>
      </w:pPr>
      <w:r>
        <w:rPr>
          <w:lang w:val="en-US"/>
        </w:rPr>
        <w:t>In the first year of the project, an excess of 11.5% in terms of annual electrical energy generation is expected. However, this value drops to 0.015% by the end of the twenty-fifth year of the project due to the growing load. However, if the power factor is improved (beyond 0.8), the microgrid can be equipped to supply all expected loads for the li</w:t>
      </w:r>
      <w:r w:rsidR="007D5D1B">
        <w:rPr>
          <w:lang w:val="en-US"/>
        </w:rPr>
        <w:t>f</w:t>
      </w:r>
      <w:r w:rsidR="008F3F6E">
        <w:rPr>
          <w:lang w:val="en-US"/>
        </w:rPr>
        <w:t>etime of the project. Table 4.6</w:t>
      </w:r>
      <w:r>
        <w:rPr>
          <w:lang w:val="en-US"/>
        </w:rPr>
        <w:t xml:space="preserve"> shows the electrical summary of the microgrid in the diesel case for year 1 and year 25 respectively, assuming a growth of 5% per annum in the load demand.</w:t>
      </w:r>
    </w:p>
    <w:p w14:paraId="349951D2" w14:textId="7FC7C251" w:rsidR="007E01A6" w:rsidRPr="00F513C6" w:rsidRDefault="008F3F6E" w:rsidP="00F03645">
      <w:pPr>
        <w:spacing w:line="480" w:lineRule="auto"/>
        <w:jc w:val="center"/>
        <w:rPr>
          <w:b/>
          <w:lang w:val="en-US"/>
        </w:rPr>
      </w:pPr>
      <w:r>
        <w:rPr>
          <w:b/>
          <w:lang w:val="en-US"/>
        </w:rPr>
        <w:t>Table 4.6</w:t>
      </w:r>
      <w:r w:rsidR="007E01A6" w:rsidRPr="00F513C6">
        <w:rPr>
          <w:b/>
          <w:lang w:val="en-US"/>
        </w:rPr>
        <w:t>– Electrical Summary of the Diesel Microgrid Results for the First and Last Years.</w:t>
      </w:r>
    </w:p>
    <w:tbl>
      <w:tblPr>
        <w:tblW w:w="0" w:type="auto"/>
        <w:tblBorders>
          <w:top w:val="single" w:sz="4" w:space="0" w:color="auto"/>
          <w:bottom w:val="single" w:sz="4" w:space="0" w:color="auto"/>
        </w:tblBorders>
        <w:tblLook w:val="04A0" w:firstRow="1" w:lastRow="0" w:firstColumn="1" w:lastColumn="0" w:noHBand="0" w:noVBand="1"/>
      </w:tblPr>
      <w:tblGrid>
        <w:gridCol w:w="3150"/>
        <w:gridCol w:w="2340"/>
        <w:gridCol w:w="1980"/>
        <w:gridCol w:w="1160"/>
      </w:tblGrid>
      <w:tr w:rsidR="007E01A6" w:rsidRPr="000D4423" w14:paraId="7295B422" w14:textId="77777777" w:rsidTr="00771ECA">
        <w:tc>
          <w:tcPr>
            <w:tcW w:w="3150" w:type="dxa"/>
            <w:tcBorders>
              <w:top w:val="single" w:sz="4" w:space="0" w:color="auto"/>
              <w:bottom w:val="single" w:sz="4" w:space="0" w:color="auto"/>
            </w:tcBorders>
            <w:vAlign w:val="bottom"/>
          </w:tcPr>
          <w:p w14:paraId="78E4B54F" w14:textId="77777777" w:rsidR="007E01A6" w:rsidRPr="000D4423" w:rsidRDefault="007E01A6" w:rsidP="00771ECA">
            <w:pPr>
              <w:pStyle w:val="HomerTableBody"/>
              <w:spacing w:line="240" w:lineRule="auto"/>
              <w:jc w:val="center"/>
              <w:rPr>
                <w:rFonts w:ascii="Times New Roman" w:hAnsi="Times New Roman" w:cs="Times New Roman"/>
                <w:b/>
                <w:sz w:val="24"/>
                <w:szCs w:val="24"/>
              </w:rPr>
            </w:pPr>
            <w:r w:rsidRPr="000D4423">
              <w:rPr>
                <w:rFonts w:ascii="Times New Roman" w:hAnsi="Times New Roman" w:cs="Times New Roman"/>
                <w:b/>
                <w:sz w:val="24"/>
                <w:szCs w:val="24"/>
              </w:rPr>
              <w:t>Quantity</w:t>
            </w:r>
          </w:p>
        </w:tc>
        <w:tc>
          <w:tcPr>
            <w:tcW w:w="2340" w:type="dxa"/>
            <w:tcBorders>
              <w:top w:val="single" w:sz="4" w:space="0" w:color="auto"/>
              <w:bottom w:val="single" w:sz="4" w:space="0" w:color="auto"/>
            </w:tcBorders>
            <w:vAlign w:val="bottom"/>
          </w:tcPr>
          <w:p w14:paraId="790C9799" w14:textId="77777777" w:rsidR="007E01A6" w:rsidRPr="000D4423" w:rsidRDefault="007E01A6" w:rsidP="00771ECA">
            <w:pPr>
              <w:pStyle w:val="HomerTableBody"/>
              <w:spacing w:line="240" w:lineRule="auto"/>
              <w:jc w:val="center"/>
              <w:rPr>
                <w:rFonts w:ascii="Times New Roman" w:hAnsi="Times New Roman" w:cs="Times New Roman"/>
                <w:b/>
                <w:sz w:val="24"/>
                <w:szCs w:val="24"/>
              </w:rPr>
            </w:pPr>
            <w:r w:rsidRPr="000D4423">
              <w:rPr>
                <w:rFonts w:ascii="Times New Roman" w:hAnsi="Times New Roman" w:cs="Times New Roman"/>
                <w:b/>
                <w:sz w:val="24"/>
                <w:szCs w:val="24"/>
              </w:rPr>
              <w:t>Value</w:t>
            </w:r>
            <w:r>
              <w:rPr>
                <w:rFonts w:ascii="Times New Roman" w:hAnsi="Times New Roman" w:cs="Times New Roman"/>
                <w:b/>
                <w:sz w:val="24"/>
                <w:szCs w:val="24"/>
              </w:rPr>
              <w:t xml:space="preserve"> in Year 1</w:t>
            </w:r>
          </w:p>
        </w:tc>
        <w:tc>
          <w:tcPr>
            <w:tcW w:w="1980" w:type="dxa"/>
            <w:tcBorders>
              <w:top w:val="single" w:sz="4" w:space="0" w:color="auto"/>
              <w:bottom w:val="single" w:sz="4" w:space="0" w:color="auto"/>
            </w:tcBorders>
          </w:tcPr>
          <w:p w14:paraId="7320CB2E" w14:textId="77777777" w:rsidR="007E01A6" w:rsidRPr="000D4423" w:rsidRDefault="007E01A6" w:rsidP="00771ECA">
            <w:pPr>
              <w:pStyle w:val="HomerTableBody"/>
              <w:spacing w:line="240" w:lineRule="auto"/>
              <w:jc w:val="center"/>
              <w:rPr>
                <w:rFonts w:ascii="Times New Roman" w:hAnsi="Times New Roman" w:cs="Times New Roman"/>
                <w:b/>
                <w:sz w:val="24"/>
                <w:szCs w:val="24"/>
              </w:rPr>
            </w:pPr>
            <w:r>
              <w:rPr>
                <w:rFonts w:ascii="Times New Roman" w:hAnsi="Times New Roman" w:cs="Times New Roman"/>
                <w:b/>
                <w:sz w:val="24"/>
                <w:szCs w:val="24"/>
              </w:rPr>
              <w:t>Value in Year 25</w:t>
            </w:r>
          </w:p>
        </w:tc>
        <w:tc>
          <w:tcPr>
            <w:tcW w:w="1160" w:type="dxa"/>
            <w:tcBorders>
              <w:top w:val="single" w:sz="4" w:space="0" w:color="auto"/>
              <w:bottom w:val="single" w:sz="4" w:space="0" w:color="auto"/>
            </w:tcBorders>
            <w:vAlign w:val="bottom"/>
          </w:tcPr>
          <w:p w14:paraId="4C1F94A1" w14:textId="77777777" w:rsidR="007E01A6" w:rsidRPr="000D4423" w:rsidRDefault="007E01A6" w:rsidP="00771ECA">
            <w:pPr>
              <w:pStyle w:val="HomerTableBody"/>
              <w:spacing w:line="240" w:lineRule="auto"/>
              <w:jc w:val="center"/>
              <w:rPr>
                <w:rFonts w:ascii="Times New Roman" w:hAnsi="Times New Roman" w:cs="Times New Roman"/>
                <w:b/>
                <w:sz w:val="24"/>
                <w:szCs w:val="24"/>
              </w:rPr>
            </w:pPr>
            <w:r w:rsidRPr="000D4423">
              <w:rPr>
                <w:rFonts w:ascii="Times New Roman" w:hAnsi="Times New Roman" w:cs="Times New Roman"/>
                <w:b/>
                <w:sz w:val="24"/>
                <w:szCs w:val="24"/>
              </w:rPr>
              <w:t>Units</w:t>
            </w:r>
          </w:p>
        </w:tc>
      </w:tr>
      <w:tr w:rsidR="007E01A6" w:rsidRPr="000D4423" w14:paraId="196657CB" w14:textId="77777777" w:rsidTr="00771ECA">
        <w:tc>
          <w:tcPr>
            <w:tcW w:w="3150" w:type="dxa"/>
            <w:tcBorders>
              <w:top w:val="single" w:sz="4" w:space="0" w:color="auto"/>
            </w:tcBorders>
            <w:vAlign w:val="bottom"/>
          </w:tcPr>
          <w:p w14:paraId="742C7FC6"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Electrical Production</w:t>
            </w:r>
          </w:p>
        </w:tc>
        <w:tc>
          <w:tcPr>
            <w:tcW w:w="2340" w:type="dxa"/>
            <w:tcBorders>
              <w:top w:val="single" w:sz="4" w:space="0" w:color="auto"/>
            </w:tcBorders>
            <w:vAlign w:val="bottom"/>
          </w:tcPr>
          <w:p w14:paraId="6A2EBFD8"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9,636,755</w:t>
            </w:r>
          </w:p>
        </w:tc>
        <w:tc>
          <w:tcPr>
            <w:tcW w:w="1980" w:type="dxa"/>
            <w:tcBorders>
              <w:top w:val="single" w:sz="4" w:space="0" w:color="auto"/>
            </w:tcBorders>
          </w:tcPr>
          <w:p w14:paraId="1E82B77C"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26,521,943</w:t>
            </w:r>
          </w:p>
        </w:tc>
        <w:tc>
          <w:tcPr>
            <w:tcW w:w="1160" w:type="dxa"/>
            <w:tcBorders>
              <w:top w:val="single" w:sz="4" w:space="0" w:color="auto"/>
            </w:tcBorders>
            <w:vAlign w:val="bottom"/>
          </w:tcPr>
          <w:p w14:paraId="17C5C6BF"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kWh/yr</w:t>
            </w:r>
          </w:p>
        </w:tc>
      </w:tr>
      <w:tr w:rsidR="007E01A6" w:rsidRPr="000D4423" w14:paraId="361A470D" w14:textId="77777777" w:rsidTr="00771ECA">
        <w:tc>
          <w:tcPr>
            <w:tcW w:w="3150" w:type="dxa"/>
            <w:vAlign w:val="bottom"/>
          </w:tcPr>
          <w:p w14:paraId="0642C863"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Mean Electrical Output</w:t>
            </w:r>
          </w:p>
        </w:tc>
        <w:tc>
          <w:tcPr>
            <w:tcW w:w="2340" w:type="dxa"/>
            <w:vAlign w:val="bottom"/>
          </w:tcPr>
          <w:p w14:paraId="4B0E35F0"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1,102</w:t>
            </w:r>
          </w:p>
        </w:tc>
        <w:tc>
          <w:tcPr>
            <w:tcW w:w="1980" w:type="dxa"/>
          </w:tcPr>
          <w:p w14:paraId="7B3805F6"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3,034</w:t>
            </w:r>
          </w:p>
        </w:tc>
        <w:tc>
          <w:tcPr>
            <w:tcW w:w="1160" w:type="dxa"/>
            <w:vAlign w:val="bottom"/>
          </w:tcPr>
          <w:p w14:paraId="2F499D0A"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kW</w:t>
            </w:r>
          </w:p>
        </w:tc>
      </w:tr>
      <w:tr w:rsidR="007E01A6" w:rsidRPr="000D4423" w14:paraId="792A1301" w14:textId="77777777" w:rsidTr="00771ECA">
        <w:tc>
          <w:tcPr>
            <w:tcW w:w="3150" w:type="dxa"/>
            <w:vAlign w:val="bottom"/>
          </w:tcPr>
          <w:p w14:paraId="29247CF7"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Minimum Electrical Output</w:t>
            </w:r>
          </w:p>
        </w:tc>
        <w:tc>
          <w:tcPr>
            <w:tcW w:w="2340" w:type="dxa"/>
            <w:vAlign w:val="bottom"/>
          </w:tcPr>
          <w:p w14:paraId="77DACEE4"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1,000</w:t>
            </w:r>
          </w:p>
        </w:tc>
        <w:tc>
          <w:tcPr>
            <w:tcW w:w="1980" w:type="dxa"/>
          </w:tcPr>
          <w:p w14:paraId="204005C1"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1160" w:type="dxa"/>
            <w:vAlign w:val="bottom"/>
          </w:tcPr>
          <w:p w14:paraId="53297994"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kW</w:t>
            </w:r>
          </w:p>
        </w:tc>
      </w:tr>
      <w:tr w:rsidR="007E01A6" w:rsidRPr="000D4423" w14:paraId="7DD319BA" w14:textId="77777777" w:rsidTr="00771ECA">
        <w:tc>
          <w:tcPr>
            <w:tcW w:w="3150" w:type="dxa"/>
            <w:vAlign w:val="bottom"/>
          </w:tcPr>
          <w:p w14:paraId="5E28114F"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Maximum Electrical Output</w:t>
            </w:r>
          </w:p>
        </w:tc>
        <w:tc>
          <w:tcPr>
            <w:tcW w:w="2340" w:type="dxa"/>
            <w:vAlign w:val="bottom"/>
          </w:tcPr>
          <w:p w14:paraId="422CFEF5"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2,217</w:t>
            </w:r>
          </w:p>
        </w:tc>
        <w:tc>
          <w:tcPr>
            <w:tcW w:w="1980" w:type="dxa"/>
          </w:tcPr>
          <w:p w14:paraId="533DCF20"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4,000</w:t>
            </w:r>
          </w:p>
        </w:tc>
        <w:tc>
          <w:tcPr>
            <w:tcW w:w="1160" w:type="dxa"/>
            <w:vAlign w:val="bottom"/>
          </w:tcPr>
          <w:p w14:paraId="053FDB77"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kW</w:t>
            </w:r>
          </w:p>
        </w:tc>
      </w:tr>
      <w:tr w:rsidR="007E01A6" w:rsidRPr="000D4423" w14:paraId="174D3240" w14:textId="77777777" w:rsidTr="00771ECA">
        <w:tc>
          <w:tcPr>
            <w:tcW w:w="3150" w:type="dxa"/>
            <w:vAlign w:val="bottom"/>
          </w:tcPr>
          <w:p w14:paraId="268EE8F0"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Fuel Consumption</w:t>
            </w:r>
          </w:p>
        </w:tc>
        <w:tc>
          <w:tcPr>
            <w:tcW w:w="2340" w:type="dxa"/>
            <w:vAlign w:val="bottom"/>
          </w:tcPr>
          <w:p w14:paraId="538AF61C"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2,840,976</w:t>
            </w:r>
          </w:p>
        </w:tc>
        <w:tc>
          <w:tcPr>
            <w:tcW w:w="1980" w:type="dxa"/>
            <w:vAlign w:val="center"/>
          </w:tcPr>
          <w:p w14:paraId="15106F7C"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6,960,962</w:t>
            </w:r>
          </w:p>
        </w:tc>
        <w:tc>
          <w:tcPr>
            <w:tcW w:w="1160" w:type="dxa"/>
            <w:vAlign w:val="bottom"/>
          </w:tcPr>
          <w:p w14:paraId="32919D52"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L</w:t>
            </w:r>
          </w:p>
        </w:tc>
      </w:tr>
      <w:tr w:rsidR="007E01A6" w:rsidRPr="000D4423" w14:paraId="08F81C0B" w14:textId="77777777" w:rsidTr="00771ECA">
        <w:tc>
          <w:tcPr>
            <w:tcW w:w="3150" w:type="dxa"/>
            <w:vAlign w:val="bottom"/>
          </w:tcPr>
          <w:p w14:paraId="078D8477"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Specific Fuel Consumption</w:t>
            </w:r>
          </w:p>
        </w:tc>
        <w:tc>
          <w:tcPr>
            <w:tcW w:w="2340" w:type="dxa"/>
            <w:vAlign w:val="bottom"/>
          </w:tcPr>
          <w:p w14:paraId="5B1F7A15"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0.295</w:t>
            </w:r>
          </w:p>
        </w:tc>
        <w:tc>
          <w:tcPr>
            <w:tcW w:w="1980" w:type="dxa"/>
            <w:vAlign w:val="center"/>
          </w:tcPr>
          <w:p w14:paraId="619B61F3"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0.262</w:t>
            </w:r>
          </w:p>
        </w:tc>
        <w:tc>
          <w:tcPr>
            <w:tcW w:w="1160" w:type="dxa"/>
            <w:vAlign w:val="bottom"/>
          </w:tcPr>
          <w:p w14:paraId="21099DD1"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L/kWh</w:t>
            </w:r>
          </w:p>
        </w:tc>
      </w:tr>
      <w:tr w:rsidR="007E01A6" w:rsidRPr="000D4423" w14:paraId="3F4A7F55" w14:textId="77777777" w:rsidTr="00771ECA">
        <w:tc>
          <w:tcPr>
            <w:tcW w:w="3150" w:type="dxa"/>
            <w:vAlign w:val="bottom"/>
          </w:tcPr>
          <w:p w14:paraId="31587F8E"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Fuel Energy Input</w:t>
            </w:r>
          </w:p>
        </w:tc>
        <w:tc>
          <w:tcPr>
            <w:tcW w:w="2340" w:type="dxa"/>
            <w:vAlign w:val="bottom"/>
          </w:tcPr>
          <w:p w14:paraId="2B222ED9"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27,955,207</w:t>
            </w:r>
          </w:p>
        </w:tc>
        <w:tc>
          <w:tcPr>
            <w:tcW w:w="1980" w:type="dxa"/>
            <w:vAlign w:val="center"/>
          </w:tcPr>
          <w:p w14:paraId="596C0084"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68,495,868</w:t>
            </w:r>
          </w:p>
        </w:tc>
        <w:tc>
          <w:tcPr>
            <w:tcW w:w="1160" w:type="dxa"/>
            <w:vAlign w:val="bottom"/>
          </w:tcPr>
          <w:p w14:paraId="1F5C9EF2"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kWh/yr</w:t>
            </w:r>
          </w:p>
        </w:tc>
      </w:tr>
      <w:tr w:rsidR="007E01A6" w:rsidRPr="000D4423" w14:paraId="0CB63F34" w14:textId="77777777" w:rsidTr="00771ECA">
        <w:tc>
          <w:tcPr>
            <w:tcW w:w="3150" w:type="dxa"/>
            <w:vAlign w:val="bottom"/>
          </w:tcPr>
          <w:p w14:paraId="2803BC6B"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Mean Electrical Efficiency</w:t>
            </w:r>
          </w:p>
        </w:tc>
        <w:tc>
          <w:tcPr>
            <w:tcW w:w="2340" w:type="dxa"/>
            <w:vAlign w:val="bottom"/>
          </w:tcPr>
          <w:p w14:paraId="326014DC"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34.5</w:t>
            </w:r>
          </w:p>
        </w:tc>
        <w:tc>
          <w:tcPr>
            <w:tcW w:w="1980" w:type="dxa"/>
            <w:vAlign w:val="center"/>
          </w:tcPr>
          <w:p w14:paraId="2B0D1A68"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38.7</w:t>
            </w:r>
          </w:p>
        </w:tc>
        <w:tc>
          <w:tcPr>
            <w:tcW w:w="1160" w:type="dxa"/>
            <w:vAlign w:val="bottom"/>
          </w:tcPr>
          <w:p w14:paraId="30BAE37F"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w:t>
            </w:r>
          </w:p>
        </w:tc>
      </w:tr>
      <w:tr w:rsidR="007E01A6" w:rsidRPr="000D4423" w14:paraId="360604A3" w14:textId="77777777" w:rsidTr="00771ECA">
        <w:tc>
          <w:tcPr>
            <w:tcW w:w="3150" w:type="dxa"/>
            <w:vAlign w:val="bottom"/>
          </w:tcPr>
          <w:p w14:paraId="46A36CFB"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Hours of Operation</w:t>
            </w:r>
          </w:p>
        </w:tc>
        <w:tc>
          <w:tcPr>
            <w:tcW w:w="2340" w:type="dxa"/>
            <w:vAlign w:val="bottom"/>
          </w:tcPr>
          <w:p w14:paraId="0698B0C7"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8,743</w:t>
            </w:r>
          </w:p>
        </w:tc>
        <w:tc>
          <w:tcPr>
            <w:tcW w:w="1980" w:type="dxa"/>
            <w:vAlign w:val="center"/>
          </w:tcPr>
          <w:p w14:paraId="2AC282BC"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8,743</w:t>
            </w:r>
          </w:p>
        </w:tc>
        <w:tc>
          <w:tcPr>
            <w:tcW w:w="1160" w:type="dxa"/>
            <w:vAlign w:val="bottom"/>
          </w:tcPr>
          <w:p w14:paraId="031E21DE"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hrs/yr</w:t>
            </w:r>
          </w:p>
        </w:tc>
      </w:tr>
      <w:tr w:rsidR="007E01A6" w:rsidRPr="000D4423" w14:paraId="7BD7AB82" w14:textId="77777777" w:rsidTr="00771ECA">
        <w:tc>
          <w:tcPr>
            <w:tcW w:w="3150" w:type="dxa"/>
            <w:vAlign w:val="bottom"/>
          </w:tcPr>
          <w:p w14:paraId="1FECA388"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Number of Starts</w:t>
            </w:r>
          </w:p>
        </w:tc>
        <w:tc>
          <w:tcPr>
            <w:tcW w:w="2340" w:type="dxa"/>
            <w:vAlign w:val="bottom"/>
          </w:tcPr>
          <w:p w14:paraId="544A595E"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18.0</w:t>
            </w:r>
          </w:p>
        </w:tc>
        <w:tc>
          <w:tcPr>
            <w:tcW w:w="1980" w:type="dxa"/>
            <w:vAlign w:val="center"/>
          </w:tcPr>
          <w:p w14:paraId="4353577F"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18.0</w:t>
            </w:r>
          </w:p>
        </w:tc>
        <w:tc>
          <w:tcPr>
            <w:tcW w:w="1160" w:type="dxa"/>
            <w:vAlign w:val="bottom"/>
          </w:tcPr>
          <w:p w14:paraId="6F506FA3"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starts/yr</w:t>
            </w:r>
          </w:p>
        </w:tc>
      </w:tr>
      <w:tr w:rsidR="007E01A6" w:rsidRPr="000D4423" w14:paraId="04FB115F" w14:textId="77777777" w:rsidTr="00771ECA">
        <w:tc>
          <w:tcPr>
            <w:tcW w:w="3150" w:type="dxa"/>
            <w:vAlign w:val="bottom"/>
          </w:tcPr>
          <w:p w14:paraId="1BDB9EA1"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Operational Life</w:t>
            </w:r>
          </w:p>
        </w:tc>
        <w:tc>
          <w:tcPr>
            <w:tcW w:w="2340" w:type="dxa"/>
            <w:vAlign w:val="bottom"/>
          </w:tcPr>
          <w:p w14:paraId="53613877"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1.72</w:t>
            </w:r>
          </w:p>
        </w:tc>
        <w:tc>
          <w:tcPr>
            <w:tcW w:w="1980" w:type="dxa"/>
            <w:vAlign w:val="center"/>
          </w:tcPr>
          <w:p w14:paraId="53C00CFD"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1.72</w:t>
            </w:r>
          </w:p>
        </w:tc>
        <w:tc>
          <w:tcPr>
            <w:tcW w:w="1160" w:type="dxa"/>
            <w:vAlign w:val="bottom"/>
          </w:tcPr>
          <w:p w14:paraId="09BF24FF"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yr</w:t>
            </w:r>
          </w:p>
        </w:tc>
      </w:tr>
      <w:tr w:rsidR="007E01A6" w:rsidRPr="000D4423" w14:paraId="0FB5ACD0" w14:textId="77777777" w:rsidTr="00771ECA">
        <w:tc>
          <w:tcPr>
            <w:tcW w:w="3150" w:type="dxa"/>
            <w:vAlign w:val="bottom"/>
          </w:tcPr>
          <w:p w14:paraId="2ED62EF9"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Capacity Factor</w:t>
            </w:r>
          </w:p>
        </w:tc>
        <w:tc>
          <w:tcPr>
            <w:tcW w:w="2340" w:type="dxa"/>
            <w:vAlign w:val="bottom"/>
          </w:tcPr>
          <w:p w14:paraId="69D4C88B"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27.5</w:t>
            </w:r>
          </w:p>
        </w:tc>
        <w:tc>
          <w:tcPr>
            <w:tcW w:w="1980" w:type="dxa"/>
            <w:vAlign w:val="center"/>
          </w:tcPr>
          <w:p w14:paraId="231E5E48"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75.7</w:t>
            </w:r>
          </w:p>
        </w:tc>
        <w:tc>
          <w:tcPr>
            <w:tcW w:w="1160" w:type="dxa"/>
            <w:vAlign w:val="bottom"/>
          </w:tcPr>
          <w:p w14:paraId="5F13A534"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w:t>
            </w:r>
          </w:p>
        </w:tc>
      </w:tr>
      <w:tr w:rsidR="007E01A6" w:rsidRPr="000D4423" w14:paraId="1D8F6650" w14:textId="77777777" w:rsidTr="00771ECA">
        <w:tc>
          <w:tcPr>
            <w:tcW w:w="3150" w:type="dxa"/>
            <w:vAlign w:val="bottom"/>
          </w:tcPr>
          <w:p w14:paraId="47B350C6"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Fixed Generation Cost</w:t>
            </w:r>
          </w:p>
        </w:tc>
        <w:tc>
          <w:tcPr>
            <w:tcW w:w="2340" w:type="dxa"/>
            <w:vAlign w:val="bottom"/>
          </w:tcPr>
          <w:p w14:paraId="452E9206"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142</w:t>
            </w:r>
          </w:p>
        </w:tc>
        <w:tc>
          <w:tcPr>
            <w:tcW w:w="1980" w:type="dxa"/>
            <w:vAlign w:val="center"/>
          </w:tcPr>
          <w:p w14:paraId="26A4BEB5"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352</w:t>
            </w:r>
          </w:p>
        </w:tc>
        <w:tc>
          <w:tcPr>
            <w:tcW w:w="1160" w:type="dxa"/>
            <w:vAlign w:val="bottom"/>
          </w:tcPr>
          <w:p w14:paraId="1934E705"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$/hr</w:t>
            </w:r>
          </w:p>
        </w:tc>
      </w:tr>
      <w:tr w:rsidR="007E01A6" w:rsidRPr="000D4423" w14:paraId="690D4B6D" w14:textId="77777777" w:rsidTr="00771ECA">
        <w:tc>
          <w:tcPr>
            <w:tcW w:w="3150" w:type="dxa"/>
            <w:vAlign w:val="bottom"/>
          </w:tcPr>
          <w:p w14:paraId="2154C715"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Marginal Generation Cost</w:t>
            </w:r>
          </w:p>
        </w:tc>
        <w:tc>
          <w:tcPr>
            <w:tcW w:w="2340" w:type="dxa"/>
            <w:vAlign w:val="bottom"/>
          </w:tcPr>
          <w:p w14:paraId="4C663710"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0.412</w:t>
            </w:r>
          </w:p>
        </w:tc>
        <w:tc>
          <w:tcPr>
            <w:tcW w:w="1980" w:type="dxa"/>
            <w:vAlign w:val="center"/>
          </w:tcPr>
          <w:p w14:paraId="085B30C4" w14:textId="77777777" w:rsidR="007E01A6" w:rsidRPr="00FC6096" w:rsidRDefault="007E01A6" w:rsidP="001767FD">
            <w:pPr>
              <w:pStyle w:val="HomerTableBody"/>
              <w:spacing w:after="0" w:line="240" w:lineRule="auto"/>
              <w:jc w:val="both"/>
              <w:rPr>
                <w:rFonts w:ascii="Times New Roman" w:hAnsi="Times New Roman" w:cs="Times New Roman"/>
                <w:sz w:val="24"/>
                <w:szCs w:val="24"/>
              </w:rPr>
            </w:pPr>
            <w:r w:rsidRPr="00FC6096">
              <w:rPr>
                <w:rFonts w:ascii="Times New Roman" w:hAnsi="Times New Roman" w:cs="Times New Roman"/>
                <w:sz w:val="24"/>
                <w:szCs w:val="24"/>
              </w:rPr>
              <w:t>1.33</w:t>
            </w:r>
          </w:p>
        </w:tc>
        <w:tc>
          <w:tcPr>
            <w:tcW w:w="1160" w:type="dxa"/>
            <w:vAlign w:val="bottom"/>
          </w:tcPr>
          <w:p w14:paraId="2D6A7B6A" w14:textId="77777777" w:rsidR="007E01A6" w:rsidRPr="000D4423" w:rsidRDefault="007E01A6" w:rsidP="001767FD">
            <w:pPr>
              <w:pStyle w:val="HomerTableBody"/>
              <w:spacing w:after="0" w:line="240" w:lineRule="auto"/>
              <w:jc w:val="both"/>
              <w:rPr>
                <w:rFonts w:ascii="Times New Roman" w:hAnsi="Times New Roman" w:cs="Times New Roman"/>
                <w:sz w:val="24"/>
                <w:szCs w:val="24"/>
              </w:rPr>
            </w:pPr>
            <w:r w:rsidRPr="000D4423">
              <w:rPr>
                <w:rFonts w:ascii="Times New Roman" w:hAnsi="Times New Roman" w:cs="Times New Roman"/>
                <w:sz w:val="24"/>
                <w:szCs w:val="24"/>
              </w:rPr>
              <w:t>$/kWh</w:t>
            </w:r>
          </w:p>
        </w:tc>
      </w:tr>
    </w:tbl>
    <w:p w14:paraId="3E137E19" w14:textId="77777777" w:rsidR="007E01A6" w:rsidRDefault="007E01A6" w:rsidP="00F03645">
      <w:pPr>
        <w:spacing w:line="480" w:lineRule="auto"/>
        <w:rPr>
          <w:lang w:val="en-US"/>
        </w:rPr>
      </w:pPr>
    </w:p>
    <w:p w14:paraId="0CD95555" w14:textId="6A802389" w:rsidR="007E01A6" w:rsidRDefault="00924A0D" w:rsidP="00F03645">
      <w:pPr>
        <w:pStyle w:val="Heading3"/>
        <w:spacing w:line="480" w:lineRule="auto"/>
      </w:pPr>
      <w:bookmarkStart w:id="82" w:name="_Toc110502620"/>
      <w:r>
        <w:t>4.2.13</w:t>
      </w:r>
      <w:r>
        <w:tab/>
      </w:r>
      <w:r w:rsidR="007E01A6">
        <w:t>Emissions of the Diesel Microgrid</w:t>
      </w:r>
      <w:bookmarkEnd w:id="82"/>
    </w:p>
    <w:p w14:paraId="08AB65F7" w14:textId="4AC2FBF1" w:rsidR="007E01A6" w:rsidRPr="00311AEF" w:rsidRDefault="007E01A6" w:rsidP="00F03645">
      <w:pPr>
        <w:spacing w:line="480" w:lineRule="auto"/>
        <w:rPr>
          <w:lang w:val="en-US"/>
        </w:rPr>
      </w:pPr>
      <w:r>
        <w:rPr>
          <w:lang w:val="en-US"/>
        </w:rPr>
        <w:t>The diesel microgrid, being based on fossil fuel combustion, gives off emissions which increase with the amount of power needed from the microgrid. Hence, the microgrid will give off increasing amounts of diesel every year. Tabl</w:t>
      </w:r>
      <w:r w:rsidR="00EB2A10">
        <w:rPr>
          <w:lang w:val="en-US"/>
        </w:rPr>
        <w:t>e 4.7</w:t>
      </w:r>
      <w:r>
        <w:rPr>
          <w:lang w:val="en-US"/>
        </w:rPr>
        <w:t xml:space="preserve"> shows the annual emissions of various greenhouse by-products and pollutants in the first ye</w:t>
      </w:r>
      <w:r w:rsidR="00C4338D">
        <w:rPr>
          <w:lang w:val="en-US"/>
        </w:rPr>
        <w:t>ar while the plot in Figure 4.</w:t>
      </w:r>
      <w:r w:rsidR="00897CE9">
        <w:rPr>
          <w:lang w:val="en-US"/>
        </w:rPr>
        <w:t>16</w:t>
      </w:r>
      <w:r>
        <w:rPr>
          <w:lang w:val="en-US"/>
        </w:rPr>
        <w:t xml:space="preserve"> shows the growth pattern of the emissions relative to the first year which is considered as 100%. As seen from the plot, by the end of the project lifetime, the emissions grow with the load and reach more than double the initial levels. This poses a high risk to the people of the Arandun community if implemented in addition to contributing to ozone depletion and global warming. Further, such a power plant is lia</w:t>
      </w:r>
      <w:r w:rsidR="008678B5">
        <w:rPr>
          <w:lang w:val="en-US"/>
        </w:rPr>
        <w:t>ble to become a shutdown target</w:t>
      </w:r>
      <w:r>
        <w:rPr>
          <w:lang w:val="en-US"/>
        </w:rPr>
        <w:t xml:space="preserve"> </w:t>
      </w:r>
      <w:r w:rsidR="008678B5">
        <w:rPr>
          <w:lang w:val="en-US"/>
        </w:rPr>
        <w:t xml:space="preserve">of </w:t>
      </w:r>
      <w:r>
        <w:rPr>
          <w:lang w:val="en-US"/>
        </w:rPr>
        <w:t xml:space="preserve">future attempts of </w:t>
      </w:r>
      <w:r w:rsidR="00C77D96">
        <w:rPr>
          <w:lang w:val="en-US"/>
        </w:rPr>
        <w:t xml:space="preserve">the </w:t>
      </w:r>
      <w:r>
        <w:rPr>
          <w:lang w:val="en-US"/>
        </w:rPr>
        <w:t>government to cut down on carbon emissions. This is also a reason why the renewable microgrid is chosen in this study.</w:t>
      </w:r>
    </w:p>
    <w:p w14:paraId="32735E2B" w14:textId="77777777" w:rsidR="007E01A6" w:rsidRDefault="007E01A6" w:rsidP="00BA34FE">
      <w:pPr>
        <w:spacing w:line="480" w:lineRule="auto"/>
        <w:jc w:val="center"/>
        <w:rPr>
          <w:lang w:val="en-US"/>
        </w:rPr>
      </w:pPr>
      <w:r>
        <w:rPr>
          <w:noProof/>
          <w:lang w:val="en-US"/>
        </w:rPr>
        <w:drawing>
          <wp:inline distT="0" distB="0" distL="0" distR="0" wp14:anchorId="754BC31F" wp14:editId="76896D07">
            <wp:extent cx="3943350" cy="2381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46"/>
                    <a:srcRect/>
                    <a:stretch>
                      <a:fillRect/>
                    </a:stretch>
                  </pic:blipFill>
                  <pic:spPr>
                    <a:xfrm>
                      <a:off x="0" y="0"/>
                      <a:ext cx="3943350" cy="2381250"/>
                    </a:xfrm>
                    <a:prstGeom prst="rect">
                      <a:avLst/>
                    </a:prstGeom>
                    <a:noFill/>
                    <a:ln>
                      <a:noFill/>
                    </a:ln>
                  </pic:spPr>
                </pic:pic>
              </a:graphicData>
            </a:graphic>
          </wp:inline>
        </w:drawing>
      </w:r>
    </w:p>
    <w:p w14:paraId="2DD4D967" w14:textId="2C977838" w:rsidR="00E6090E" w:rsidRDefault="00897CE9" w:rsidP="0017465B">
      <w:pPr>
        <w:spacing w:line="480" w:lineRule="auto"/>
        <w:jc w:val="center"/>
        <w:rPr>
          <w:b/>
          <w:sz w:val="20"/>
          <w:szCs w:val="20"/>
          <w:lang w:val="en-US"/>
        </w:rPr>
      </w:pPr>
      <w:r>
        <w:rPr>
          <w:b/>
          <w:sz w:val="20"/>
          <w:szCs w:val="20"/>
          <w:lang w:val="en-US"/>
        </w:rPr>
        <w:t>Figure 4.16</w:t>
      </w:r>
      <w:r w:rsidR="007E01A6">
        <w:rPr>
          <w:b/>
          <w:sz w:val="20"/>
          <w:szCs w:val="20"/>
          <w:lang w:val="en-US"/>
        </w:rPr>
        <w:t>– Growth of Emissions in tandem with load gr</w:t>
      </w:r>
      <w:r w:rsidR="0017465B">
        <w:rPr>
          <w:b/>
          <w:sz w:val="20"/>
          <w:szCs w:val="20"/>
          <w:lang w:val="en-US"/>
        </w:rPr>
        <w:t>owth over the Project Lifetime.</w:t>
      </w:r>
    </w:p>
    <w:p w14:paraId="49EBD090" w14:textId="107B6A48" w:rsidR="00241FAA" w:rsidRDefault="00241FAA" w:rsidP="0017465B">
      <w:pPr>
        <w:spacing w:line="480" w:lineRule="auto"/>
        <w:jc w:val="center"/>
        <w:rPr>
          <w:b/>
          <w:sz w:val="20"/>
          <w:szCs w:val="20"/>
          <w:lang w:val="en-US"/>
        </w:rPr>
      </w:pPr>
    </w:p>
    <w:p w14:paraId="69A90792" w14:textId="77777777" w:rsidR="00241FAA" w:rsidRPr="0017465B" w:rsidRDefault="00241FAA" w:rsidP="0017465B">
      <w:pPr>
        <w:spacing w:line="480" w:lineRule="auto"/>
        <w:jc w:val="center"/>
        <w:rPr>
          <w:b/>
          <w:sz w:val="20"/>
          <w:szCs w:val="20"/>
          <w:lang w:val="en-US"/>
        </w:rPr>
      </w:pPr>
    </w:p>
    <w:p w14:paraId="36101224" w14:textId="71831FB8" w:rsidR="007E01A6" w:rsidRPr="00F513C6" w:rsidRDefault="001D5123" w:rsidP="00F03645">
      <w:pPr>
        <w:spacing w:line="480" w:lineRule="auto"/>
        <w:jc w:val="center"/>
        <w:rPr>
          <w:b/>
          <w:lang w:val="en-US"/>
        </w:rPr>
      </w:pPr>
      <w:r>
        <w:rPr>
          <w:b/>
          <w:lang w:val="en-US"/>
        </w:rPr>
        <w:t>Table 4.7</w:t>
      </w:r>
      <w:r w:rsidR="007E01A6" w:rsidRPr="00F513C6">
        <w:rPr>
          <w:b/>
          <w:lang w:val="en-US"/>
        </w:rPr>
        <w:t xml:space="preserve"> – Emission Levels of Pollutants in the First Year of Diesel Microgrid.</w:t>
      </w:r>
    </w:p>
    <w:tbl>
      <w:tblPr>
        <w:tblW w:w="0" w:type="auto"/>
        <w:tblBorders>
          <w:top w:val="single" w:sz="4" w:space="0" w:color="auto"/>
          <w:bottom w:val="single" w:sz="4" w:space="0" w:color="auto"/>
        </w:tblBorders>
        <w:tblLook w:val="04A0" w:firstRow="1" w:lastRow="0" w:firstColumn="1" w:lastColumn="0" w:noHBand="0" w:noVBand="1"/>
      </w:tblPr>
      <w:tblGrid>
        <w:gridCol w:w="2876"/>
        <w:gridCol w:w="2877"/>
        <w:gridCol w:w="2877"/>
      </w:tblGrid>
      <w:tr w:rsidR="007E01A6" w14:paraId="506FB0B9" w14:textId="77777777" w:rsidTr="00F513C6">
        <w:tc>
          <w:tcPr>
            <w:tcW w:w="2876" w:type="dxa"/>
            <w:tcBorders>
              <w:top w:val="single" w:sz="4" w:space="0" w:color="auto"/>
              <w:bottom w:val="single" w:sz="4" w:space="0" w:color="auto"/>
            </w:tcBorders>
            <w:vAlign w:val="bottom"/>
          </w:tcPr>
          <w:p w14:paraId="2194B177" w14:textId="77777777" w:rsidR="007E01A6" w:rsidRPr="000D4423" w:rsidRDefault="007E01A6" w:rsidP="00771ECA">
            <w:pPr>
              <w:pStyle w:val="HomerTableBody"/>
              <w:spacing w:line="240" w:lineRule="auto"/>
              <w:rPr>
                <w:rFonts w:ascii="Times New Roman" w:hAnsi="Times New Roman" w:cs="Times New Roman"/>
                <w:b/>
                <w:sz w:val="24"/>
                <w:szCs w:val="24"/>
              </w:rPr>
            </w:pPr>
            <w:r w:rsidRPr="000D4423">
              <w:rPr>
                <w:rFonts w:ascii="Times New Roman" w:hAnsi="Times New Roman" w:cs="Times New Roman"/>
                <w:b/>
                <w:sz w:val="24"/>
                <w:szCs w:val="24"/>
              </w:rPr>
              <w:t>Pollutant</w:t>
            </w:r>
          </w:p>
        </w:tc>
        <w:tc>
          <w:tcPr>
            <w:tcW w:w="2877" w:type="dxa"/>
            <w:tcBorders>
              <w:top w:val="single" w:sz="4" w:space="0" w:color="auto"/>
              <w:bottom w:val="single" w:sz="4" w:space="0" w:color="auto"/>
            </w:tcBorders>
            <w:vAlign w:val="bottom"/>
          </w:tcPr>
          <w:p w14:paraId="6068F985" w14:textId="77777777" w:rsidR="007E01A6" w:rsidRPr="000D4423" w:rsidRDefault="007E01A6" w:rsidP="00771ECA">
            <w:pPr>
              <w:pStyle w:val="HomerTableBody"/>
              <w:spacing w:line="240" w:lineRule="auto"/>
              <w:rPr>
                <w:rFonts w:ascii="Times New Roman" w:hAnsi="Times New Roman" w:cs="Times New Roman"/>
                <w:b/>
                <w:sz w:val="24"/>
                <w:szCs w:val="24"/>
              </w:rPr>
            </w:pPr>
            <w:r w:rsidRPr="000D4423">
              <w:rPr>
                <w:rFonts w:ascii="Times New Roman" w:hAnsi="Times New Roman" w:cs="Times New Roman"/>
                <w:b/>
                <w:sz w:val="24"/>
                <w:szCs w:val="24"/>
              </w:rPr>
              <w:t>Quantity</w:t>
            </w:r>
          </w:p>
        </w:tc>
        <w:tc>
          <w:tcPr>
            <w:tcW w:w="2877" w:type="dxa"/>
            <w:tcBorders>
              <w:top w:val="single" w:sz="4" w:space="0" w:color="auto"/>
              <w:bottom w:val="single" w:sz="4" w:space="0" w:color="auto"/>
            </w:tcBorders>
            <w:vAlign w:val="bottom"/>
          </w:tcPr>
          <w:p w14:paraId="3639549C" w14:textId="77777777" w:rsidR="007E01A6" w:rsidRPr="000D4423" w:rsidRDefault="007E01A6" w:rsidP="00771ECA">
            <w:pPr>
              <w:pStyle w:val="HomerTableBody"/>
              <w:spacing w:line="240" w:lineRule="auto"/>
              <w:rPr>
                <w:rFonts w:ascii="Times New Roman" w:hAnsi="Times New Roman" w:cs="Times New Roman"/>
                <w:b/>
                <w:sz w:val="24"/>
                <w:szCs w:val="24"/>
              </w:rPr>
            </w:pPr>
            <w:r w:rsidRPr="000D4423">
              <w:rPr>
                <w:rFonts w:ascii="Times New Roman" w:hAnsi="Times New Roman" w:cs="Times New Roman"/>
                <w:b/>
                <w:sz w:val="24"/>
                <w:szCs w:val="24"/>
              </w:rPr>
              <w:t>Unit</w:t>
            </w:r>
          </w:p>
        </w:tc>
      </w:tr>
      <w:tr w:rsidR="007E01A6" w14:paraId="577AC0C0" w14:textId="77777777" w:rsidTr="00F513C6">
        <w:tc>
          <w:tcPr>
            <w:tcW w:w="2876" w:type="dxa"/>
            <w:tcBorders>
              <w:top w:val="single" w:sz="4" w:space="0" w:color="auto"/>
            </w:tcBorders>
            <w:vAlign w:val="bottom"/>
          </w:tcPr>
          <w:p w14:paraId="67DB910E"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Carbon Dioxide</w:t>
            </w:r>
          </w:p>
        </w:tc>
        <w:tc>
          <w:tcPr>
            <w:tcW w:w="2877" w:type="dxa"/>
            <w:tcBorders>
              <w:top w:val="single" w:sz="4" w:space="0" w:color="auto"/>
            </w:tcBorders>
            <w:vAlign w:val="bottom"/>
          </w:tcPr>
          <w:p w14:paraId="6D58BCD8"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7,449,680</w:t>
            </w:r>
          </w:p>
        </w:tc>
        <w:tc>
          <w:tcPr>
            <w:tcW w:w="2877" w:type="dxa"/>
            <w:tcBorders>
              <w:top w:val="single" w:sz="4" w:space="0" w:color="auto"/>
            </w:tcBorders>
            <w:vAlign w:val="bottom"/>
          </w:tcPr>
          <w:p w14:paraId="0051A6DB"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kg/yr</w:t>
            </w:r>
          </w:p>
        </w:tc>
      </w:tr>
      <w:tr w:rsidR="007E01A6" w14:paraId="17A55D05" w14:textId="77777777" w:rsidTr="00F513C6">
        <w:tc>
          <w:tcPr>
            <w:tcW w:w="2876" w:type="dxa"/>
            <w:vAlign w:val="bottom"/>
          </w:tcPr>
          <w:p w14:paraId="1B417180"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Carbon Monoxide</w:t>
            </w:r>
          </w:p>
        </w:tc>
        <w:tc>
          <w:tcPr>
            <w:tcW w:w="2877" w:type="dxa"/>
            <w:vAlign w:val="bottom"/>
          </w:tcPr>
          <w:p w14:paraId="38AC0501"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38,541</w:t>
            </w:r>
          </w:p>
        </w:tc>
        <w:tc>
          <w:tcPr>
            <w:tcW w:w="2877" w:type="dxa"/>
            <w:vAlign w:val="bottom"/>
          </w:tcPr>
          <w:p w14:paraId="3A48D879"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kg/yr</w:t>
            </w:r>
          </w:p>
        </w:tc>
      </w:tr>
      <w:tr w:rsidR="007E01A6" w14:paraId="207F2C12" w14:textId="77777777" w:rsidTr="00F513C6">
        <w:tc>
          <w:tcPr>
            <w:tcW w:w="2876" w:type="dxa"/>
            <w:vAlign w:val="bottom"/>
          </w:tcPr>
          <w:p w14:paraId="3DEE5219"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Unburned Hydrocarbons</w:t>
            </w:r>
          </w:p>
        </w:tc>
        <w:tc>
          <w:tcPr>
            <w:tcW w:w="2877" w:type="dxa"/>
            <w:vAlign w:val="bottom"/>
          </w:tcPr>
          <w:p w14:paraId="7AD05548"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2,046</w:t>
            </w:r>
          </w:p>
        </w:tc>
        <w:tc>
          <w:tcPr>
            <w:tcW w:w="2877" w:type="dxa"/>
            <w:vAlign w:val="bottom"/>
          </w:tcPr>
          <w:p w14:paraId="2564A0F2"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kg/yr</w:t>
            </w:r>
          </w:p>
        </w:tc>
      </w:tr>
      <w:tr w:rsidR="007E01A6" w14:paraId="6E67D52E" w14:textId="77777777" w:rsidTr="00F513C6">
        <w:tc>
          <w:tcPr>
            <w:tcW w:w="2876" w:type="dxa"/>
            <w:vAlign w:val="bottom"/>
          </w:tcPr>
          <w:p w14:paraId="49CA854E"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Particulate Matter</w:t>
            </w:r>
          </w:p>
        </w:tc>
        <w:tc>
          <w:tcPr>
            <w:tcW w:w="2877" w:type="dxa"/>
            <w:vAlign w:val="bottom"/>
          </w:tcPr>
          <w:p w14:paraId="7968E836"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330</w:t>
            </w:r>
          </w:p>
        </w:tc>
        <w:tc>
          <w:tcPr>
            <w:tcW w:w="2877" w:type="dxa"/>
            <w:vAlign w:val="bottom"/>
          </w:tcPr>
          <w:p w14:paraId="48A14884"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kg/yr</w:t>
            </w:r>
          </w:p>
        </w:tc>
      </w:tr>
      <w:tr w:rsidR="007E01A6" w14:paraId="782D6E4B" w14:textId="77777777" w:rsidTr="00F513C6">
        <w:tc>
          <w:tcPr>
            <w:tcW w:w="2876" w:type="dxa"/>
            <w:vAlign w:val="bottom"/>
          </w:tcPr>
          <w:p w14:paraId="206A2EC3"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Sulfur Dioxide</w:t>
            </w:r>
          </w:p>
        </w:tc>
        <w:tc>
          <w:tcPr>
            <w:tcW w:w="2877" w:type="dxa"/>
            <w:vAlign w:val="bottom"/>
          </w:tcPr>
          <w:p w14:paraId="2490BBCB"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18,210</w:t>
            </w:r>
          </w:p>
        </w:tc>
        <w:tc>
          <w:tcPr>
            <w:tcW w:w="2877" w:type="dxa"/>
            <w:vAlign w:val="bottom"/>
          </w:tcPr>
          <w:p w14:paraId="5F812320"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kg/yr</w:t>
            </w:r>
          </w:p>
        </w:tc>
      </w:tr>
      <w:tr w:rsidR="007E01A6" w14:paraId="1978FDAB" w14:textId="77777777" w:rsidTr="00F513C6">
        <w:tc>
          <w:tcPr>
            <w:tcW w:w="2876" w:type="dxa"/>
            <w:vAlign w:val="bottom"/>
          </w:tcPr>
          <w:p w14:paraId="01ED3420"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Nitrogen Oxides</w:t>
            </w:r>
          </w:p>
        </w:tc>
        <w:tc>
          <w:tcPr>
            <w:tcW w:w="2877" w:type="dxa"/>
            <w:vAlign w:val="bottom"/>
          </w:tcPr>
          <w:p w14:paraId="03F5734A"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7,387</w:t>
            </w:r>
          </w:p>
        </w:tc>
        <w:tc>
          <w:tcPr>
            <w:tcW w:w="2877" w:type="dxa"/>
            <w:vAlign w:val="bottom"/>
          </w:tcPr>
          <w:p w14:paraId="7A54922F" w14:textId="77777777" w:rsidR="007E01A6" w:rsidRPr="000D4423" w:rsidRDefault="007E01A6" w:rsidP="00771ECA">
            <w:pPr>
              <w:pStyle w:val="HomerTableBody"/>
              <w:spacing w:line="240" w:lineRule="auto"/>
              <w:rPr>
                <w:rFonts w:ascii="Times New Roman" w:hAnsi="Times New Roman" w:cs="Times New Roman"/>
                <w:sz w:val="24"/>
                <w:szCs w:val="24"/>
              </w:rPr>
            </w:pPr>
            <w:r w:rsidRPr="000D4423">
              <w:rPr>
                <w:rFonts w:ascii="Times New Roman" w:hAnsi="Times New Roman" w:cs="Times New Roman"/>
                <w:sz w:val="24"/>
                <w:szCs w:val="24"/>
              </w:rPr>
              <w:t>kg/yr</w:t>
            </w:r>
          </w:p>
        </w:tc>
      </w:tr>
    </w:tbl>
    <w:p w14:paraId="51A84357" w14:textId="77777777" w:rsidR="007E01A6" w:rsidRDefault="007E01A6" w:rsidP="00F03645">
      <w:pPr>
        <w:spacing w:line="480" w:lineRule="auto"/>
        <w:rPr>
          <w:lang w:val="en-US"/>
        </w:rPr>
      </w:pPr>
    </w:p>
    <w:p w14:paraId="03857E2C" w14:textId="56FC163A" w:rsidR="008A4FE6" w:rsidRDefault="007E01A6" w:rsidP="00F03645">
      <w:pPr>
        <w:spacing w:line="480" w:lineRule="auto"/>
        <w:rPr>
          <w:lang w:val="en-US"/>
        </w:rPr>
      </w:pPr>
      <w:r>
        <w:rPr>
          <w:lang w:val="en-US"/>
        </w:rPr>
        <w:t xml:space="preserve">For this reason, the renewable energy microgrid with PV, CSP, hydro, and lithium batteries </w:t>
      </w:r>
      <w:r w:rsidR="00C77D96">
        <w:rPr>
          <w:lang w:val="en-US"/>
        </w:rPr>
        <w:t>is</w:t>
      </w:r>
      <w:r>
        <w:rPr>
          <w:lang w:val="en-US"/>
        </w:rPr>
        <w:t xml:space="preserve"> adjudged as being the feasible option even</w:t>
      </w:r>
      <w:r w:rsidR="00C40069">
        <w:rPr>
          <w:lang w:val="en-US"/>
        </w:rPr>
        <w:t xml:space="preserve"> compared to diesel generation.</w:t>
      </w:r>
    </w:p>
    <w:p w14:paraId="2C6DFAAB" w14:textId="07E0EFA7" w:rsidR="00CD5E41" w:rsidRDefault="008A4FE6" w:rsidP="00E85D75">
      <w:pPr>
        <w:pStyle w:val="Heading3"/>
        <w:numPr>
          <w:ilvl w:val="1"/>
          <w:numId w:val="10"/>
        </w:numPr>
        <w:spacing w:line="480" w:lineRule="auto"/>
      </w:pPr>
      <w:bookmarkStart w:id="83" w:name="_Toc110502621"/>
      <w:r>
        <w:t>PROBABILITY DISTRIBUTIONS FITTED</w:t>
      </w:r>
      <w:bookmarkEnd w:id="83"/>
    </w:p>
    <w:p w14:paraId="36EC5DEC" w14:textId="74B7ACB1" w:rsidR="008A4FE6" w:rsidRPr="00293491" w:rsidRDefault="008A4FE6" w:rsidP="000F56A5">
      <w:pPr>
        <w:spacing w:line="480" w:lineRule="auto"/>
        <w:rPr>
          <w:lang w:val="en-US"/>
        </w:rPr>
      </w:pPr>
      <w:r>
        <w:rPr>
          <w:lang w:val="en-US"/>
        </w:rPr>
        <w:t>The Probability distributions fi</w:t>
      </w:r>
      <w:r w:rsidR="008426D3">
        <w:rPr>
          <w:lang w:val="en-US"/>
        </w:rPr>
        <w:t>tted are presented in Table 4.8</w:t>
      </w:r>
      <w:r>
        <w:rPr>
          <w:lang w:val="en-US"/>
        </w:rPr>
        <w:t xml:space="preserve"> showing the parameters of each distribution for each month of the year.</w:t>
      </w:r>
      <w:r w:rsidR="000F56A5">
        <w:rPr>
          <w:lang w:val="en-US"/>
        </w:rPr>
        <w:t xml:space="preserve"> </w:t>
      </w:r>
      <w:r w:rsidR="00FA2F34">
        <w:rPr>
          <w:lang w:val="en-US"/>
        </w:rPr>
        <w:t>Wind speed is measured in m/s, Irradiance is measured in kW</w:t>
      </w:r>
      <w:r w:rsidR="00293491">
        <w:rPr>
          <w:lang w:val="en-US"/>
        </w:rPr>
        <w:t>/m</w:t>
      </w:r>
      <w:r w:rsidR="00293491">
        <w:rPr>
          <w:vertAlign w:val="superscript"/>
          <w:lang w:val="en-US"/>
        </w:rPr>
        <w:t>2</w:t>
      </w:r>
      <w:r w:rsidR="00293491">
        <w:rPr>
          <w:lang w:val="en-US"/>
        </w:rPr>
        <w:t>, stream</w:t>
      </w:r>
      <w:r w:rsidR="008678B5">
        <w:rPr>
          <w:lang w:val="en-US"/>
        </w:rPr>
        <w:t xml:space="preserve"> </w:t>
      </w:r>
      <w:r w:rsidR="00293491">
        <w:rPr>
          <w:lang w:val="en-US"/>
        </w:rPr>
        <w:t xml:space="preserve">flow is measured in Litres/s, </w:t>
      </w:r>
      <w:r w:rsidR="00C77D96">
        <w:rPr>
          <w:lang w:val="en-US"/>
        </w:rPr>
        <w:t>and</w:t>
      </w:r>
      <w:r w:rsidR="00293491">
        <w:rPr>
          <w:lang w:val="en-US"/>
        </w:rPr>
        <w:t xml:space="preserve"> the load is measured in MW.</w:t>
      </w:r>
    </w:p>
    <w:p w14:paraId="28411F7F" w14:textId="63106906" w:rsidR="008A4FE6" w:rsidRDefault="008A4FE6">
      <w:pPr>
        <w:spacing w:line="259" w:lineRule="auto"/>
        <w:jc w:val="left"/>
        <w:rPr>
          <w:lang w:val="en-US"/>
        </w:rPr>
        <w:sectPr w:rsidR="008A4FE6" w:rsidSect="000A5DF8">
          <w:pgSz w:w="12240" w:h="15840"/>
          <w:pgMar w:top="1440" w:right="1440" w:bottom="1440" w:left="2160" w:header="706" w:footer="706" w:gutter="0"/>
          <w:cols w:space="708"/>
          <w:docGrid w:linePitch="360"/>
        </w:sectPr>
      </w:pPr>
    </w:p>
    <w:p w14:paraId="4394D60F" w14:textId="14613298" w:rsidR="008A4FE6" w:rsidRDefault="00820733" w:rsidP="0071536A">
      <w:pPr>
        <w:spacing w:line="259" w:lineRule="auto"/>
        <w:jc w:val="center"/>
        <w:rPr>
          <w:b/>
          <w:lang w:val="en-US"/>
        </w:rPr>
      </w:pPr>
      <w:r>
        <w:rPr>
          <w:b/>
          <w:lang w:val="en-US"/>
        </w:rPr>
        <w:t>Table 4.8</w:t>
      </w:r>
      <w:r w:rsidR="008A4FE6" w:rsidRPr="008A4FE6">
        <w:rPr>
          <w:b/>
          <w:lang w:val="en-US"/>
        </w:rPr>
        <w:t xml:space="preserve"> – Probability Distributions for</w:t>
      </w:r>
      <w:r w:rsidR="00503241">
        <w:rPr>
          <w:b/>
          <w:lang w:val="en-US"/>
        </w:rPr>
        <w:t xml:space="preserve"> Characterizing Uncertainty in</w:t>
      </w:r>
      <w:r w:rsidR="008A4FE6" w:rsidRPr="008A4FE6">
        <w:rPr>
          <w:b/>
          <w:lang w:val="en-US"/>
        </w:rPr>
        <w:t xml:space="preserve"> the Renewable Resources</w:t>
      </w:r>
      <w:r w:rsidR="00503241">
        <w:rPr>
          <w:b/>
          <w:lang w:val="en-US"/>
        </w:rPr>
        <w:t xml:space="preserve"> and Load</w:t>
      </w:r>
      <w:r w:rsidR="008A4FE6" w:rsidRPr="008A4FE6">
        <w:rPr>
          <w:b/>
          <w:lang w:val="en-US"/>
        </w:rPr>
        <w:t xml:space="preserve"> in Arandun</w:t>
      </w:r>
    </w:p>
    <w:tbl>
      <w:tblPr>
        <w:tblW w:w="0" w:type="auto"/>
        <w:jc w:val="center"/>
        <w:tblBorders>
          <w:top w:val="single" w:sz="4" w:space="0" w:color="auto"/>
          <w:bottom w:val="single" w:sz="4" w:space="0" w:color="auto"/>
        </w:tblBorders>
        <w:tblLook w:val="04A0" w:firstRow="1" w:lastRow="0" w:firstColumn="1" w:lastColumn="0" w:noHBand="0" w:noVBand="1"/>
      </w:tblPr>
      <w:tblGrid>
        <w:gridCol w:w="1243"/>
        <w:gridCol w:w="1189"/>
        <w:gridCol w:w="1189"/>
        <w:gridCol w:w="1283"/>
        <w:gridCol w:w="1283"/>
        <w:gridCol w:w="1460"/>
        <w:gridCol w:w="1520"/>
        <w:gridCol w:w="1220"/>
        <w:gridCol w:w="1520"/>
      </w:tblGrid>
      <w:tr w:rsidR="00503241" w:rsidRPr="008A4FE6" w14:paraId="718ABD63" w14:textId="77777777" w:rsidTr="0071536A">
        <w:trPr>
          <w:trHeight w:val="264"/>
          <w:jc w:val="center"/>
        </w:trPr>
        <w:tc>
          <w:tcPr>
            <w:tcW w:w="1080" w:type="dxa"/>
            <w:tcBorders>
              <w:top w:val="single" w:sz="4" w:space="0" w:color="auto"/>
              <w:bottom w:val="single" w:sz="4" w:space="0" w:color="auto"/>
            </w:tcBorders>
            <w:noWrap/>
            <w:hideMark/>
          </w:tcPr>
          <w:p w14:paraId="0D125F1E" w14:textId="6AF7999E" w:rsidR="00503241" w:rsidRPr="008A4FE6" w:rsidRDefault="00503241" w:rsidP="0035249E">
            <w:pPr>
              <w:spacing w:line="240" w:lineRule="auto"/>
              <w:jc w:val="left"/>
              <w:rPr>
                <w:lang w:val="en-US"/>
              </w:rPr>
            </w:pPr>
            <w:r>
              <w:t>Month</w:t>
            </w:r>
          </w:p>
        </w:tc>
        <w:tc>
          <w:tcPr>
            <w:tcW w:w="1120" w:type="dxa"/>
            <w:tcBorders>
              <w:top w:val="single" w:sz="4" w:space="0" w:color="auto"/>
              <w:bottom w:val="single" w:sz="4" w:space="0" w:color="auto"/>
            </w:tcBorders>
            <w:noWrap/>
            <w:hideMark/>
          </w:tcPr>
          <w:p w14:paraId="73C46776" w14:textId="48C3C6C9" w:rsidR="00503241" w:rsidRDefault="00503241" w:rsidP="0035249E">
            <w:pPr>
              <w:spacing w:line="240" w:lineRule="auto"/>
              <w:jc w:val="left"/>
            </w:pPr>
            <w:r>
              <w:t>Wind speed Weibull Scale Parameter</w:t>
            </w:r>
          </w:p>
          <w:p w14:paraId="14D7AEDC" w14:textId="5D082F52" w:rsidR="00503241" w:rsidRPr="008A4FE6" w:rsidRDefault="00503241" w:rsidP="0035249E">
            <w:pPr>
              <w:spacing w:line="240" w:lineRule="auto"/>
              <w:jc w:val="left"/>
            </w:pPr>
            <w:r>
              <w:t>(A)</w:t>
            </w:r>
          </w:p>
        </w:tc>
        <w:tc>
          <w:tcPr>
            <w:tcW w:w="1180" w:type="dxa"/>
            <w:tcBorders>
              <w:top w:val="single" w:sz="4" w:space="0" w:color="auto"/>
              <w:bottom w:val="single" w:sz="4" w:space="0" w:color="auto"/>
            </w:tcBorders>
            <w:noWrap/>
            <w:hideMark/>
          </w:tcPr>
          <w:p w14:paraId="315BE0CD" w14:textId="7A0FF425" w:rsidR="00503241" w:rsidRPr="008A4FE6" w:rsidRDefault="00503241" w:rsidP="0035249E">
            <w:pPr>
              <w:spacing w:line="240" w:lineRule="auto"/>
              <w:jc w:val="left"/>
            </w:pPr>
            <w:r>
              <w:t>Wind speed Weibull Shape Parameter (B)</w:t>
            </w:r>
          </w:p>
        </w:tc>
        <w:tc>
          <w:tcPr>
            <w:tcW w:w="820" w:type="dxa"/>
            <w:tcBorders>
              <w:top w:val="single" w:sz="4" w:space="0" w:color="auto"/>
              <w:bottom w:val="single" w:sz="4" w:space="0" w:color="auto"/>
            </w:tcBorders>
            <w:noWrap/>
            <w:hideMark/>
          </w:tcPr>
          <w:p w14:paraId="2CCBD8C3" w14:textId="04571482" w:rsidR="00503241" w:rsidRPr="008A4FE6" w:rsidRDefault="00503241" w:rsidP="0035249E">
            <w:pPr>
              <w:spacing w:line="240" w:lineRule="auto"/>
              <w:jc w:val="left"/>
            </w:pPr>
            <w:r>
              <w:t>Irradiance Lognormal (mu)</w:t>
            </w:r>
          </w:p>
        </w:tc>
        <w:tc>
          <w:tcPr>
            <w:tcW w:w="1120" w:type="dxa"/>
            <w:tcBorders>
              <w:top w:val="single" w:sz="4" w:space="0" w:color="auto"/>
              <w:bottom w:val="single" w:sz="4" w:space="0" w:color="auto"/>
            </w:tcBorders>
            <w:noWrap/>
            <w:hideMark/>
          </w:tcPr>
          <w:p w14:paraId="234784D6" w14:textId="17878DD9" w:rsidR="00503241" w:rsidRPr="008A4FE6" w:rsidRDefault="00C77D96" w:rsidP="0035249E">
            <w:pPr>
              <w:spacing w:line="240" w:lineRule="auto"/>
              <w:jc w:val="left"/>
            </w:pPr>
            <w:r>
              <w:t>Irradiance Lognormal (s</w:t>
            </w:r>
            <w:r w:rsidR="00503241">
              <w:t>igma)</w:t>
            </w:r>
          </w:p>
        </w:tc>
        <w:tc>
          <w:tcPr>
            <w:tcW w:w="1460" w:type="dxa"/>
            <w:tcBorders>
              <w:top w:val="single" w:sz="4" w:space="0" w:color="auto"/>
              <w:bottom w:val="single" w:sz="4" w:space="0" w:color="auto"/>
            </w:tcBorders>
            <w:noWrap/>
            <w:hideMark/>
          </w:tcPr>
          <w:p w14:paraId="09BFD0F9" w14:textId="7B5FCD96" w:rsidR="00503241" w:rsidRPr="008A4FE6" w:rsidRDefault="00503241" w:rsidP="0035249E">
            <w:pPr>
              <w:spacing w:line="240" w:lineRule="auto"/>
              <w:jc w:val="left"/>
            </w:pPr>
            <w:r>
              <w:t>Streamflow Gumbel Distribution Location Parameter (mu)</w:t>
            </w:r>
          </w:p>
        </w:tc>
        <w:tc>
          <w:tcPr>
            <w:tcW w:w="1520" w:type="dxa"/>
            <w:tcBorders>
              <w:top w:val="single" w:sz="4" w:space="0" w:color="auto"/>
              <w:bottom w:val="single" w:sz="4" w:space="0" w:color="auto"/>
            </w:tcBorders>
            <w:noWrap/>
            <w:hideMark/>
          </w:tcPr>
          <w:p w14:paraId="1EC0A206" w14:textId="578D6514" w:rsidR="00503241" w:rsidRPr="008A4FE6" w:rsidRDefault="00503241" w:rsidP="0035249E">
            <w:pPr>
              <w:spacing w:line="240" w:lineRule="auto"/>
              <w:jc w:val="left"/>
            </w:pPr>
            <w:r>
              <w:t>Streamflow Gumbel Distribution Scale Parameter (sigma)</w:t>
            </w:r>
          </w:p>
        </w:tc>
        <w:tc>
          <w:tcPr>
            <w:tcW w:w="1220" w:type="dxa"/>
            <w:tcBorders>
              <w:top w:val="single" w:sz="4" w:space="0" w:color="auto"/>
              <w:bottom w:val="single" w:sz="4" w:space="0" w:color="auto"/>
            </w:tcBorders>
            <w:noWrap/>
            <w:hideMark/>
          </w:tcPr>
          <w:p w14:paraId="7515C15E" w14:textId="6A6129B4" w:rsidR="00503241" w:rsidRDefault="00503241" w:rsidP="0035249E">
            <w:pPr>
              <w:spacing w:line="240" w:lineRule="auto"/>
              <w:jc w:val="left"/>
            </w:pPr>
            <w:r>
              <w:t xml:space="preserve">Load </w:t>
            </w:r>
            <w:r w:rsidRPr="008A4FE6">
              <w:t>Gaussian</w:t>
            </w:r>
          </w:p>
          <w:p w14:paraId="5F14712E" w14:textId="28C2CB22" w:rsidR="00503241" w:rsidRPr="008A4FE6" w:rsidRDefault="00503241" w:rsidP="0035249E">
            <w:pPr>
              <w:spacing w:line="240" w:lineRule="auto"/>
              <w:jc w:val="left"/>
            </w:pPr>
            <w:r>
              <w:t>Mean (mu)</w:t>
            </w:r>
          </w:p>
        </w:tc>
        <w:tc>
          <w:tcPr>
            <w:tcW w:w="1520" w:type="dxa"/>
            <w:tcBorders>
              <w:top w:val="single" w:sz="4" w:space="0" w:color="auto"/>
              <w:bottom w:val="single" w:sz="4" w:space="0" w:color="auto"/>
            </w:tcBorders>
            <w:noWrap/>
            <w:hideMark/>
          </w:tcPr>
          <w:p w14:paraId="2E46E9F9" w14:textId="5F32347F" w:rsidR="00503241" w:rsidRPr="008A4FE6" w:rsidRDefault="00503241" w:rsidP="00C77D96">
            <w:pPr>
              <w:spacing w:line="240" w:lineRule="auto"/>
              <w:jc w:val="left"/>
            </w:pPr>
            <w:r>
              <w:t xml:space="preserve">Load </w:t>
            </w:r>
            <w:r w:rsidRPr="008A4FE6">
              <w:t>Gaussian</w:t>
            </w:r>
            <w:r>
              <w:t xml:space="preserve"> </w:t>
            </w:r>
            <w:r w:rsidRPr="008A4FE6">
              <w:t>S</w:t>
            </w:r>
            <w:r>
              <w:t>tandard Deviation (</w:t>
            </w:r>
            <w:r w:rsidR="00C77D96">
              <w:t>s</w:t>
            </w:r>
            <w:r w:rsidRPr="008A4FE6">
              <w:t>igma</w:t>
            </w:r>
            <w:r>
              <w:t>)</w:t>
            </w:r>
          </w:p>
        </w:tc>
      </w:tr>
      <w:tr w:rsidR="00503241" w:rsidRPr="008A4FE6" w14:paraId="533A5927" w14:textId="77777777" w:rsidTr="0071536A">
        <w:trPr>
          <w:trHeight w:val="264"/>
          <w:jc w:val="center"/>
        </w:trPr>
        <w:tc>
          <w:tcPr>
            <w:tcW w:w="1080" w:type="dxa"/>
            <w:tcBorders>
              <w:top w:val="single" w:sz="4" w:space="0" w:color="auto"/>
            </w:tcBorders>
            <w:noWrap/>
            <w:hideMark/>
          </w:tcPr>
          <w:p w14:paraId="72906730" w14:textId="77777777" w:rsidR="00503241" w:rsidRPr="008A4FE6" w:rsidRDefault="00503241" w:rsidP="0035249E">
            <w:pPr>
              <w:spacing w:line="240" w:lineRule="auto"/>
              <w:jc w:val="left"/>
            </w:pPr>
            <w:r w:rsidRPr="008A4FE6">
              <w:t>January</w:t>
            </w:r>
          </w:p>
        </w:tc>
        <w:tc>
          <w:tcPr>
            <w:tcW w:w="1120" w:type="dxa"/>
            <w:tcBorders>
              <w:top w:val="single" w:sz="4" w:space="0" w:color="auto"/>
            </w:tcBorders>
            <w:noWrap/>
            <w:hideMark/>
          </w:tcPr>
          <w:p w14:paraId="28D38FC1" w14:textId="77777777" w:rsidR="00503241" w:rsidRPr="008A4FE6" w:rsidRDefault="00503241" w:rsidP="0035249E">
            <w:pPr>
              <w:spacing w:line="240" w:lineRule="auto"/>
              <w:jc w:val="left"/>
            </w:pPr>
            <w:r w:rsidRPr="008A4FE6">
              <w:t>4.24</w:t>
            </w:r>
          </w:p>
        </w:tc>
        <w:tc>
          <w:tcPr>
            <w:tcW w:w="1180" w:type="dxa"/>
            <w:tcBorders>
              <w:top w:val="single" w:sz="4" w:space="0" w:color="auto"/>
            </w:tcBorders>
            <w:noWrap/>
            <w:hideMark/>
          </w:tcPr>
          <w:p w14:paraId="573EA791" w14:textId="77777777" w:rsidR="00503241" w:rsidRPr="008A4FE6" w:rsidRDefault="00503241" w:rsidP="0035249E">
            <w:pPr>
              <w:spacing w:line="240" w:lineRule="auto"/>
              <w:jc w:val="left"/>
            </w:pPr>
            <w:r w:rsidRPr="008A4FE6">
              <w:t>2.30</w:t>
            </w:r>
          </w:p>
        </w:tc>
        <w:tc>
          <w:tcPr>
            <w:tcW w:w="820" w:type="dxa"/>
            <w:tcBorders>
              <w:top w:val="single" w:sz="4" w:space="0" w:color="auto"/>
            </w:tcBorders>
            <w:noWrap/>
            <w:hideMark/>
          </w:tcPr>
          <w:p w14:paraId="19AF5852" w14:textId="77777777" w:rsidR="00503241" w:rsidRPr="008A4FE6" w:rsidRDefault="00503241" w:rsidP="0035249E">
            <w:pPr>
              <w:spacing w:line="240" w:lineRule="auto"/>
              <w:jc w:val="left"/>
            </w:pPr>
            <w:r w:rsidRPr="008A4FE6">
              <w:t>-15.20</w:t>
            </w:r>
          </w:p>
        </w:tc>
        <w:tc>
          <w:tcPr>
            <w:tcW w:w="1120" w:type="dxa"/>
            <w:tcBorders>
              <w:top w:val="single" w:sz="4" w:space="0" w:color="auto"/>
            </w:tcBorders>
            <w:noWrap/>
            <w:hideMark/>
          </w:tcPr>
          <w:p w14:paraId="76DBF1D1" w14:textId="77777777" w:rsidR="00503241" w:rsidRPr="008A4FE6" w:rsidRDefault="00503241" w:rsidP="0035249E">
            <w:pPr>
              <w:spacing w:line="240" w:lineRule="auto"/>
              <w:jc w:val="left"/>
            </w:pPr>
            <w:r w:rsidRPr="008A4FE6">
              <w:t>20.86</w:t>
            </w:r>
          </w:p>
        </w:tc>
        <w:tc>
          <w:tcPr>
            <w:tcW w:w="1460" w:type="dxa"/>
            <w:tcBorders>
              <w:top w:val="single" w:sz="4" w:space="0" w:color="auto"/>
            </w:tcBorders>
            <w:noWrap/>
            <w:hideMark/>
          </w:tcPr>
          <w:p w14:paraId="6ED8C952" w14:textId="77777777" w:rsidR="00503241" w:rsidRPr="008A4FE6" w:rsidRDefault="00503241" w:rsidP="0035249E">
            <w:pPr>
              <w:spacing w:line="240" w:lineRule="auto"/>
              <w:jc w:val="left"/>
            </w:pPr>
            <w:r w:rsidRPr="008A4FE6">
              <w:t>261.71</w:t>
            </w:r>
          </w:p>
        </w:tc>
        <w:tc>
          <w:tcPr>
            <w:tcW w:w="1520" w:type="dxa"/>
            <w:tcBorders>
              <w:top w:val="single" w:sz="4" w:space="0" w:color="auto"/>
            </w:tcBorders>
            <w:noWrap/>
            <w:hideMark/>
          </w:tcPr>
          <w:p w14:paraId="0DB04C4C" w14:textId="77777777" w:rsidR="00503241" w:rsidRPr="008A4FE6" w:rsidRDefault="00503241" w:rsidP="0035249E">
            <w:pPr>
              <w:spacing w:line="240" w:lineRule="auto"/>
              <w:jc w:val="left"/>
            </w:pPr>
            <w:r w:rsidRPr="008A4FE6">
              <w:t>25.32</w:t>
            </w:r>
          </w:p>
        </w:tc>
        <w:tc>
          <w:tcPr>
            <w:tcW w:w="1220" w:type="dxa"/>
            <w:tcBorders>
              <w:top w:val="single" w:sz="4" w:space="0" w:color="auto"/>
            </w:tcBorders>
            <w:noWrap/>
            <w:hideMark/>
          </w:tcPr>
          <w:p w14:paraId="3F6BBCAD" w14:textId="77777777" w:rsidR="00503241" w:rsidRPr="008A4FE6" w:rsidRDefault="00503241" w:rsidP="0035249E">
            <w:pPr>
              <w:spacing w:line="240" w:lineRule="auto"/>
              <w:jc w:val="left"/>
            </w:pPr>
            <w:r w:rsidRPr="008A4FE6">
              <w:t>1.09</w:t>
            </w:r>
          </w:p>
        </w:tc>
        <w:tc>
          <w:tcPr>
            <w:tcW w:w="1520" w:type="dxa"/>
            <w:tcBorders>
              <w:top w:val="single" w:sz="4" w:space="0" w:color="auto"/>
            </w:tcBorders>
            <w:noWrap/>
            <w:hideMark/>
          </w:tcPr>
          <w:p w14:paraId="2332141D" w14:textId="77777777" w:rsidR="00503241" w:rsidRPr="008A4FE6" w:rsidRDefault="00503241" w:rsidP="0035249E">
            <w:pPr>
              <w:spacing w:line="240" w:lineRule="auto"/>
              <w:jc w:val="left"/>
            </w:pPr>
            <w:r w:rsidRPr="008A4FE6">
              <w:t>0.52</w:t>
            </w:r>
          </w:p>
        </w:tc>
      </w:tr>
      <w:tr w:rsidR="00503241" w:rsidRPr="008A4FE6" w14:paraId="7F03035B" w14:textId="77777777" w:rsidTr="0071536A">
        <w:trPr>
          <w:trHeight w:val="264"/>
          <w:jc w:val="center"/>
        </w:trPr>
        <w:tc>
          <w:tcPr>
            <w:tcW w:w="1080" w:type="dxa"/>
            <w:noWrap/>
            <w:hideMark/>
          </w:tcPr>
          <w:p w14:paraId="007B04FD" w14:textId="77777777" w:rsidR="00503241" w:rsidRPr="008A4FE6" w:rsidRDefault="00503241" w:rsidP="0035249E">
            <w:pPr>
              <w:spacing w:line="240" w:lineRule="auto"/>
              <w:jc w:val="left"/>
            </w:pPr>
            <w:r w:rsidRPr="008A4FE6">
              <w:t>February</w:t>
            </w:r>
          </w:p>
        </w:tc>
        <w:tc>
          <w:tcPr>
            <w:tcW w:w="1120" w:type="dxa"/>
            <w:noWrap/>
            <w:hideMark/>
          </w:tcPr>
          <w:p w14:paraId="0A7B0CE5" w14:textId="77777777" w:rsidR="00503241" w:rsidRPr="008A4FE6" w:rsidRDefault="00503241" w:rsidP="0035249E">
            <w:pPr>
              <w:spacing w:line="240" w:lineRule="auto"/>
              <w:jc w:val="left"/>
            </w:pPr>
            <w:r w:rsidRPr="008A4FE6">
              <w:t>4.52</w:t>
            </w:r>
          </w:p>
        </w:tc>
        <w:tc>
          <w:tcPr>
            <w:tcW w:w="1180" w:type="dxa"/>
            <w:noWrap/>
            <w:hideMark/>
          </w:tcPr>
          <w:p w14:paraId="2DAA5C66" w14:textId="77777777" w:rsidR="00503241" w:rsidRPr="008A4FE6" w:rsidRDefault="00503241" w:rsidP="0035249E">
            <w:pPr>
              <w:spacing w:line="240" w:lineRule="auto"/>
              <w:jc w:val="left"/>
            </w:pPr>
            <w:r w:rsidRPr="008A4FE6">
              <w:t>2.51</w:t>
            </w:r>
          </w:p>
        </w:tc>
        <w:tc>
          <w:tcPr>
            <w:tcW w:w="820" w:type="dxa"/>
            <w:noWrap/>
            <w:hideMark/>
          </w:tcPr>
          <w:p w14:paraId="7BA784AA" w14:textId="77777777" w:rsidR="00503241" w:rsidRPr="008A4FE6" w:rsidRDefault="00503241" w:rsidP="0035249E">
            <w:pPr>
              <w:spacing w:line="240" w:lineRule="auto"/>
              <w:jc w:val="left"/>
            </w:pPr>
            <w:r w:rsidRPr="008A4FE6">
              <w:t>-15.18</w:t>
            </w:r>
          </w:p>
        </w:tc>
        <w:tc>
          <w:tcPr>
            <w:tcW w:w="1120" w:type="dxa"/>
            <w:noWrap/>
            <w:hideMark/>
          </w:tcPr>
          <w:p w14:paraId="64995A84" w14:textId="77777777" w:rsidR="00503241" w:rsidRPr="008A4FE6" w:rsidRDefault="00503241" w:rsidP="0035249E">
            <w:pPr>
              <w:spacing w:line="240" w:lineRule="auto"/>
              <w:jc w:val="left"/>
            </w:pPr>
            <w:r w:rsidRPr="008A4FE6">
              <w:t>20.88</w:t>
            </w:r>
          </w:p>
        </w:tc>
        <w:tc>
          <w:tcPr>
            <w:tcW w:w="1460" w:type="dxa"/>
            <w:noWrap/>
            <w:hideMark/>
          </w:tcPr>
          <w:p w14:paraId="6A3259A2" w14:textId="77777777" w:rsidR="00503241" w:rsidRPr="008A4FE6" w:rsidRDefault="00503241" w:rsidP="0035249E">
            <w:pPr>
              <w:spacing w:line="240" w:lineRule="auto"/>
              <w:jc w:val="left"/>
            </w:pPr>
            <w:r w:rsidRPr="008A4FE6">
              <w:t>265.69</w:t>
            </w:r>
          </w:p>
        </w:tc>
        <w:tc>
          <w:tcPr>
            <w:tcW w:w="1520" w:type="dxa"/>
            <w:noWrap/>
            <w:hideMark/>
          </w:tcPr>
          <w:p w14:paraId="28A59A55" w14:textId="77777777" w:rsidR="00503241" w:rsidRPr="008A4FE6" w:rsidRDefault="00503241" w:rsidP="0035249E">
            <w:pPr>
              <w:spacing w:line="240" w:lineRule="auto"/>
              <w:jc w:val="left"/>
            </w:pPr>
            <w:r w:rsidRPr="008A4FE6">
              <w:t>21.89</w:t>
            </w:r>
          </w:p>
        </w:tc>
        <w:tc>
          <w:tcPr>
            <w:tcW w:w="1220" w:type="dxa"/>
            <w:noWrap/>
            <w:hideMark/>
          </w:tcPr>
          <w:p w14:paraId="741E79BB" w14:textId="77777777" w:rsidR="00503241" w:rsidRPr="008A4FE6" w:rsidRDefault="00503241" w:rsidP="0035249E">
            <w:pPr>
              <w:spacing w:line="240" w:lineRule="auto"/>
              <w:jc w:val="left"/>
            </w:pPr>
            <w:r w:rsidRPr="008A4FE6">
              <w:t>1.09</w:t>
            </w:r>
          </w:p>
        </w:tc>
        <w:tc>
          <w:tcPr>
            <w:tcW w:w="1520" w:type="dxa"/>
            <w:noWrap/>
            <w:hideMark/>
          </w:tcPr>
          <w:p w14:paraId="5030E661" w14:textId="77777777" w:rsidR="00503241" w:rsidRPr="008A4FE6" w:rsidRDefault="00503241" w:rsidP="0035249E">
            <w:pPr>
              <w:spacing w:line="240" w:lineRule="auto"/>
              <w:jc w:val="left"/>
            </w:pPr>
            <w:r w:rsidRPr="008A4FE6">
              <w:t>0.54</w:t>
            </w:r>
          </w:p>
        </w:tc>
      </w:tr>
      <w:tr w:rsidR="00503241" w:rsidRPr="008A4FE6" w14:paraId="3D38C922" w14:textId="77777777" w:rsidTr="0071536A">
        <w:trPr>
          <w:trHeight w:val="264"/>
          <w:jc w:val="center"/>
        </w:trPr>
        <w:tc>
          <w:tcPr>
            <w:tcW w:w="1080" w:type="dxa"/>
            <w:noWrap/>
            <w:hideMark/>
          </w:tcPr>
          <w:p w14:paraId="31A4BE62" w14:textId="77777777" w:rsidR="00503241" w:rsidRPr="008A4FE6" w:rsidRDefault="00503241" w:rsidP="0035249E">
            <w:pPr>
              <w:spacing w:line="240" w:lineRule="auto"/>
              <w:jc w:val="left"/>
            </w:pPr>
            <w:r w:rsidRPr="008A4FE6">
              <w:t>March</w:t>
            </w:r>
          </w:p>
        </w:tc>
        <w:tc>
          <w:tcPr>
            <w:tcW w:w="1120" w:type="dxa"/>
            <w:noWrap/>
            <w:hideMark/>
          </w:tcPr>
          <w:p w14:paraId="1828870D" w14:textId="77777777" w:rsidR="00503241" w:rsidRPr="008A4FE6" w:rsidRDefault="00503241" w:rsidP="0035249E">
            <w:pPr>
              <w:spacing w:line="240" w:lineRule="auto"/>
              <w:jc w:val="left"/>
            </w:pPr>
            <w:r w:rsidRPr="008A4FE6">
              <w:t>5.04</w:t>
            </w:r>
          </w:p>
        </w:tc>
        <w:tc>
          <w:tcPr>
            <w:tcW w:w="1180" w:type="dxa"/>
            <w:noWrap/>
            <w:hideMark/>
          </w:tcPr>
          <w:p w14:paraId="65D1C235" w14:textId="77777777" w:rsidR="00503241" w:rsidRPr="008A4FE6" w:rsidRDefault="00503241" w:rsidP="0035249E">
            <w:pPr>
              <w:spacing w:line="240" w:lineRule="auto"/>
              <w:jc w:val="left"/>
            </w:pPr>
            <w:r w:rsidRPr="008A4FE6">
              <w:t>2.80</w:t>
            </w:r>
          </w:p>
        </w:tc>
        <w:tc>
          <w:tcPr>
            <w:tcW w:w="820" w:type="dxa"/>
            <w:noWrap/>
            <w:hideMark/>
          </w:tcPr>
          <w:p w14:paraId="3B1445D8" w14:textId="77777777" w:rsidR="00503241" w:rsidRPr="008A4FE6" w:rsidRDefault="00503241" w:rsidP="0035249E">
            <w:pPr>
              <w:spacing w:line="240" w:lineRule="auto"/>
              <w:jc w:val="left"/>
            </w:pPr>
            <w:r w:rsidRPr="008A4FE6">
              <w:t>-15.14</w:t>
            </w:r>
          </w:p>
        </w:tc>
        <w:tc>
          <w:tcPr>
            <w:tcW w:w="1120" w:type="dxa"/>
            <w:noWrap/>
            <w:hideMark/>
          </w:tcPr>
          <w:p w14:paraId="13C83A1A" w14:textId="77777777" w:rsidR="00503241" w:rsidRPr="008A4FE6" w:rsidRDefault="00503241" w:rsidP="0035249E">
            <w:pPr>
              <w:spacing w:line="240" w:lineRule="auto"/>
              <w:jc w:val="left"/>
            </w:pPr>
            <w:r w:rsidRPr="008A4FE6">
              <w:t>20.91</w:t>
            </w:r>
          </w:p>
        </w:tc>
        <w:tc>
          <w:tcPr>
            <w:tcW w:w="1460" w:type="dxa"/>
            <w:noWrap/>
            <w:hideMark/>
          </w:tcPr>
          <w:p w14:paraId="0369A7A1" w14:textId="77777777" w:rsidR="00503241" w:rsidRPr="008A4FE6" w:rsidRDefault="00503241" w:rsidP="0035249E">
            <w:pPr>
              <w:spacing w:line="240" w:lineRule="auto"/>
              <w:jc w:val="left"/>
            </w:pPr>
            <w:r w:rsidRPr="008A4FE6">
              <w:t>1889.37</w:t>
            </w:r>
          </w:p>
        </w:tc>
        <w:tc>
          <w:tcPr>
            <w:tcW w:w="1520" w:type="dxa"/>
            <w:noWrap/>
            <w:hideMark/>
          </w:tcPr>
          <w:p w14:paraId="0750771A" w14:textId="77777777" w:rsidR="00503241" w:rsidRPr="008A4FE6" w:rsidRDefault="00503241" w:rsidP="0035249E">
            <w:pPr>
              <w:spacing w:line="240" w:lineRule="auto"/>
              <w:jc w:val="left"/>
            </w:pPr>
            <w:r w:rsidRPr="008A4FE6">
              <w:t>188.18</w:t>
            </w:r>
          </w:p>
        </w:tc>
        <w:tc>
          <w:tcPr>
            <w:tcW w:w="1220" w:type="dxa"/>
            <w:noWrap/>
            <w:hideMark/>
          </w:tcPr>
          <w:p w14:paraId="34F5C8FC" w14:textId="77777777" w:rsidR="00503241" w:rsidRPr="008A4FE6" w:rsidRDefault="00503241" w:rsidP="0035249E">
            <w:pPr>
              <w:spacing w:line="240" w:lineRule="auto"/>
              <w:jc w:val="left"/>
            </w:pPr>
            <w:r w:rsidRPr="008A4FE6">
              <w:t>1.02</w:t>
            </w:r>
          </w:p>
        </w:tc>
        <w:tc>
          <w:tcPr>
            <w:tcW w:w="1520" w:type="dxa"/>
            <w:noWrap/>
            <w:hideMark/>
          </w:tcPr>
          <w:p w14:paraId="542C2949" w14:textId="77777777" w:rsidR="00503241" w:rsidRPr="008A4FE6" w:rsidRDefault="00503241" w:rsidP="0035249E">
            <w:pPr>
              <w:spacing w:line="240" w:lineRule="auto"/>
              <w:jc w:val="left"/>
            </w:pPr>
            <w:r w:rsidRPr="008A4FE6">
              <w:t>0.51</w:t>
            </w:r>
          </w:p>
        </w:tc>
      </w:tr>
      <w:tr w:rsidR="00503241" w:rsidRPr="008A4FE6" w14:paraId="6F4AB34E" w14:textId="77777777" w:rsidTr="0071536A">
        <w:trPr>
          <w:trHeight w:val="264"/>
          <w:jc w:val="center"/>
        </w:trPr>
        <w:tc>
          <w:tcPr>
            <w:tcW w:w="1080" w:type="dxa"/>
            <w:noWrap/>
            <w:hideMark/>
          </w:tcPr>
          <w:p w14:paraId="4689019B" w14:textId="77777777" w:rsidR="00503241" w:rsidRPr="008A4FE6" w:rsidRDefault="00503241" w:rsidP="0035249E">
            <w:pPr>
              <w:spacing w:line="240" w:lineRule="auto"/>
              <w:jc w:val="left"/>
            </w:pPr>
            <w:r w:rsidRPr="008A4FE6">
              <w:t>April</w:t>
            </w:r>
          </w:p>
        </w:tc>
        <w:tc>
          <w:tcPr>
            <w:tcW w:w="1120" w:type="dxa"/>
            <w:noWrap/>
            <w:hideMark/>
          </w:tcPr>
          <w:p w14:paraId="110F7280" w14:textId="77777777" w:rsidR="00503241" w:rsidRPr="008A4FE6" w:rsidRDefault="00503241" w:rsidP="0035249E">
            <w:pPr>
              <w:spacing w:line="240" w:lineRule="auto"/>
              <w:jc w:val="left"/>
            </w:pPr>
            <w:r w:rsidRPr="008A4FE6">
              <w:t>5.30</w:t>
            </w:r>
          </w:p>
        </w:tc>
        <w:tc>
          <w:tcPr>
            <w:tcW w:w="1180" w:type="dxa"/>
            <w:noWrap/>
            <w:hideMark/>
          </w:tcPr>
          <w:p w14:paraId="18A84E27" w14:textId="77777777" w:rsidR="00503241" w:rsidRPr="008A4FE6" w:rsidRDefault="00503241" w:rsidP="0035249E">
            <w:pPr>
              <w:spacing w:line="240" w:lineRule="auto"/>
              <w:jc w:val="left"/>
            </w:pPr>
            <w:r w:rsidRPr="008A4FE6">
              <w:t>3.39</w:t>
            </w:r>
          </w:p>
        </w:tc>
        <w:tc>
          <w:tcPr>
            <w:tcW w:w="820" w:type="dxa"/>
            <w:noWrap/>
            <w:hideMark/>
          </w:tcPr>
          <w:p w14:paraId="0BCAE3BF" w14:textId="77777777" w:rsidR="00503241" w:rsidRPr="008A4FE6" w:rsidRDefault="00503241" w:rsidP="0035249E">
            <w:pPr>
              <w:spacing w:line="240" w:lineRule="auto"/>
              <w:jc w:val="left"/>
            </w:pPr>
            <w:r w:rsidRPr="008A4FE6">
              <w:t>-13.56</w:t>
            </w:r>
          </w:p>
        </w:tc>
        <w:tc>
          <w:tcPr>
            <w:tcW w:w="1120" w:type="dxa"/>
            <w:noWrap/>
            <w:hideMark/>
          </w:tcPr>
          <w:p w14:paraId="018FC4FF" w14:textId="77777777" w:rsidR="00503241" w:rsidRPr="008A4FE6" w:rsidRDefault="00503241" w:rsidP="0035249E">
            <w:pPr>
              <w:spacing w:line="240" w:lineRule="auto"/>
              <w:jc w:val="left"/>
            </w:pPr>
            <w:r w:rsidRPr="008A4FE6">
              <w:t>20.73</w:t>
            </w:r>
          </w:p>
        </w:tc>
        <w:tc>
          <w:tcPr>
            <w:tcW w:w="1460" w:type="dxa"/>
            <w:noWrap/>
            <w:hideMark/>
          </w:tcPr>
          <w:p w14:paraId="03851D5E" w14:textId="77777777" w:rsidR="00503241" w:rsidRPr="008A4FE6" w:rsidRDefault="00503241" w:rsidP="0035249E">
            <w:pPr>
              <w:spacing w:line="240" w:lineRule="auto"/>
              <w:jc w:val="left"/>
            </w:pPr>
            <w:r w:rsidRPr="008A4FE6">
              <w:t>5454.53</w:t>
            </w:r>
          </w:p>
        </w:tc>
        <w:tc>
          <w:tcPr>
            <w:tcW w:w="1520" w:type="dxa"/>
            <w:noWrap/>
            <w:hideMark/>
          </w:tcPr>
          <w:p w14:paraId="24C45181" w14:textId="77777777" w:rsidR="00503241" w:rsidRPr="008A4FE6" w:rsidRDefault="00503241" w:rsidP="0035249E">
            <w:pPr>
              <w:spacing w:line="240" w:lineRule="auto"/>
              <w:jc w:val="left"/>
            </w:pPr>
            <w:r w:rsidRPr="008A4FE6">
              <w:t>541.46</w:t>
            </w:r>
          </w:p>
        </w:tc>
        <w:tc>
          <w:tcPr>
            <w:tcW w:w="1220" w:type="dxa"/>
            <w:noWrap/>
            <w:hideMark/>
          </w:tcPr>
          <w:p w14:paraId="1A77833C" w14:textId="77777777" w:rsidR="00503241" w:rsidRPr="008A4FE6" w:rsidRDefault="00503241" w:rsidP="0035249E">
            <w:pPr>
              <w:spacing w:line="240" w:lineRule="auto"/>
              <w:jc w:val="left"/>
            </w:pPr>
            <w:r w:rsidRPr="008A4FE6">
              <w:t>0.92</w:t>
            </w:r>
          </w:p>
        </w:tc>
        <w:tc>
          <w:tcPr>
            <w:tcW w:w="1520" w:type="dxa"/>
            <w:noWrap/>
            <w:hideMark/>
          </w:tcPr>
          <w:p w14:paraId="75F26647" w14:textId="77777777" w:rsidR="00503241" w:rsidRPr="008A4FE6" w:rsidRDefault="00503241" w:rsidP="0035249E">
            <w:pPr>
              <w:spacing w:line="240" w:lineRule="auto"/>
              <w:jc w:val="left"/>
            </w:pPr>
            <w:r w:rsidRPr="008A4FE6">
              <w:t>0.51</w:t>
            </w:r>
          </w:p>
        </w:tc>
      </w:tr>
      <w:tr w:rsidR="00503241" w:rsidRPr="008A4FE6" w14:paraId="2118D7C0" w14:textId="77777777" w:rsidTr="0071536A">
        <w:trPr>
          <w:trHeight w:val="264"/>
          <w:jc w:val="center"/>
        </w:trPr>
        <w:tc>
          <w:tcPr>
            <w:tcW w:w="1080" w:type="dxa"/>
            <w:noWrap/>
            <w:hideMark/>
          </w:tcPr>
          <w:p w14:paraId="1FCDA329" w14:textId="77777777" w:rsidR="00503241" w:rsidRPr="008A4FE6" w:rsidRDefault="00503241" w:rsidP="0035249E">
            <w:pPr>
              <w:spacing w:line="240" w:lineRule="auto"/>
              <w:jc w:val="left"/>
            </w:pPr>
            <w:r w:rsidRPr="008A4FE6">
              <w:t>May</w:t>
            </w:r>
          </w:p>
        </w:tc>
        <w:tc>
          <w:tcPr>
            <w:tcW w:w="1120" w:type="dxa"/>
            <w:noWrap/>
            <w:hideMark/>
          </w:tcPr>
          <w:p w14:paraId="2EF91E0F" w14:textId="77777777" w:rsidR="00503241" w:rsidRPr="008A4FE6" w:rsidRDefault="00503241" w:rsidP="0035249E">
            <w:pPr>
              <w:spacing w:line="240" w:lineRule="auto"/>
              <w:jc w:val="left"/>
            </w:pPr>
            <w:r w:rsidRPr="008A4FE6">
              <w:t>4.87</w:t>
            </w:r>
          </w:p>
        </w:tc>
        <w:tc>
          <w:tcPr>
            <w:tcW w:w="1180" w:type="dxa"/>
            <w:noWrap/>
            <w:hideMark/>
          </w:tcPr>
          <w:p w14:paraId="2602E7D6" w14:textId="77777777" w:rsidR="00503241" w:rsidRPr="008A4FE6" w:rsidRDefault="00503241" w:rsidP="0035249E">
            <w:pPr>
              <w:spacing w:line="240" w:lineRule="auto"/>
              <w:jc w:val="left"/>
            </w:pPr>
            <w:r w:rsidRPr="008A4FE6">
              <w:t>3.40</w:t>
            </w:r>
          </w:p>
        </w:tc>
        <w:tc>
          <w:tcPr>
            <w:tcW w:w="820" w:type="dxa"/>
            <w:noWrap/>
            <w:hideMark/>
          </w:tcPr>
          <w:p w14:paraId="5884D408" w14:textId="77777777" w:rsidR="00503241" w:rsidRPr="008A4FE6" w:rsidRDefault="00503241" w:rsidP="0035249E">
            <w:pPr>
              <w:spacing w:line="240" w:lineRule="auto"/>
              <w:jc w:val="left"/>
            </w:pPr>
            <w:r w:rsidRPr="008A4FE6">
              <w:t>-13.54</w:t>
            </w:r>
          </w:p>
        </w:tc>
        <w:tc>
          <w:tcPr>
            <w:tcW w:w="1120" w:type="dxa"/>
            <w:noWrap/>
            <w:hideMark/>
          </w:tcPr>
          <w:p w14:paraId="7AC72832" w14:textId="77777777" w:rsidR="00503241" w:rsidRPr="008A4FE6" w:rsidRDefault="00503241" w:rsidP="0035249E">
            <w:pPr>
              <w:spacing w:line="240" w:lineRule="auto"/>
              <w:jc w:val="left"/>
            </w:pPr>
            <w:r w:rsidRPr="008A4FE6">
              <w:t>20.72</w:t>
            </w:r>
          </w:p>
        </w:tc>
        <w:tc>
          <w:tcPr>
            <w:tcW w:w="1460" w:type="dxa"/>
            <w:noWrap/>
            <w:hideMark/>
          </w:tcPr>
          <w:p w14:paraId="455DF894" w14:textId="77777777" w:rsidR="00503241" w:rsidRPr="008A4FE6" w:rsidRDefault="00503241" w:rsidP="0035249E">
            <w:pPr>
              <w:spacing w:line="240" w:lineRule="auto"/>
              <w:jc w:val="left"/>
            </w:pPr>
            <w:r w:rsidRPr="008A4FE6">
              <w:t>8565.49</w:t>
            </w:r>
          </w:p>
        </w:tc>
        <w:tc>
          <w:tcPr>
            <w:tcW w:w="1520" w:type="dxa"/>
            <w:noWrap/>
            <w:hideMark/>
          </w:tcPr>
          <w:p w14:paraId="41162DB1" w14:textId="77777777" w:rsidR="00503241" w:rsidRPr="008A4FE6" w:rsidRDefault="00503241" w:rsidP="0035249E">
            <w:pPr>
              <w:spacing w:line="240" w:lineRule="auto"/>
              <w:jc w:val="left"/>
            </w:pPr>
            <w:r w:rsidRPr="008A4FE6">
              <w:t>789.45</w:t>
            </w:r>
          </w:p>
        </w:tc>
        <w:tc>
          <w:tcPr>
            <w:tcW w:w="1220" w:type="dxa"/>
            <w:noWrap/>
            <w:hideMark/>
          </w:tcPr>
          <w:p w14:paraId="0AE3B6AC" w14:textId="77777777" w:rsidR="00503241" w:rsidRPr="008A4FE6" w:rsidRDefault="00503241" w:rsidP="0035249E">
            <w:pPr>
              <w:spacing w:line="240" w:lineRule="auto"/>
              <w:jc w:val="left"/>
            </w:pPr>
            <w:r w:rsidRPr="008A4FE6">
              <w:t>0.94</w:t>
            </w:r>
          </w:p>
        </w:tc>
        <w:tc>
          <w:tcPr>
            <w:tcW w:w="1520" w:type="dxa"/>
            <w:noWrap/>
            <w:hideMark/>
          </w:tcPr>
          <w:p w14:paraId="5CE39004" w14:textId="77777777" w:rsidR="00503241" w:rsidRPr="008A4FE6" w:rsidRDefault="00503241" w:rsidP="0035249E">
            <w:pPr>
              <w:spacing w:line="240" w:lineRule="auto"/>
              <w:jc w:val="left"/>
            </w:pPr>
            <w:r w:rsidRPr="008A4FE6">
              <w:t>0.50</w:t>
            </w:r>
          </w:p>
        </w:tc>
      </w:tr>
      <w:tr w:rsidR="00503241" w:rsidRPr="008A4FE6" w14:paraId="522D4C7D" w14:textId="77777777" w:rsidTr="0071536A">
        <w:trPr>
          <w:trHeight w:val="264"/>
          <w:jc w:val="center"/>
        </w:trPr>
        <w:tc>
          <w:tcPr>
            <w:tcW w:w="1080" w:type="dxa"/>
            <w:noWrap/>
            <w:hideMark/>
          </w:tcPr>
          <w:p w14:paraId="5119A29C" w14:textId="77777777" w:rsidR="00503241" w:rsidRPr="008A4FE6" w:rsidRDefault="00503241" w:rsidP="0035249E">
            <w:pPr>
              <w:spacing w:line="240" w:lineRule="auto"/>
              <w:jc w:val="left"/>
            </w:pPr>
            <w:r w:rsidRPr="008A4FE6">
              <w:t>June</w:t>
            </w:r>
          </w:p>
        </w:tc>
        <w:tc>
          <w:tcPr>
            <w:tcW w:w="1120" w:type="dxa"/>
            <w:noWrap/>
            <w:hideMark/>
          </w:tcPr>
          <w:p w14:paraId="5F802DE9" w14:textId="77777777" w:rsidR="00503241" w:rsidRPr="008A4FE6" w:rsidRDefault="00503241" w:rsidP="0035249E">
            <w:pPr>
              <w:spacing w:line="240" w:lineRule="auto"/>
              <w:jc w:val="left"/>
            </w:pPr>
            <w:r w:rsidRPr="008A4FE6">
              <w:t>4.88</w:t>
            </w:r>
          </w:p>
        </w:tc>
        <w:tc>
          <w:tcPr>
            <w:tcW w:w="1180" w:type="dxa"/>
            <w:noWrap/>
            <w:hideMark/>
          </w:tcPr>
          <w:p w14:paraId="536E2B6B" w14:textId="77777777" w:rsidR="00503241" w:rsidRPr="008A4FE6" w:rsidRDefault="00503241" w:rsidP="0035249E">
            <w:pPr>
              <w:spacing w:line="240" w:lineRule="auto"/>
              <w:jc w:val="left"/>
            </w:pPr>
            <w:r w:rsidRPr="008A4FE6">
              <w:t>3.26</w:t>
            </w:r>
          </w:p>
        </w:tc>
        <w:tc>
          <w:tcPr>
            <w:tcW w:w="820" w:type="dxa"/>
            <w:noWrap/>
            <w:hideMark/>
          </w:tcPr>
          <w:p w14:paraId="448497AA" w14:textId="77777777" w:rsidR="00503241" w:rsidRPr="008A4FE6" w:rsidRDefault="00503241" w:rsidP="0035249E">
            <w:pPr>
              <w:spacing w:line="240" w:lineRule="auto"/>
              <w:jc w:val="left"/>
            </w:pPr>
            <w:r w:rsidRPr="008A4FE6">
              <w:t>-13.57</w:t>
            </w:r>
          </w:p>
        </w:tc>
        <w:tc>
          <w:tcPr>
            <w:tcW w:w="1120" w:type="dxa"/>
            <w:noWrap/>
            <w:hideMark/>
          </w:tcPr>
          <w:p w14:paraId="2DBB2EE6" w14:textId="77777777" w:rsidR="00503241" w:rsidRPr="008A4FE6" w:rsidRDefault="00503241" w:rsidP="0035249E">
            <w:pPr>
              <w:spacing w:line="240" w:lineRule="auto"/>
              <w:jc w:val="left"/>
            </w:pPr>
            <w:r w:rsidRPr="008A4FE6">
              <w:t>20.69</w:t>
            </w:r>
          </w:p>
        </w:tc>
        <w:tc>
          <w:tcPr>
            <w:tcW w:w="1460" w:type="dxa"/>
            <w:noWrap/>
            <w:hideMark/>
          </w:tcPr>
          <w:p w14:paraId="0102F4BE" w14:textId="77777777" w:rsidR="00503241" w:rsidRPr="008A4FE6" w:rsidRDefault="00503241" w:rsidP="0035249E">
            <w:pPr>
              <w:spacing w:line="240" w:lineRule="auto"/>
              <w:jc w:val="left"/>
            </w:pPr>
            <w:r w:rsidRPr="008A4FE6">
              <w:t>29396.35</w:t>
            </w:r>
          </w:p>
        </w:tc>
        <w:tc>
          <w:tcPr>
            <w:tcW w:w="1520" w:type="dxa"/>
            <w:noWrap/>
            <w:hideMark/>
          </w:tcPr>
          <w:p w14:paraId="6973BF90" w14:textId="77777777" w:rsidR="00503241" w:rsidRPr="008A4FE6" w:rsidRDefault="00503241" w:rsidP="0035249E">
            <w:pPr>
              <w:spacing w:line="240" w:lineRule="auto"/>
              <w:jc w:val="left"/>
            </w:pPr>
            <w:r w:rsidRPr="008A4FE6">
              <w:t>2972.20</w:t>
            </w:r>
          </w:p>
        </w:tc>
        <w:tc>
          <w:tcPr>
            <w:tcW w:w="1220" w:type="dxa"/>
            <w:noWrap/>
            <w:hideMark/>
          </w:tcPr>
          <w:p w14:paraId="1888ED67" w14:textId="77777777" w:rsidR="00503241" w:rsidRPr="008A4FE6" w:rsidRDefault="00503241" w:rsidP="0035249E">
            <w:pPr>
              <w:spacing w:line="240" w:lineRule="auto"/>
              <w:jc w:val="left"/>
            </w:pPr>
            <w:r w:rsidRPr="008A4FE6">
              <w:t>0.91</w:t>
            </w:r>
          </w:p>
        </w:tc>
        <w:tc>
          <w:tcPr>
            <w:tcW w:w="1520" w:type="dxa"/>
            <w:noWrap/>
            <w:hideMark/>
          </w:tcPr>
          <w:p w14:paraId="5808518C" w14:textId="77777777" w:rsidR="00503241" w:rsidRPr="008A4FE6" w:rsidRDefault="00503241" w:rsidP="0035249E">
            <w:pPr>
              <w:spacing w:line="240" w:lineRule="auto"/>
              <w:jc w:val="left"/>
            </w:pPr>
            <w:r w:rsidRPr="008A4FE6">
              <w:t>0.49</w:t>
            </w:r>
          </w:p>
        </w:tc>
      </w:tr>
      <w:tr w:rsidR="00503241" w:rsidRPr="008A4FE6" w14:paraId="44B34C34" w14:textId="77777777" w:rsidTr="0071536A">
        <w:trPr>
          <w:trHeight w:val="264"/>
          <w:jc w:val="center"/>
        </w:trPr>
        <w:tc>
          <w:tcPr>
            <w:tcW w:w="1080" w:type="dxa"/>
            <w:noWrap/>
            <w:hideMark/>
          </w:tcPr>
          <w:p w14:paraId="2EDC2F14" w14:textId="77777777" w:rsidR="00503241" w:rsidRPr="008A4FE6" w:rsidRDefault="00503241" w:rsidP="0035249E">
            <w:pPr>
              <w:spacing w:line="240" w:lineRule="auto"/>
              <w:jc w:val="left"/>
            </w:pPr>
            <w:r w:rsidRPr="008A4FE6">
              <w:t>July</w:t>
            </w:r>
          </w:p>
        </w:tc>
        <w:tc>
          <w:tcPr>
            <w:tcW w:w="1120" w:type="dxa"/>
            <w:noWrap/>
            <w:hideMark/>
          </w:tcPr>
          <w:p w14:paraId="5006D9AC" w14:textId="77777777" w:rsidR="00503241" w:rsidRPr="008A4FE6" w:rsidRDefault="00503241" w:rsidP="0035249E">
            <w:pPr>
              <w:spacing w:line="240" w:lineRule="auto"/>
              <w:jc w:val="left"/>
            </w:pPr>
            <w:r w:rsidRPr="008A4FE6">
              <w:t>5.23</w:t>
            </w:r>
          </w:p>
        </w:tc>
        <w:tc>
          <w:tcPr>
            <w:tcW w:w="1180" w:type="dxa"/>
            <w:noWrap/>
            <w:hideMark/>
          </w:tcPr>
          <w:p w14:paraId="31D9794C" w14:textId="77777777" w:rsidR="00503241" w:rsidRPr="008A4FE6" w:rsidRDefault="00503241" w:rsidP="0035249E">
            <w:pPr>
              <w:spacing w:line="240" w:lineRule="auto"/>
              <w:jc w:val="left"/>
            </w:pPr>
            <w:r w:rsidRPr="008A4FE6">
              <w:t>3.61</w:t>
            </w:r>
          </w:p>
        </w:tc>
        <w:tc>
          <w:tcPr>
            <w:tcW w:w="820" w:type="dxa"/>
            <w:noWrap/>
            <w:hideMark/>
          </w:tcPr>
          <w:p w14:paraId="7F0F1BF7" w14:textId="77777777" w:rsidR="00503241" w:rsidRPr="008A4FE6" w:rsidRDefault="00503241" w:rsidP="0035249E">
            <w:pPr>
              <w:spacing w:line="240" w:lineRule="auto"/>
              <w:jc w:val="left"/>
            </w:pPr>
            <w:r w:rsidRPr="008A4FE6">
              <w:t>-13.64</w:t>
            </w:r>
          </w:p>
        </w:tc>
        <w:tc>
          <w:tcPr>
            <w:tcW w:w="1120" w:type="dxa"/>
            <w:noWrap/>
            <w:hideMark/>
          </w:tcPr>
          <w:p w14:paraId="01B0DE40" w14:textId="77777777" w:rsidR="00503241" w:rsidRPr="008A4FE6" w:rsidRDefault="00503241" w:rsidP="0035249E">
            <w:pPr>
              <w:spacing w:line="240" w:lineRule="auto"/>
              <w:jc w:val="left"/>
            </w:pPr>
            <w:r w:rsidRPr="008A4FE6">
              <w:t>20.63</w:t>
            </w:r>
          </w:p>
        </w:tc>
        <w:tc>
          <w:tcPr>
            <w:tcW w:w="1460" w:type="dxa"/>
            <w:noWrap/>
            <w:hideMark/>
          </w:tcPr>
          <w:p w14:paraId="794AF91D" w14:textId="77777777" w:rsidR="00503241" w:rsidRPr="008A4FE6" w:rsidRDefault="00503241" w:rsidP="0035249E">
            <w:pPr>
              <w:spacing w:line="240" w:lineRule="auto"/>
              <w:jc w:val="left"/>
            </w:pPr>
            <w:r w:rsidRPr="008A4FE6">
              <w:t>16546.25</w:t>
            </w:r>
          </w:p>
        </w:tc>
        <w:tc>
          <w:tcPr>
            <w:tcW w:w="1520" w:type="dxa"/>
            <w:noWrap/>
            <w:hideMark/>
          </w:tcPr>
          <w:p w14:paraId="4C43D2C2" w14:textId="77777777" w:rsidR="00503241" w:rsidRPr="008A4FE6" w:rsidRDefault="00503241" w:rsidP="0035249E">
            <w:pPr>
              <w:spacing w:line="240" w:lineRule="auto"/>
              <w:jc w:val="left"/>
            </w:pPr>
            <w:r w:rsidRPr="008A4FE6">
              <w:t>1292.38</w:t>
            </w:r>
          </w:p>
        </w:tc>
        <w:tc>
          <w:tcPr>
            <w:tcW w:w="1220" w:type="dxa"/>
            <w:noWrap/>
            <w:hideMark/>
          </w:tcPr>
          <w:p w14:paraId="60F94BBE" w14:textId="77777777" w:rsidR="00503241" w:rsidRPr="008A4FE6" w:rsidRDefault="00503241" w:rsidP="0035249E">
            <w:pPr>
              <w:spacing w:line="240" w:lineRule="auto"/>
              <w:jc w:val="left"/>
            </w:pPr>
            <w:r w:rsidRPr="008A4FE6">
              <w:t>0.96</w:t>
            </w:r>
          </w:p>
        </w:tc>
        <w:tc>
          <w:tcPr>
            <w:tcW w:w="1520" w:type="dxa"/>
            <w:noWrap/>
            <w:hideMark/>
          </w:tcPr>
          <w:p w14:paraId="56DBAE1C" w14:textId="77777777" w:rsidR="00503241" w:rsidRPr="008A4FE6" w:rsidRDefault="00503241" w:rsidP="0035249E">
            <w:pPr>
              <w:spacing w:line="240" w:lineRule="auto"/>
              <w:jc w:val="left"/>
            </w:pPr>
            <w:r w:rsidRPr="008A4FE6">
              <w:t>0.50</w:t>
            </w:r>
          </w:p>
        </w:tc>
      </w:tr>
      <w:tr w:rsidR="00503241" w:rsidRPr="008A4FE6" w14:paraId="62FAA30D" w14:textId="77777777" w:rsidTr="0071536A">
        <w:trPr>
          <w:trHeight w:val="264"/>
          <w:jc w:val="center"/>
        </w:trPr>
        <w:tc>
          <w:tcPr>
            <w:tcW w:w="1080" w:type="dxa"/>
            <w:noWrap/>
            <w:hideMark/>
          </w:tcPr>
          <w:p w14:paraId="2D7F2D2D" w14:textId="77777777" w:rsidR="00503241" w:rsidRPr="008A4FE6" w:rsidRDefault="00503241" w:rsidP="0035249E">
            <w:pPr>
              <w:spacing w:line="240" w:lineRule="auto"/>
              <w:jc w:val="left"/>
            </w:pPr>
            <w:r w:rsidRPr="008A4FE6">
              <w:t>August</w:t>
            </w:r>
          </w:p>
        </w:tc>
        <w:tc>
          <w:tcPr>
            <w:tcW w:w="1120" w:type="dxa"/>
            <w:noWrap/>
            <w:hideMark/>
          </w:tcPr>
          <w:p w14:paraId="02F4D95D" w14:textId="77777777" w:rsidR="00503241" w:rsidRPr="008A4FE6" w:rsidRDefault="00503241" w:rsidP="0035249E">
            <w:pPr>
              <w:spacing w:line="240" w:lineRule="auto"/>
              <w:jc w:val="left"/>
            </w:pPr>
            <w:r w:rsidRPr="008A4FE6">
              <w:t>5.37</w:t>
            </w:r>
          </w:p>
        </w:tc>
        <w:tc>
          <w:tcPr>
            <w:tcW w:w="1180" w:type="dxa"/>
            <w:noWrap/>
            <w:hideMark/>
          </w:tcPr>
          <w:p w14:paraId="0643793D" w14:textId="77777777" w:rsidR="00503241" w:rsidRPr="008A4FE6" w:rsidRDefault="00503241" w:rsidP="0035249E">
            <w:pPr>
              <w:spacing w:line="240" w:lineRule="auto"/>
              <w:jc w:val="left"/>
            </w:pPr>
            <w:r w:rsidRPr="008A4FE6">
              <w:t>3.65</w:t>
            </w:r>
          </w:p>
        </w:tc>
        <w:tc>
          <w:tcPr>
            <w:tcW w:w="820" w:type="dxa"/>
            <w:noWrap/>
            <w:hideMark/>
          </w:tcPr>
          <w:p w14:paraId="658ED255" w14:textId="77777777" w:rsidR="00503241" w:rsidRPr="008A4FE6" w:rsidRDefault="00503241" w:rsidP="0035249E">
            <w:pPr>
              <w:spacing w:line="240" w:lineRule="auto"/>
              <w:jc w:val="left"/>
            </w:pPr>
            <w:r w:rsidRPr="008A4FE6">
              <w:t>-13.69</w:t>
            </w:r>
          </w:p>
        </w:tc>
        <w:tc>
          <w:tcPr>
            <w:tcW w:w="1120" w:type="dxa"/>
            <w:noWrap/>
            <w:hideMark/>
          </w:tcPr>
          <w:p w14:paraId="3327E80D" w14:textId="77777777" w:rsidR="00503241" w:rsidRPr="008A4FE6" w:rsidRDefault="00503241" w:rsidP="0035249E">
            <w:pPr>
              <w:spacing w:line="240" w:lineRule="auto"/>
              <w:jc w:val="left"/>
            </w:pPr>
            <w:r w:rsidRPr="008A4FE6">
              <w:t>20.58</w:t>
            </w:r>
          </w:p>
        </w:tc>
        <w:tc>
          <w:tcPr>
            <w:tcW w:w="1460" w:type="dxa"/>
            <w:noWrap/>
            <w:hideMark/>
          </w:tcPr>
          <w:p w14:paraId="1CFE1BD5" w14:textId="77777777" w:rsidR="00503241" w:rsidRPr="008A4FE6" w:rsidRDefault="00503241" w:rsidP="0035249E">
            <w:pPr>
              <w:spacing w:line="240" w:lineRule="auto"/>
              <w:jc w:val="left"/>
            </w:pPr>
            <w:r w:rsidRPr="008A4FE6">
              <w:t>17408.78</w:t>
            </w:r>
          </w:p>
        </w:tc>
        <w:tc>
          <w:tcPr>
            <w:tcW w:w="1520" w:type="dxa"/>
            <w:noWrap/>
            <w:hideMark/>
          </w:tcPr>
          <w:p w14:paraId="5B7E7D70" w14:textId="77777777" w:rsidR="00503241" w:rsidRPr="008A4FE6" w:rsidRDefault="00503241" w:rsidP="0035249E">
            <w:pPr>
              <w:spacing w:line="240" w:lineRule="auto"/>
              <w:jc w:val="left"/>
            </w:pPr>
            <w:r w:rsidRPr="008A4FE6">
              <w:t>1543.09</w:t>
            </w:r>
          </w:p>
        </w:tc>
        <w:tc>
          <w:tcPr>
            <w:tcW w:w="1220" w:type="dxa"/>
            <w:noWrap/>
            <w:hideMark/>
          </w:tcPr>
          <w:p w14:paraId="1E9F2155" w14:textId="77777777" w:rsidR="00503241" w:rsidRPr="008A4FE6" w:rsidRDefault="00503241" w:rsidP="0035249E">
            <w:pPr>
              <w:spacing w:line="240" w:lineRule="auto"/>
              <w:jc w:val="left"/>
            </w:pPr>
            <w:r w:rsidRPr="008A4FE6">
              <w:t>0.97</w:t>
            </w:r>
          </w:p>
        </w:tc>
        <w:tc>
          <w:tcPr>
            <w:tcW w:w="1520" w:type="dxa"/>
            <w:noWrap/>
            <w:hideMark/>
          </w:tcPr>
          <w:p w14:paraId="59CE8614" w14:textId="77777777" w:rsidR="00503241" w:rsidRPr="008A4FE6" w:rsidRDefault="00503241" w:rsidP="0035249E">
            <w:pPr>
              <w:spacing w:line="240" w:lineRule="auto"/>
              <w:jc w:val="left"/>
            </w:pPr>
            <w:r w:rsidRPr="008A4FE6">
              <w:t>0.49</w:t>
            </w:r>
          </w:p>
        </w:tc>
      </w:tr>
      <w:tr w:rsidR="00503241" w:rsidRPr="008A4FE6" w14:paraId="6FCAEE46" w14:textId="77777777" w:rsidTr="0071536A">
        <w:trPr>
          <w:trHeight w:val="264"/>
          <w:jc w:val="center"/>
        </w:trPr>
        <w:tc>
          <w:tcPr>
            <w:tcW w:w="1080" w:type="dxa"/>
            <w:noWrap/>
            <w:hideMark/>
          </w:tcPr>
          <w:p w14:paraId="444E183E" w14:textId="77777777" w:rsidR="00503241" w:rsidRPr="008A4FE6" w:rsidRDefault="00503241" w:rsidP="0035249E">
            <w:pPr>
              <w:spacing w:line="240" w:lineRule="auto"/>
              <w:jc w:val="left"/>
            </w:pPr>
            <w:r w:rsidRPr="008A4FE6">
              <w:t>September</w:t>
            </w:r>
          </w:p>
        </w:tc>
        <w:tc>
          <w:tcPr>
            <w:tcW w:w="1120" w:type="dxa"/>
            <w:noWrap/>
            <w:hideMark/>
          </w:tcPr>
          <w:p w14:paraId="0304D94B" w14:textId="77777777" w:rsidR="00503241" w:rsidRPr="008A4FE6" w:rsidRDefault="00503241" w:rsidP="0035249E">
            <w:pPr>
              <w:spacing w:line="240" w:lineRule="auto"/>
              <w:jc w:val="left"/>
            </w:pPr>
            <w:r w:rsidRPr="008A4FE6">
              <w:t>4.19</w:t>
            </w:r>
          </w:p>
        </w:tc>
        <w:tc>
          <w:tcPr>
            <w:tcW w:w="1180" w:type="dxa"/>
            <w:noWrap/>
            <w:hideMark/>
          </w:tcPr>
          <w:p w14:paraId="6C10D2C2" w14:textId="77777777" w:rsidR="00503241" w:rsidRPr="008A4FE6" w:rsidRDefault="00503241" w:rsidP="0035249E">
            <w:pPr>
              <w:spacing w:line="240" w:lineRule="auto"/>
              <w:jc w:val="left"/>
            </w:pPr>
            <w:r w:rsidRPr="008A4FE6">
              <w:t>2.64</w:t>
            </w:r>
          </w:p>
        </w:tc>
        <w:tc>
          <w:tcPr>
            <w:tcW w:w="820" w:type="dxa"/>
            <w:noWrap/>
            <w:hideMark/>
          </w:tcPr>
          <w:p w14:paraId="5C724561" w14:textId="77777777" w:rsidR="00503241" w:rsidRPr="008A4FE6" w:rsidRDefault="00503241" w:rsidP="0035249E">
            <w:pPr>
              <w:spacing w:line="240" w:lineRule="auto"/>
              <w:jc w:val="left"/>
            </w:pPr>
            <w:r w:rsidRPr="008A4FE6">
              <w:t>-13.66</w:t>
            </w:r>
          </w:p>
        </w:tc>
        <w:tc>
          <w:tcPr>
            <w:tcW w:w="1120" w:type="dxa"/>
            <w:noWrap/>
            <w:hideMark/>
          </w:tcPr>
          <w:p w14:paraId="26DC702F" w14:textId="77777777" w:rsidR="00503241" w:rsidRPr="008A4FE6" w:rsidRDefault="00503241" w:rsidP="0035249E">
            <w:pPr>
              <w:spacing w:line="240" w:lineRule="auto"/>
              <w:jc w:val="left"/>
            </w:pPr>
            <w:r w:rsidRPr="008A4FE6">
              <w:t>20.62</w:t>
            </w:r>
          </w:p>
        </w:tc>
        <w:tc>
          <w:tcPr>
            <w:tcW w:w="1460" w:type="dxa"/>
            <w:noWrap/>
            <w:hideMark/>
          </w:tcPr>
          <w:p w14:paraId="71C87BA9" w14:textId="77777777" w:rsidR="00503241" w:rsidRPr="008A4FE6" w:rsidRDefault="00503241" w:rsidP="0035249E">
            <w:pPr>
              <w:spacing w:line="240" w:lineRule="auto"/>
              <w:jc w:val="left"/>
            </w:pPr>
            <w:r w:rsidRPr="008A4FE6">
              <w:t>5167.38</w:t>
            </w:r>
          </w:p>
        </w:tc>
        <w:tc>
          <w:tcPr>
            <w:tcW w:w="1520" w:type="dxa"/>
            <w:noWrap/>
            <w:hideMark/>
          </w:tcPr>
          <w:p w14:paraId="333CF243" w14:textId="77777777" w:rsidR="00503241" w:rsidRPr="008A4FE6" w:rsidRDefault="00503241" w:rsidP="0035249E">
            <w:pPr>
              <w:spacing w:line="240" w:lineRule="auto"/>
              <w:jc w:val="left"/>
            </w:pPr>
            <w:r w:rsidRPr="008A4FE6">
              <w:t>530.44</w:t>
            </w:r>
          </w:p>
        </w:tc>
        <w:tc>
          <w:tcPr>
            <w:tcW w:w="1220" w:type="dxa"/>
            <w:noWrap/>
            <w:hideMark/>
          </w:tcPr>
          <w:p w14:paraId="4426D586" w14:textId="77777777" w:rsidR="00503241" w:rsidRPr="008A4FE6" w:rsidRDefault="00503241" w:rsidP="0035249E">
            <w:pPr>
              <w:spacing w:line="240" w:lineRule="auto"/>
              <w:jc w:val="left"/>
            </w:pPr>
            <w:r w:rsidRPr="008A4FE6">
              <w:t>0.91</w:t>
            </w:r>
          </w:p>
        </w:tc>
        <w:tc>
          <w:tcPr>
            <w:tcW w:w="1520" w:type="dxa"/>
            <w:noWrap/>
            <w:hideMark/>
          </w:tcPr>
          <w:p w14:paraId="20DA3FB6" w14:textId="77777777" w:rsidR="00503241" w:rsidRPr="008A4FE6" w:rsidRDefault="00503241" w:rsidP="0035249E">
            <w:pPr>
              <w:spacing w:line="240" w:lineRule="auto"/>
              <w:jc w:val="left"/>
            </w:pPr>
            <w:r w:rsidRPr="008A4FE6">
              <w:t>0.50</w:t>
            </w:r>
          </w:p>
        </w:tc>
      </w:tr>
      <w:tr w:rsidR="00503241" w:rsidRPr="008A4FE6" w14:paraId="04F7E8F4" w14:textId="77777777" w:rsidTr="0071536A">
        <w:trPr>
          <w:trHeight w:val="264"/>
          <w:jc w:val="center"/>
        </w:trPr>
        <w:tc>
          <w:tcPr>
            <w:tcW w:w="1080" w:type="dxa"/>
            <w:noWrap/>
            <w:hideMark/>
          </w:tcPr>
          <w:p w14:paraId="5723E65E" w14:textId="77777777" w:rsidR="00503241" w:rsidRPr="008A4FE6" w:rsidRDefault="00503241" w:rsidP="0035249E">
            <w:pPr>
              <w:spacing w:line="240" w:lineRule="auto"/>
              <w:jc w:val="left"/>
            </w:pPr>
            <w:r w:rsidRPr="008A4FE6">
              <w:t>October</w:t>
            </w:r>
          </w:p>
        </w:tc>
        <w:tc>
          <w:tcPr>
            <w:tcW w:w="1120" w:type="dxa"/>
            <w:noWrap/>
            <w:hideMark/>
          </w:tcPr>
          <w:p w14:paraId="17499691" w14:textId="77777777" w:rsidR="00503241" w:rsidRPr="008A4FE6" w:rsidRDefault="00503241" w:rsidP="0035249E">
            <w:pPr>
              <w:spacing w:line="240" w:lineRule="auto"/>
              <w:jc w:val="left"/>
            </w:pPr>
            <w:r w:rsidRPr="008A4FE6">
              <w:t>3.67</w:t>
            </w:r>
          </w:p>
        </w:tc>
        <w:tc>
          <w:tcPr>
            <w:tcW w:w="1180" w:type="dxa"/>
            <w:noWrap/>
            <w:hideMark/>
          </w:tcPr>
          <w:p w14:paraId="7D21FA29" w14:textId="77777777" w:rsidR="00503241" w:rsidRPr="008A4FE6" w:rsidRDefault="00503241" w:rsidP="0035249E">
            <w:pPr>
              <w:spacing w:line="240" w:lineRule="auto"/>
              <w:jc w:val="left"/>
            </w:pPr>
            <w:r w:rsidRPr="008A4FE6">
              <w:t>2.47</w:t>
            </w:r>
          </w:p>
        </w:tc>
        <w:tc>
          <w:tcPr>
            <w:tcW w:w="820" w:type="dxa"/>
            <w:noWrap/>
            <w:hideMark/>
          </w:tcPr>
          <w:p w14:paraId="1B86EDA9" w14:textId="77777777" w:rsidR="00503241" w:rsidRPr="008A4FE6" w:rsidRDefault="00503241" w:rsidP="0035249E">
            <w:pPr>
              <w:spacing w:line="240" w:lineRule="auto"/>
              <w:jc w:val="left"/>
            </w:pPr>
            <w:r w:rsidRPr="008A4FE6">
              <w:t>-13.68</w:t>
            </w:r>
          </w:p>
        </w:tc>
        <w:tc>
          <w:tcPr>
            <w:tcW w:w="1120" w:type="dxa"/>
            <w:noWrap/>
            <w:hideMark/>
          </w:tcPr>
          <w:p w14:paraId="22581C20" w14:textId="77777777" w:rsidR="00503241" w:rsidRPr="008A4FE6" w:rsidRDefault="00503241" w:rsidP="0035249E">
            <w:pPr>
              <w:spacing w:line="240" w:lineRule="auto"/>
              <w:jc w:val="left"/>
            </w:pPr>
            <w:r w:rsidRPr="008A4FE6">
              <w:t>20.65</w:t>
            </w:r>
          </w:p>
        </w:tc>
        <w:tc>
          <w:tcPr>
            <w:tcW w:w="1460" w:type="dxa"/>
            <w:noWrap/>
            <w:hideMark/>
          </w:tcPr>
          <w:p w14:paraId="293BC627" w14:textId="77777777" w:rsidR="00503241" w:rsidRPr="008A4FE6" w:rsidRDefault="00503241" w:rsidP="0035249E">
            <w:pPr>
              <w:spacing w:line="240" w:lineRule="auto"/>
              <w:jc w:val="left"/>
            </w:pPr>
            <w:r w:rsidRPr="008A4FE6">
              <w:t>2051.71</w:t>
            </w:r>
          </w:p>
        </w:tc>
        <w:tc>
          <w:tcPr>
            <w:tcW w:w="1520" w:type="dxa"/>
            <w:noWrap/>
            <w:hideMark/>
          </w:tcPr>
          <w:p w14:paraId="752D876D" w14:textId="77777777" w:rsidR="00503241" w:rsidRPr="008A4FE6" w:rsidRDefault="00503241" w:rsidP="0035249E">
            <w:pPr>
              <w:spacing w:line="240" w:lineRule="auto"/>
              <w:jc w:val="left"/>
            </w:pPr>
            <w:r w:rsidRPr="008A4FE6">
              <w:t>240.34</w:t>
            </w:r>
          </w:p>
        </w:tc>
        <w:tc>
          <w:tcPr>
            <w:tcW w:w="1220" w:type="dxa"/>
            <w:noWrap/>
            <w:hideMark/>
          </w:tcPr>
          <w:p w14:paraId="6EB168D1" w14:textId="77777777" w:rsidR="00503241" w:rsidRPr="008A4FE6" w:rsidRDefault="00503241" w:rsidP="0035249E">
            <w:pPr>
              <w:spacing w:line="240" w:lineRule="auto"/>
              <w:jc w:val="left"/>
            </w:pPr>
            <w:r w:rsidRPr="008A4FE6">
              <w:t>0.88</w:t>
            </w:r>
          </w:p>
        </w:tc>
        <w:tc>
          <w:tcPr>
            <w:tcW w:w="1520" w:type="dxa"/>
            <w:noWrap/>
            <w:hideMark/>
          </w:tcPr>
          <w:p w14:paraId="270EFC75" w14:textId="77777777" w:rsidR="00503241" w:rsidRPr="008A4FE6" w:rsidRDefault="00503241" w:rsidP="0035249E">
            <w:pPr>
              <w:spacing w:line="240" w:lineRule="auto"/>
              <w:jc w:val="left"/>
            </w:pPr>
            <w:r w:rsidRPr="008A4FE6">
              <w:t>0.52</w:t>
            </w:r>
          </w:p>
        </w:tc>
      </w:tr>
      <w:tr w:rsidR="00503241" w:rsidRPr="008A4FE6" w14:paraId="23636C5C" w14:textId="77777777" w:rsidTr="0071536A">
        <w:trPr>
          <w:trHeight w:val="264"/>
          <w:jc w:val="center"/>
        </w:trPr>
        <w:tc>
          <w:tcPr>
            <w:tcW w:w="1080" w:type="dxa"/>
            <w:noWrap/>
            <w:hideMark/>
          </w:tcPr>
          <w:p w14:paraId="35B080F4" w14:textId="77777777" w:rsidR="00503241" w:rsidRPr="008A4FE6" w:rsidRDefault="00503241" w:rsidP="0035249E">
            <w:pPr>
              <w:spacing w:line="240" w:lineRule="auto"/>
              <w:jc w:val="left"/>
            </w:pPr>
            <w:r w:rsidRPr="008A4FE6">
              <w:t>November</w:t>
            </w:r>
          </w:p>
        </w:tc>
        <w:tc>
          <w:tcPr>
            <w:tcW w:w="1120" w:type="dxa"/>
            <w:noWrap/>
            <w:hideMark/>
          </w:tcPr>
          <w:p w14:paraId="4F4FDFD7" w14:textId="77777777" w:rsidR="00503241" w:rsidRPr="008A4FE6" w:rsidRDefault="00503241" w:rsidP="0035249E">
            <w:pPr>
              <w:spacing w:line="240" w:lineRule="auto"/>
              <w:jc w:val="left"/>
            </w:pPr>
            <w:r w:rsidRPr="008A4FE6">
              <w:t>3.44</w:t>
            </w:r>
          </w:p>
        </w:tc>
        <w:tc>
          <w:tcPr>
            <w:tcW w:w="1180" w:type="dxa"/>
            <w:noWrap/>
            <w:hideMark/>
          </w:tcPr>
          <w:p w14:paraId="464B14B8" w14:textId="77777777" w:rsidR="00503241" w:rsidRPr="008A4FE6" w:rsidRDefault="00503241" w:rsidP="0035249E">
            <w:pPr>
              <w:spacing w:line="240" w:lineRule="auto"/>
              <w:jc w:val="left"/>
            </w:pPr>
            <w:r w:rsidRPr="008A4FE6">
              <w:t>2.33</w:t>
            </w:r>
          </w:p>
        </w:tc>
        <w:tc>
          <w:tcPr>
            <w:tcW w:w="820" w:type="dxa"/>
            <w:noWrap/>
            <w:hideMark/>
          </w:tcPr>
          <w:p w14:paraId="4966B9F9" w14:textId="77777777" w:rsidR="00503241" w:rsidRPr="008A4FE6" w:rsidRDefault="00503241" w:rsidP="0035249E">
            <w:pPr>
              <w:spacing w:line="240" w:lineRule="auto"/>
              <w:jc w:val="left"/>
            </w:pPr>
            <w:r w:rsidRPr="008A4FE6">
              <w:t>-15.39</w:t>
            </w:r>
          </w:p>
        </w:tc>
        <w:tc>
          <w:tcPr>
            <w:tcW w:w="1120" w:type="dxa"/>
            <w:noWrap/>
            <w:hideMark/>
          </w:tcPr>
          <w:p w14:paraId="04F96B37" w14:textId="77777777" w:rsidR="00503241" w:rsidRPr="008A4FE6" w:rsidRDefault="00503241" w:rsidP="0035249E">
            <w:pPr>
              <w:spacing w:line="240" w:lineRule="auto"/>
              <w:jc w:val="left"/>
            </w:pPr>
            <w:r w:rsidRPr="008A4FE6">
              <w:t>20.89</w:t>
            </w:r>
          </w:p>
        </w:tc>
        <w:tc>
          <w:tcPr>
            <w:tcW w:w="1460" w:type="dxa"/>
            <w:noWrap/>
            <w:hideMark/>
          </w:tcPr>
          <w:p w14:paraId="6F92C3B7" w14:textId="77777777" w:rsidR="00503241" w:rsidRPr="008A4FE6" w:rsidRDefault="00503241" w:rsidP="0035249E">
            <w:pPr>
              <w:spacing w:line="240" w:lineRule="auto"/>
              <w:jc w:val="left"/>
            </w:pPr>
            <w:r w:rsidRPr="008A4FE6">
              <w:t>576.97</w:t>
            </w:r>
          </w:p>
        </w:tc>
        <w:tc>
          <w:tcPr>
            <w:tcW w:w="1520" w:type="dxa"/>
            <w:noWrap/>
            <w:hideMark/>
          </w:tcPr>
          <w:p w14:paraId="6C6B4029" w14:textId="77777777" w:rsidR="00503241" w:rsidRPr="008A4FE6" w:rsidRDefault="00503241" w:rsidP="0035249E">
            <w:pPr>
              <w:spacing w:line="240" w:lineRule="auto"/>
              <w:jc w:val="left"/>
            </w:pPr>
            <w:r w:rsidRPr="008A4FE6">
              <w:t>63.85</w:t>
            </w:r>
          </w:p>
        </w:tc>
        <w:tc>
          <w:tcPr>
            <w:tcW w:w="1220" w:type="dxa"/>
            <w:noWrap/>
            <w:hideMark/>
          </w:tcPr>
          <w:p w14:paraId="69894852" w14:textId="77777777" w:rsidR="00503241" w:rsidRPr="008A4FE6" w:rsidRDefault="00503241" w:rsidP="0035249E">
            <w:pPr>
              <w:spacing w:line="240" w:lineRule="auto"/>
              <w:jc w:val="left"/>
            </w:pPr>
            <w:r w:rsidRPr="008A4FE6">
              <w:t>1.09</w:t>
            </w:r>
          </w:p>
        </w:tc>
        <w:tc>
          <w:tcPr>
            <w:tcW w:w="1520" w:type="dxa"/>
            <w:noWrap/>
            <w:hideMark/>
          </w:tcPr>
          <w:p w14:paraId="52A8737D" w14:textId="77777777" w:rsidR="00503241" w:rsidRPr="008A4FE6" w:rsidRDefault="00503241" w:rsidP="0035249E">
            <w:pPr>
              <w:spacing w:line="240" w:lineRule="auto"/>
              <w:jc w:val="left"/>
            </w:pPr>
            <w:r w:rsidRPr="008A4FE6">
              <w:t>0.53</w:t>
            </w:r>
          </w:p>
        </w:tc>
      </w:tr>
      <w:tr w:rsidR="00503241" w:rsidRPr="008A4FE6" w14:paraId="33E12739" w14:textId="77777777" w:rsidTr="0071536A">
        <w:trPr>
          <w:trHeight w:val="377"/>
          <w:jc w:val="center"/>
        </w:trPr>
        <w:tc>
          <w:tcPr>
            <w:tcW w:w="1080" w:type="dxa"/>
            <w:noWrap/>
            <w:hideMark/>
          </w:tcPr>
          <w:p w14:paraId="3840D91E" w14:textId="77777777" w:rsidR="00503241" w:rsidRPr="008A4FE6" w:rsidRDefault="00503241" w:rsidP="0035249E">
            <w:pPr>
              <w:spacing w:line="240" w:lineRule="auto"/>
              <w:jc w:val="left"/>
            </w:pPr>
            <w:r w:rsidRPr="008A4FE6">
              <w:t>December</w:t>
            </w:r>
          </w:p>
        </w:tc>
        <w:tc>
          <w:tcPr>
            <w:tcW w:w="1120" w:type="dxa"/>
            <w:noWrap/>
            <w:hideMark/>
          </w:tcPr>
          <w:p w14:paraId="2AD6299E" w14:textId="77777777" w:rsidR="00503241" w:rsidRPr="008A4FE6" w:rsidRDefault="00503241" w:rsidP="0035249E">
            <w:pPr>
              <w:spacing w:line="240" w:lineRule="auto"/>
              <w:jc w:val="left"/>
            </w:pPr>
            <w:r w:rsidRPr="008A4FE6">
              <w:t>3.69</w:t>
            </w:r>
          </w:p>
        </w:tc>
        <w:tc>
          <w:tcPr>
            <w:tcW w:w="1180" w:type="dxa"/>
            <w:noWrap/>
            <w:hideMark/>
          </w:tcPr>
          <w:p w14:paraId="75076471" w14:textId="77777777" w:rsidR="00503241" w:rsidRPr="008A4FE6" w:rsidRDefault="00503241" w:rsidP="0035249E">
            <w:pPr>
              <w:spacing w:line="240" w:lineRule="auto"/>
              <w:jc w:val="left"/>
            </w:pPr>
            <w:r w:rsidRPr="008A4FE6">
              <w:t>2.26</w:t>
            </w:r>
          </w:p>
        </w:tc>
        <w:tc>
          <w:tcPr>
            <w:tcW w:w="820" w:type="dxa"/>
            <w:noWrap/>
            <w:hideMark/>
          </w:tcPr>
          <w:p w14:paraId="37A53F48" w14:textId="77777777" w:rsidR="00503241" w:rsidRPr="008A4FE6" w:rsidRDefault="00503241" w:rsidP="0035249E">
            <w:pPr>
              <w:spacing w:line="240" w:lineRule="auto"/>
              <w:jc w:val="left"/>
            </w:pPr>
            <w:r w:rsidRPr="008A4FE6">
              <w:t>-15.23</w:t>
            </w:r>
          </w:p>
        </w:tc>
        <w:tc>
          <w:tcPr>
            <w:tcW w:w="1120" w:type="dxa"/>
            <w:noWrap/>
            <w:hideMark/>
          </w:tcPr>
          <w:p w14:paraId="59798D4A" w14:textId="77777777" w:rsidR="00503241" w:rsidRPr="008A4FE6" w:rsidRDefault="00503241" w:rsidP="0035249E">
            <w:pPr>
              <w:spacing w:line="240" w:lineRule="auto"/>
              <w:jc w:val="left"/>
            </w:pPr>
            <w:r w:rsidRPr="008A4FE6">
              <w:t>20.85</w:t>
            </w:r>
          </w:p>
        </w:tc>
        <w:tc>
          <w:tcPr>
            <w:tcW w:w="1460" w:type="dxa"/>
            <w:noWrap/>
            <w:hideMark/>
          </w:tcPr>
          <w:p w14:paraId="272E2B72" w14:textId="77777777" w:rsidR="00503241" w:rsidRPr="008A4FE6" w:rsidRDefault="00503241" w:rsidP="0035249E">
            <w:pPr>
              <w:spacing w:line="240" w:lineRule="auto"/>
              <w:jc w:val="left"/>
            </w:pPr>
            <w:r w:rsidRPr="008A4FE6">
              <w:t>276.81</w:t>
            </w:r>
          </w:p>
        </w:tc>
        <w:tc>
          <w:tcPr>
            <w:tcW w:w="1520" w:type="dxa"/>
            <w:noWrap/>
            <w:hideMark/>
          </w:tcPr>
          <w:p w14:paraId="31458CE8" w14:textId="77777777" w:rsidR="00503241" w:rsidRPr="008A4FE6" w:rsidRDefault="00503241" w:rsidP="0035249E">
            <w:pPr>
              <w:spacing w:line="240" w:lineRule="auto"/>
              <w:jc w:val="left"/>
            </w:pPr>
            <w:r w:rsidRPr="008A4FE6">
              <w:t>21.78</w:t>
            </w:r>
          </w:p>
        </w:tc>
        <w:tc>
          <w:tcPr>
            <w:tcW w:w="1220" w:type="dxa"/>
            <w:noWrap/>
            <w:hideMark/>
          </w:tcPr>
          <w:p w14:paraId="543B679D" w14:textId="77777777" w:rsidR="00503241" w:rsidRPr="008A4FE6" w:rsidRDefault="00503241" w:rsidP="0035249E">
            <w:pPr>
              <w:spacing w:line="240" w:lineRule="auto"/>
              <w:jc w:val="left"/>
            </w:pPr>
            <w:r w:rsidRPr="008A4FE6">
              <w:t>1.04</w:t>
            </w:r>
          </w:p>
        </w:tc>
        <w:tc>
          <w:tcPr>
            <w:tcW w:w="1520" w:type="dxa"/>
            <w:noWrap/>
            <w:hideMark/>
          </w:tcPr>
          <w:p w14:paraId="0602C8E2" w14:textId="77777777" w:rsidR="00503241" w:rsidRPr="008A4FE6" w:rsidRDefault="00503241" w:rsidP="0035249E">
            <w:pPr>
              <w:spacing w:line="240" w:lineRule="auto"/>
              <w:jc w:val="left"/>
            </w:pPr>
            <w:r w:rsidRPr="008A4FE6">
              <w:t>0.52</w:t>
            </w:r>
          </w:p>
        </w:tc>
      </w:tr>
    </w:tbl>
    <w:p w14:paraId="7BE5158F" w14:textId="48B03443" w:rsidR="00503241" w:rsidRDefault="00503241" w:rsidP="008A4FE6">
      <w:pPr>
        <w:spacing w:line="259" w:lineRule="auto"/>
        <w:jc w:val="left"/>
        <w:rPr>
          <w:lang w:val="en-US"/>
        </w:rPr>
        <w:sectPr w:rsidR="00503241" w:rsidSect="008A4FE6">
          <w:pgSz w:w="15840" w:h="12240" w:orient="landscape"/>
          <w:pgMar w:top="2160" w:right="1440" w:bottom="1440" w:left="1440" w:header="706" w:footer="706" w:gutter="0"/>
          <w:cols w:space="708"/>
          <w:docGrid w:linePitch="360"/>
        </w:sectPr>
      </w:pPr>
    </w:p>
    <w:p w14:paraId="5E4D06ED" w14:textId="7398AAC6" w:rsidR="008A4FE6" w:rsidRDefault="008A4FE6" w:rsidP="008A4FE6">
      <w:pPr>
        <w:spacing w:line="259" w:lineRule="auto"/>
        <w:jc w:val="left"/>
        <w:rPr>
          <w:lang w:val="en-US"/>
        </w:rPr>
      </w:pPr>
    </w:p>
    <w:p w14:paraId="7DCE229C" w14:textId="3C111C63" w:rsidR="00924A0D" w:rsidRDefault="00924A0D" w:rsidP="00E85D75">
      <w:pPr>
        <w:pStyle w:val="Heading3"/>
        <w:numPr>
          <w:ilvl w:val="1"/>
          <w:numId w:val="10"/>
        </w:numPr>
      </w:pPr>
      <w:bookmarkStart w:id="84" w:name="_Toc110502622"/>
      <w:r>
        <w:t>QUASI-DYNAMIC SIMULATION RESULTS</w:t>
      </w:r>
      <w:r w:rsidR="00830D1B">
        <w:t xml:space="preserve"> OF THE MICROGRID</w:t>
      </w:r>
      <w:bookmarkEnd w:id="84"/>
    </w:p>
    <w:p w14:paraId="41B13215" w14:textId="325A2B90" w:rsidR="00924A0D" w:rsidRPr="00924A0D" w:rsidRDefault="00924A0D" w:rsidP="00924A0D">
      <w:pPr>
        <w:spacing w:line="480" w:lineRule="auto"/>
        <w:rPr>
          <w:lang w:val="en-US"/>
        </w:rPr>
      </w:pPr>
      <w:r>
        <w:rPr>
          <w:lang w:val="en-US"/>
        </w:rPr>
        <w:t>Two scenarios of the microgrid were considered based on Figures 3.15 and Figure 3.16 respectively. In the first scenario, there was a single power-injection bus, while the second scenario had both bus 1 and bus 6 as power injection points, with the CSP being connected closer to bus 6.</w:t>
      </w:r>
      <w:r w:rsidR="00AC0DAE">
        <w:rPr>
          <w:lang w:val="en-US"/>
        </w:rPr>
        <w:t xml:space="preserve"> In both cases, the instantaneous IVD for each hour for each bus for each hour was computed</w:t>
      </w:r>
      <w:r w:rsidR="00B305BB">
        <w:rPr>
          <w:lang w:val="en-US"/>
        </w:rPr>
        <w:t xml:space="preserve"> (to highlight potential problematic buses)</w:t>
      </w:r>
      <w:r w:rsidR="00AC0DAE">
        <w:rPr>
          <w:lang w:val="en-US"/>
        </w:rPr>
        <w:t xml:space="preserve">, and then the average instantaneous IVD for all buses was computed for each hour </w:t>
      </w:r>
      <w:r w:rsidR="00B305BB">
        <w:rPr>
          <w:lang w:val="en-US"/>
        </w:rPr>
        <w:t>(the true IVD according to the mathematical formulation)</w:t>
      </w:r>
      <w:r w:rsidR="00AC0DAE">
        <w:rPr>
          <w:lang w:val="en-US"/>
        </w:rPr>
        <w:t xml:space="preserve">. </w:t>
      </w:r>
      <w:r w:rsidR="00535816">
        <w:rPr>
          <w:lang w:val="en-US"/>
        </w:rPr>
        <w:t>Monthly</w:t>
      </w:r>
      <w:r w:rsidR="00AC0DAE">
        <w:rPr>
          <w:lang w:val="en-US"/>
        </w:rPr>
        <w:t>,</w:t>
      </w:r>
      <w:r w:rsidR="00B305BB">
        <w:rPr>
          <w:lang w:val="en-US"/>
        </w:rPr>
        <w:t xml:space="preserve"> for summary purposes, the</w:t>
      </w:r>
      <w:r w:rsidR="00AC0DAE">
        <w:rPr>
          <w:lang w:val="en-US"/>
        </w:rPr>
        <w:t xml:space="preserve"> average monthly IVDs for the buses and for the entire system (for all buses) were also computed. As mentioned in Chapter 3, the threshold for acceptable IVD is 10%, with smaller IVDs indicating more stable voltage profiles.</w:t>
      </w:r>
    </w:p>
    <w:p w14:paraId="53DEBCE9" w14:textId="3757C82F" w:rsidR="005830D3" w:rsidRDefault="009722DF" w:rsidP="00565960">
      <w:pPr>
        <w:pStyle w:val="Heading3"/>
      </w:pPr>
      <w:bookmarkStart w:id="85" w:name="_Toc110502623"/>
      <w:r>
        <w:t>4.</w:t>
      </w:r>
      <w:r w:rsidR="00ED52EB">
        <w:t>4.1</w:t>
      </w:r>
      <w:r>
        <w:tab/>
      </w:r>
      <w:r w:rsidR="00565960">
        <w:t>Results of the IVD Analysis</w:t>
      </w:r>
      <w:r w:rsidR="0099460B">
        <w:t xml:space="preserve"> for First Scenario (Single Power  Point)</w:t>
      </w:r>
      <w:bookmarkEnd w:id="85"/>
    </w:p>
    <w:p w14:paraId="1BDE7478" w14:textId="78B97D23" w:rsidR="00297999" w:rsidRDefault="00565960" w:rsidP="0084372A">
      <w:pPr>
        <w:spacing w:line="480" w:lineRule="auto"/>
        <w:rPr>
          <w:lang w:val="en-US"/>
        </w:rPr>
      </w:pPr>
      <w:r>
        <w:rPr>
          <w:lang w:val="en-US"/>
        </w:rPr>
        <w:t xml:space="preserve">Results of the IVD analysis </w:t>
      </w:r>
      <w:r w:rsidR="003C6082">
        <w:rPr>
          <w:lang w:val="en-US"/>
        </w:rPr>
        <w:t xml:space="preserve">for the first scenario, with CSP sharing the power injection bus with PV and hydro, </w:t>
      </w:r>
      <w:r w:rsidR="00D80F93">
        <w:rPr>
          <w:lang w:val="en-US"/>
        </w:rPr>
        <w:t>show the average IVD for each month as shown in Tabl</w:t>
      </w:r>
      <w:r w:rsidR="001D3511">
        <w:rPr>
          <w:lang w:val="en-US"/>
        </w:rPr>
        <w:t>e</w:t>
      </w:r>
      <w:r w:rsidR="00535816">
        <w:rPr>
          <w:lang w:val="en-US"/>
        </w:rPr>
        <w:t>s</w:t>
      </w:r>
      <w:r w:rsidR="001D3511">
        <w:rPr>
          <w:lang w:val="en-US"/>
        </w:rPr>
        <w:t xml:space="preserve"> 4.</w:t>
      </w:r>
      <w:r w:rsidR="005339B5">
        <w:rPr>
          <w:lang w:val="en-US"/>
        </w:rPr>
        <w:t>9 and 4.10</w:t>
      </w:r>
      <w:r w:rsidR="00D80F93">
        <w:rPr>
          <w:lang w:val="en-US"/>
        </w:rPr>
        <w:t>. The results show that the voltage profile for each month is decent on average. The month of January experiences the least stability of voltage by this metric, while October experiences more stability.</w:t>
      </w:r>
      <w:r w:rsidR="00BD39C0">
        <w:rPr>
          <w:lang w:val="en-US"/>
        </w:rPr>
        <w:t xml:space="preserve"> However, Bus 6 is responsible for the bulk of </w:t>
      </w:r>
      <w:r w:rsidR="00535816">
        <w:rPr>
          <w:lang w:val="en-US"/>
        </w:rPr>
        <w:t xml:space="preserve">the </w:t>
      </w:r>
      <w:r w:rsidR="00BD39C0">
        <w:rPr>
          <w:lang w:val="en-US"/>
        </w:rPr>
        <w:t>contribution to the average IVD for all buses. This is because, as shown in T</w:t>
      </w:r>
      <w:r w:rsidR="005339B5">
        <w:rPr>
          <w:lang w:val="en-US"/>
        </w:rPr>
        <w:t>able 4.10</w:t>
      </w:r>
      <w:r w:rsidR="00AB6EB2">
        <w:rPr>
          <w:lang w:val="en-US"/>
        </w:rPr>
        <w:t>, the</w:t>
      </w:r>
      <w:r w:rsidR="00597EE7">
        <w:rPr>
          <w:lang w:val="en-US"/>
        </w:rPr>
        <w:t xml:space="preserve"> IVD for bus 6 ranges between 5 and 10%, which shows that the voltage is marginally stable on that particular bus</w:t>
      </w:r>
      <w:r w:rsidR="00AB6EB2">
        <w:rPr>
          <w:lang w:val="en-US"/>
        </w:rPr>
        <w:t>.</w:t>
      </w:r>
      <w:r w:rsidR="00D80F93">
        <w:rPr>
          <w:lang w:val="en-US"/>
        </w:rPr>
        <w:t xml:space="preserve"> </w:t>
      </w:r>
      <w:r w:rsidR="00001A27">
        <w:rPr>
          <w:lang w:val="en-US"/>
        </w:rPr>
        <w:t>This trend would be different if the configuration of the microgrid were to be different. This is because the distribution of heavier loads on the farthest part of the microgrid from the injection bus leads to worse performance on that bus</w:t>
      </w:r>
      <w:r w:rsidR="00BD39C0">
        <w:rPr>
          <w:lang w:val="en-US"/>
        </w:rPr>
        <w:t xml:space="preserve"> (which is bus 6)</w:t>
      </w:r>
      <w:r w:rsidR="00001A27">
        <w:rPr>
          <w:lang w:val="en-US"/>
        </w:rPr>
        <w:t xml:space="preserve"> and high levels of voltage instability over the course of the year</w:t>
      </w:r>
      <w:r w:rsidR="00535816">
        <w:rPr>
          <w:lang w:val="en-US"/>
        </w:rPr>
        <w:t>,</w:t>
      </w:r>
      <w:r w:rsidR="00001A27">
        <w:rPr>
          <w:lang w:val="en-US"/>
        </w:rPr>
        <w:t xml:space="preserve"> especially in January. To correct for this, </w:t>
      </w:r>
      <w:r w:rsidR="00772307">
        <w:rPr>
          <w:lang w:val="en-US"/>
        </w:rPr>
        <w:t xml:space="preserve">special cabling arrangements may have to be made, or </w:t>
      </w:r>
      <w:r w:rsidR="00535816">
        <w:rPr>
          <w:lang w:val="en-US"/>
        </w:rPr>
        <w:t xml:space="preserve">the </w:t>
      </w:r>
      <w:r w:rsidR="00772307">
        <w:rPr>
          <w:lang w:val="en-US"/>
        </w:rPr>
        <w:t xml:space="preserve">addition of </w:t>
      </w:r>
      <w:r w:rsidR="00535816">
        <w:rPr>
          <w:lang w:val="en-US"/>
        </w:rPr>
        <w:t xml:space="preserve">a </w:t>
      </w:r>
      <w:r w:rsidR="00772307">
        <w:rPr>
          <w:lang w:val="en-US"/>
        </w:rPr>
        <w:t>transformer. However, the latter option has the potential to introduce radiality into this distribution network, which, has until now been avoided.</w:t>
      </w:r>
      <w:r w:rsidR="00001A27">
        <w:rPr>
          <w:lang w:val="en-US"/>
        </w:rPr>
        <w:t xml:space="preserve">  </w:t>
      </w:r>
      <w:r w:rsidR="006903BE">
        <w:rPr>
          <w:lang w:val="en-US"/>
        </w:rPr>
        <w:t>The figures from Figure 4.17 to Figure 4.28</w:t>
      </w:r>
      <w:r w:rsidR="00297999">
        <w:rPr>
          <w:lang w:val="en-US"/>
        </w:rPr>
        <w:t xml:space="preserve"> show the quasi-dynamic results of the average IVD for each hour of each month, from January to December.</w:t>
      </w:r>
      <w:r w:rsidR="00C66E84">
        <w:rPr>
          <w:lang w:val="en-US"/>
        </w:rPr>
        <w:t xml:space="preserve"> In January, the </w:t>
      </w:r>
      <w:r w:rsidR="00E01C7F">
        <w:rPr>
          <w:lang w:val="en-US"/>
        </w:rPr>
        <w:t xml:space="preserve">average </w:t>
      </w:r>
      <w:r w:rsidR="00C66E84">
        <w:rPr>
          <w:lang w:val="en-US"/>
        </w:rPr>
        <w:t>IVD mostly stay</w:t>
      </w:r>
      <w:r w:rsidR="00871E07">
        <w:rPr>
          <w:lang w:val="en-US"/>
        </w:rPr>
        <w:t>ed</w:t>
      </w:r>
      <w:r w:rsidR="00C66E84">
        <w:rPr>
          <w:lang w:val="en-US"/>
        </w:rPr>
        <w:t xml:space="preserve"> under 5%</w:t>
      </w:r>
      <w:r w:rsidR="00871E07">
        <w:rPr>
          <w:lang w:val="en-US"/>
        </w:rPr>
        <w:t xml:space="preserve"> but went</w:t>
      </w:r>
      <w:r w:rsidR="00E01C7F">
        <w:rPr>
          <w:lang w:val="en-US"/>
        </w:rPr>
        <w:t xml:space="preserve"> up to 5.22% occasionally. However, Bus 6 experienced unacceptable voltage levels with up to 23% IVD which exceeds the tolerance of 10%. In this regard, January proved to be the month with </w:t>
      </w:r>
      <w:r w:rsidR="00535816">
        <w:rPr>
          <w:lang w:val="en-US"/>
        </w:rPr>
        <w:t xml:space="preserve">the </w:t>
      </w:r>
      <w:r w:rsidR="00E01C7F">
        <w:rPr>
          <w:lang w:val="en-US"/>
        </w:rPr>
        <w:t>least stability.</w:t>
      </w:r>
    </w:p>
    <w:p w14:paraId="158B9C58" w14:textId="5CB68BDC" w:rsidR="00297999" w:rsidRDefault="00297999" w:rsidP="00496E62">
      <w:pPr>
        <w:spacing w:line="240" w:lineRule="auto"/>
        <w:jc w:val="center"/>
        <w:rPr>
          <w:lang w:val="en-US"/>
        </w:rPr>
      </w:pPr>
      <w:r>
        <w:rPr>
          <w:rFonts w:ascii="Consolas" w:eastAsia="Times New Roman" w:hAnsi="Consolas"/>
          <w:noProof/>
          <w:color w:val="404040"/>
          <w:lang w:val="en-US"/>
        </w:rPr>
        <w:drawing>
          <wp:inline distT="0" distB="0" distL="0" distR="0" wp14:anchorId="683B8BA6" wp14:editId="4F6940A3">
            <wp:extent cx="4457700" cy="3345180"/>
            <wp:effectExtent l="0" t="0" r="0" b="7620"/>
            <wp:docPr id="38" name="uniqName_162_291" descr="https://www.mathworks.com/fil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291" descr="https://www.mathworks.com/file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62205DF2" w14:textId="23B6E795" w:rsidR="00496E62" w:rsidRDefault="006903BE" w:rsidP="00496E62">
      <w:pPr>
        <w:spacing w:line="240" w:lineRule="auto"/>
        <w:jc w:val="center"/>
        <w:rPr>
          <w:lang w:val="en-US"/>
        </w:rPr>
      </w:pPr>
      <w:r>
        <w:rPr>
          <w:b/>
          <w:sz w:val="20"/>
          <w:szCs w:val="20"/>
          <w:lang w:val="en-US"/>
        </w:rPr>
        <w:t>Figure 4.17</w:t>
      </w:r>
      <w:r w:rsidR="00496E62">
        <w:rPr>
          <w:b/>
          <w:sz w:val="20"/>
          <w:szCs w:val="20"/>
          <w:lang w:val="en-US"/>
        </w:rPr>
        <w:t xml:space="preserve"> – Average IVD in the microgrid in January</w:t>
      </w:r>
      <w:r w:rsidR="00611722">
        <w:rPr>
          <w:b/>
          <w:sz w:val="20"/>
          <w:szCs w:val="20"/>
          <w:lang w:val="en-US"/>
        </w:rPr>
        <w:t xml:space="preserve"> (Scenario 1)</w:t>
      </w:r>
      <w:r w:rsidR="00496E62">
        <w:rPr>
          <w:b/>
          <w:sz w:val="20"/>
          <w:szCs w:val="20"/>
          <w:lang w:val="en-US"/>
        </w:rPr>
        <w:t>.</w:t>
      </w:r>
    </w:p>
    <w:p w14:paraId="0094A88B" w14:textId="6406DFC2" w:rsidR="00871E07" w:rsidRDefault="00E01C7F" w:rsidP="00E01C7F">
      <w:pPr>
        <w:spacing w:line="480" w:lineRule="auto"/>
        <w:rPr>
          <w:lang w:val="en-US"/>
        </w:rPr>
      </w:pPr>
      <w:r>
        <w:rPr>
          <w:lang w:val="en-US"/>
        </w:rPr>
        <w:t xml:space="preserve">February results showed more stability than January. However, Bus 6 experienced up to 15.9 % IVD which is also not acceptable for that particular bus. However, the average IVD for the bus mostly remained within </w:t>
      </w:r>
      <w:r w:rsidR="00871E07">
        <w:rPr>
          <w:lang w:val="en-US"/>
        </w:rPr>
        <w:t>3.56% at all times, which means that the voltage stability on most of the buses is acceptable even at this time except for bus 6 which suffers from voltage stability problems due in part to the losses along the paths from the source to the bus. This is a potential challenge with operating a standalone microgrid as the infinite-busbar assumption no longer holds in this particular simulation, as it would be in real life. The frequency has been preserved at the expense of the voltage in this particular scenario. However, this challenge is not one of generation adequacy but of the distribution network characteristics.</w:t>
      </w:r>
    </w:p>
    <w:p w14:paraId="11436F67" w14:textId="53825CB4"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739FB2C7" wp14:editId="509A6CFC">
            <wp:extent cx="4457700" cy="3345180"/>
            <wp:effectExtent l="0" t="0" r="0" b="7620"/>
            <wp:docPr id="42" name="uniqName_162_295" descr="https://www.mathworks.com/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295" descr="https://www.mathworks.com/file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B2B4A3E" w14:textId="24081AF9" w:rsidR="00496E62" w:rsidRDefault="006903BE" w:rsidP="002D28A0">
      <w:pPr>
        <w:spacing w:line="240" w:lineRule="auto"/>
        <w:jc w:val="center"/>
        <w:rPr>
          <w:lang w:val="en-US"/>
        </w:rPr>
      </w:pPr>
      <w:r>
        <w:rPr>
          <w:b/>
          <w:sz w:val="20"/>
          <w:szCs w:val="20"/>
          <w:lang w:val="en-US"/>
        </w:rPr>
        <w:t>Figure 4.18</w:t>
      </w:r>
      <w:r w:rsidR="00496E62">
        <w:rPr>
          <w:b/>
          <w:sz w:val="20"/>
          <w:szCs w:val="20"/>
          <w:lang w:val="en-US"/>
        </w:rPr>
        <w:t xml:space="preserve"> – Average IVD in the microgrid in February</w:t>
      </w:r>
      <w:r w:rsidR="00611722">
        <w:rPr>
          <w:b/>
          <w:sz w:val="20"/>
          <w:szCs w:val="20"/>
          <w:lang w:val="en-US"/>
        </w:rPr>
        <w:t xml:space="preserve"> (Scenario 1)</w:t>
      </w:r>
      <w:r w:rsidR="00496E62">
        <w:rPr>
          <w:b/>
          <w:sz w:val="20"/>
          <w:szCs w:val="20"/>
          <w:lang w:val="en-US"/>
        </w:rPr>
        <w:t>.</w:t>
      </w:r>
    </w:p>
    <w:p w14:paraId="4B029C04" w14:textId="492EC01E" w:rsidR="00D72779" w:rsidRDefault="00D72779" w:rsidP="0084372A">
      <w:pPr>
        <w:spacing w:line="480" w:lineRule="auto"/>
        <w:rPr>
          <w:lang w:val="en-US"/>
        </w:rPr>
      </w:pPr>
      <w:r>
        <w:rPr>
          <w:lang w:val="en-US"/>
        </w:rPr>
        <w:t>The month of March showed more improvement in the voltage stability characteristics, as the average IVD for all buses stayed within a range of 3.15% compared to 3.56 in February. The maximum instantaneous IVD recorded during this month was 14.57%</w:t>
      </w:r>
      <w:r w:rsidR="0094013E">
        <w:rPr>
          <w:lang w:val="en-US"/>
        </w:rPr>
        <w:t xml:space="preserve"> also on B</w:t>
      </w:r>
      <w:r>
        <w:rPr>
          <w:lang w:val="en-US"/>
        </w:rPr>
        <w:t>us 6. This is closer to the 10% range which is considered acceptable in this kind of system. Also, this is still the only bus on the system that shows this exceeded-limit characteristic</w:t>
      </w:r>
      <w:r w:rsidR="0094013E">
        <w:rPr>
          <w:lang w:val="en-US"/>
        </w:rPr>
        <w:t>, while all other buses show acceptable voltage ranges consistently</w:t>
      </w:r>
      <w:r>
        <w:rPr>
          <w:lang w:val="en-US"/>
        </w:rPr>
        <w:t xml:space="preserve">. </w:t>
      </w:r>
    </w:p>
    <w:p w14:paraId="09EC8738" w14:textId="1543212A"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078A995A" wp14:editId="6B29BDD3">
            <wp:extent cx="4457700" cy="3345180"/>
            <wp:effectExtent l="0" t="0" r="0" b="7620"/>
            <wp:docPr id="43" name="uniqName_162_297" descr="https://www.mathworks.com/f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297" descr="https://www.mathworks.com/file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B5C155C" w14:textId="76C27793" w:rsidR="00496E62" w:rsidRDefault="006903BE" w:rsidP="002D28A0">
      <w:pPr>
        <w:spacing w:line="240" w:lineRule="auto"/>
        <w:jc w:val="center"/>
        <w:rPr>
          <w:lang w:val="en-US"/>
        </w:rPr>
      </w:pPr>
      <w:r>
        <w:rPr>
          <w:b/>
          <w:sz w:val="20"/>
          <w:szCs w:val="20"/>
          <w:lang w:val="en-US"/>
        </w:rPr>
        <w:t>Figure 4.19</w:t>
      </w:r>
      <w:r w:rsidR="00496E62">
        <w:rPr>
          <w:b/>
          <w:sz w:val="20"/>
          <w:szCs w:val="20"/>
          <w:lang w:val="en-US"/>
        </w:rPr>
        <w:t xml:space="preserve"> – Average IVD in the microgrid in March</w:t>
      </w:r>
      <w:r w:rsidR="00611722">
        <w:rPr>
          <w:b/>
          <w:sz w:val="20"/>
          <w:szCs w:val="20"/>
          <w:lang w:val="en-US"/>
        </w:rPr>
        <w:t xml:space="preserve"> (Scenario 1)</w:t>
      </w:r>
      <w:r w:rsidR="00496E62">
        <w:rPr>
          <w:b/>
          <w:sz w:val="20"/>
          <w:szCs w:val="20"/>
          <w:lang w:val="en-US"/>
        </w:rPr>
        <w:t>.</w:t>
      </w:r>
    </w:p>
    <w:p w14:paraId="22CC6D2F" w14:textId="035DAC2D" w:rsidR="0094013E" w:rsidRDefault="0094013E" w:rsidP="0084372A">
      <w:pPr>
        <w:spacing w:line="480" w:lineRule="auto"/>
        <w:rPr>
          <w:lang w:val="en-US"/>
        </w:rPr>
      </w:pPr>
      <w:r>
        <w:rPr>
          <w:lang w:val="en-US"/>
        </w:rPr>
        <w:t xml:space="preserve">In the month of April, the voltage stability characteristic did not show any major improvement over the month of March. The overall profile stayed nearly the same, except that the range of deviation increased to 3.48% in April compared to 3.15% in March. The decrease in stability may also be attributed to an increased load variation compared to the previous month. This can be deduced because the battery storage system in April is seen to not be stressed, meaning that generation adequacy is not the issue. As in previous months, Bus 6 was the only month which exceeded the voltage profile stability limits during some hours of operation of the microgrid with 15.6% being the maximum instantaneous IVD recorded during April. For comparison, the least stable bus after Bus 6 was Bus 5, which had only 2.26% IVD, showing that in the first third of the year, Bus 6 distinguished itself as </w:t>
      </w:r>
      <w:r w:rsidR="00B90C09">
        <w:rPr>
          <w:lang w:val="en-US"/>
        </w:rPr>
        <w:t>a bus with voltage stability problems unlike the other buses on the microgrid.</w:t>
      </w:r>
    </w:p>
    <w:p w14:paraId="26BFFDD3" w14:textId="2E52B466"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655FC32E" wp14:editId="25CFA4C3">
            <wp:extent cx="4457700" cy="3345180"/>
            <wp:effectExtent l="0" t="0" r="0" b="7620"/>
            <wp:docPr id="44" name="uniqName_162_299" descr="https://www.mathworks.com/f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299" descr="https://www.mathworks.com/file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35DF730A" w14:textId="506BA497" w:rsidR="00496E62" w:rsidRDefault="006903BE" w:rsidP="002D28A0">
      <w:pPr>
        <w:spacing w:line="240" w:lineRule="auto"/>
        <w:jc w:val="center"/>
        <w:rPr>
          <w:lang w:val="en-US"/>
        </w:rPr>
      </w:pPr>
      <w:r>
        <w:rPr>
          <w:b/>
          <w:sz w:val="20"/>
          <w:szCs w:val="20"/>
          <w:lang w:val="en-US"/>
        </w:rPr>
        <w:t>Figure 4.20</w:t>
      </w:r>
      <w:r w:rsidR="00496E62">
        <w:rPr>
          <w:b/>
          <w:sz w:val="20"/>
          <w:szCs w:val="20"/>
          <w:lang w:val="en-US"/>
        </w:rPr>
        <w:t xml:space="preserve"> – Average IVD in the microgrid in April</w:t>
      </w:r>
      <w:r w:rsidR="00611722">
        <w:rPr>
          <w:b/>
          <w:sz w:val="20"/>
          <w:szCs w:val="20"/>
          <w:lang w:val="en-US"/>
        </w:rPr>
        <w:t xml:space="preserve"> (Scenario 1)</w:t>
      </w:r>
      <w:r w:rsidR="00496E62">
        <w:rPr>
          <w:b/>
          <w:sz w:val="20"/>
          <w:szCs w:val="20"/>
          <w:lang w:val="en-US"/>
        </w:rPr>
        <w:t>.</w:t>
      </w:r>
    </w:p>
    <w:p w14:paraId="32B094D7" w14:textId="1853165F" w:rsidR="00B90C09" w:rsidRDefault="00BF3C5F" w:rsidP="0084372A">
      <w:pPr>
        <w:spacing w:line="480" w:lineRule="auto"/>
        <w:rPr>
          <w:lang w:val="en-US"/>
        </w:rPr>
      </w:pPr>
      <w:r>
        <w:rPr>
          <w:lang w:val="en-US"/>
        </w:rPr>
        <w:t xml:space="preserve">In May, there was </w:t>
      </w:r>
      <w:r w:rsidR="00535816">
        <w:rPr>
          <w:lang w:val="en-US"/>
        </w:rPr>
        <w:t xml:space="preserve">an </w:t>
      </w:r>
      <w:r>
        <w:rPr>
          <w:lang w:val="en-US"/>
        </w:rPr>
        <w:t xml:space="preserve">improvement in the voltage stability of the bus. This is probably attributable to the increase in baseline hydropower generation as well as a relatively benign load profile compared to previous months. The voltage on buses 1 to 5 were all within very stable ranges with IVD of 2.014% being the maximum IVD obtained on Bus 5. However, the sixth bus continued to show occasions of exceeding the tolerable IVD range, with up to 13.89% IVD which is still better than that of all previous months. The average IVD of 3.12% on all buses shows that the microgrid is comparatively stable in May compared to other months. Even so, analysis of the results showed that Bus 6 was stable 87% of the time during this period. </w:t>
      </w:r>
    </w:p>
    <w:p w14:paraId="596C8D57" w14:textId="6817EDF1" w:rsidR="00BF3C5F" w:rsidRDefault="00BF3C5F" w:rsidP="0084372A">
      <w:pPr>
        <w:spacing w:line="480" w:lineRule="auto"/>
        <w:rPr>
          <w:lang w:val="en-US"/>
        </w:rPr>
      </w:pPr>
      <w:r>
        <w:rPr>
          <w:lang w:val="en-US"/>
        </w:rPr>
        <w:t xml:space="preserve">In June, the </w:t>
      </w:r>
      <w:r w:rsidR="000F468B">
        <w:rPr>
          <w:lang w:val="en-US"/>
        </w:rPr>
        <w:t>stability of the microgrid continued to improve such that the average IVD on all buses stayed within the range of 3.01%. By this time, the hydropower generation had peaked at 200kW and the CSP generation had started to drop. However, the PV, in conjunction with the battery and inverter system fully took up the slack in this period. The voltage</w:t>
      </w:r>
      <w:r w:rsidR="00535816">
        <w:rPr>
          <w:lang w:val="en-US"/>
        </w:rPr>
        <w:t>s</w:t>
      </w:r>
      <w:r w:rsidR="000F468B">
        <w:rPr>
          <w:lang w:val="en-US"/>
        </w:rPr>
        <w:t xml:space="preserve"> on buses 1 to 5 w</w:t>
      </w:r>
      <w:r w:rsidR="00535816">
        <w:rPr>
          <w:lang w:val="en-US"/>
        </w:rPr>
        <w:t>ere</w:t>
      </w:r>
      <w:r w:rsidR="000F468B">
        <w:rPr>
          <w:lang w:val="en-US"/>
        </w:rPr>
        <w:t xml:space="preserve"> highly stable as usual, with 1.94% being the worst case obtained on Bus 5 during June. The sixth bus continued to show IVD in the range of 13.38%. Analysis of the results showed that Bus 6 was within acceptable IVD limits 88% of the time.</w:t>
      </w:r>
    </w:p>
    <w:p w14:paraId="3243C937" w14:textId="66B5D2AC"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45376422" wp14:editId="79094B95">
            <wp:extent cx="4457700" cy="3345180"/>
            <wp:effectExtent l="0" t="0" r="0" b="7620"/>
            <wp:docPr id="45" name="uniqName_162_303" descr="https://www.mathworks.com/fi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03" descr="https://www.mathworks.com/file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686006B8" w14:textId="1D08E2E8" w:rsidR="00496E62" w:rsidRDefault="006903BE" w:rsidP="002D28A0">
      <w:pPr>
        <w:spacing w:line="240" w:lineRule="auto"/>
        <w:jc w:val="center"/>
        <w:rPr>
          <w:lang w:val="en-US"/>
        </w:rPr>
      </w:pPr>
      <w:r>
        <w:rPr>
          <w:b/>
          <w:sz w:val="20"/>
          <w:szCs w:val="20"/>
          <w:lang w:val="en-US"/>
        </w:rPr>
        <w:t>Figure 4.21</w:t>
      </w:r>
      <w:r w:rsidR="00496E62">
        <w:rPr>
          <w:b/>
          <w:sz w:val="20"/>
          <w:szCs w:val="20"/>
          <w:lang w:val="en-US"/>
        </w:rPr>
        <w:t xml:space="preserve"> – Average IVD in the microgrid in May</w:t>
      </w:r>
      <w:r w:rsidR="00611722">
        <w:rPr>
          <w:b/>
          <w:sz w:val="20"/>
          <w:szCs w:val="20"/>
          <w:lang w:val="en-US"/>
        </w:rPr>
        <w:t xml:space="preserve"> (Scenario 1)</w:t>
      </w:r>
      <w:r w:rsidR="00496E62">
        <w:rPr>
          <w:b/>
          <w:sz w:val="20"/>
          <w:szCs w:val="20"/>
          <w:lang w:val="en-US"/>
        </w:rPr>
        <w:t>.</w:t>
      </w:r>
    </w:p>
    <w:p w14:paraId="622E7174" w14:textId="1CABC28D" w:rsidR="000F468B" w:rsidRDefault="000F468B" w:rsidP="0084372A">
      <w:pPr>
        <w:spacing w:line="480" w:lineRule="auto"/>
        <w:rPr>
          <w:lang w:val="en-US"/>
        </w:rPr>
      </w:pPr>
      <w:r>
        <w:rPr>
          <w:lang w:val="en-US"/>
        </w:rPr>
        <w:t>July showed more improvements in the IVD ranges of the microgrid as the average IVD stayed consistently within the range of 2.79%. In terms of absolute limits, this showed a stability improvement for the microgrid in general. Bus 6 also showed its closest approach to being within</w:t>
      </w:r>
      <w:r w:rsidR="00F67F5F">
        <w:rPr>
          <w:lang w:val="en-US"/>
        </w:rPr>
        <w:t xml:space="preserve"> tolerable (10%)</w:t>
      </w:r>
      <w:r>
        <w:rPr>
          <w:lang w:val="en-US"/>
        </w:rPr>
        <w:t xml:space="preserve"> limits than all months</w:t>
      </w:r>
      <w:r w:rsidR="00F67F5F">
        <w:rPr>
          <w:lang w:val="en-US"/>
        </w:rPr>
        <w:t xml:space="preserve"> in the first half of the year. The worst IVD obtained on the system outside of bus 6 was 1.8%. However, bus 6 showed </w:t>
      </w:r>
      <w:r w:rsidR="00535816">
        <w:rPr>
          <w:lang w:val="en-US"/>
        </w:rPr>
        <w:t>the</w:t>
      </w:r>
      <w:r w:rsidR="00F67F5F">
        <w:rPr>
          <w:lang w:val="en-US"/>
        </w:rPr>
        <w:t xml:space="preserve"> worst instantaneous IVD of 12.37%, continuing its streak of tolerance exceedance into the second half of the year but being closer to consistent stability than previously. The analysis of results showed that the bus 6 IVD was within limits 83% of the time compared to 87% in May. However, it exceed</w:t>
      </w:r>
      <w:r w:rsidR="00407585">
        <w:rPr>
          <w:lang w:val="en-US"/>
        </w:rPr>
        <w:t>ed</w:t>
      </w:r>
      <w:r w:rsidR="00F67F5F">
        <w:rPr>
          <w:lang w:val="en-US"/>
        </w:rPr>
        <w:t xml:space="preserve"> the limits with only 1 or 2% most of the time</w:t>
      </w:r>
      <w:r w:rsidR="00407585">
        <w:rPr>
          <w:lang w:val="en-US"/>
        </w:rPr>
        <w:t xml:space="preserve"> during this month</w:t>
      </w:r>
      <w:r w:rsidR="00F67F5F">
        <w:rPr>
          <w:lang w:val="en-US"/>
        </w:rPr>
        <w:t>.</w:t>
      </w:r>
    </w:p>
    <w:p w14:paraId="1F748716" w14:textId="7B7A6112"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515339E9" wp14:editId="00E17571">
            <wp:extent cx="4457700" cy="3345180"/>
            <wp:effectExtent l="0" t="0" r="0" b="7620"/>
            <wp:docPr id="46" name="uniqName_162_305" descr="https://www.mathworks.com/fi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05" descr="https://www.mathworks.com/file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20EADA50" w14:textId="6E99BC3D" w:rsidR="00496E62" w:rsidRDefault="006903BE" w:rsidP="000B54F2">
      <w:pPr>
        <w:spacing w:line="240" w:lineRule="auto"/>
        <w:jc w:val="center"/>
        <w:rPr>
          <w:lang w:val="en-US"/>
        </w:rPr>
      </w:pPr>
      <w:r>
        <w:rPr>
          <w:b/>
          <w:sz w:val="20"/>
          <w:szCs w:val="20"/>
          <w:lang w:val="en-US"/>
        </w:rPr>
        <w:t>Figure 4.22</w:t>
      </w:r>
      <w:r w:rsidR="00496E62">
        <w:rPr>
          <w:b/>
          <w:sz w:val="20"/>
          <w:szCs w:val="20"/>
          <w:lang w:val="en-US"/>
        </w:rPr>
        <w:t xml:space="preserve"> – Average IVD in the microgrid in June</w:t>
      </w:r>
      <w:r w:rsidR="00611722">
        <w:rPr>
          <w:b/>
          <w:sz w:val="20"/>
          <w:szCs w:val="20"/>
          <w:lang w:val="en-US"/>
        </w:rPr>
        <w:t xml:space="preserve"> (Scenario 1)</w:t>
      </w:r>
      <w:r w:rsidR="00496E62">
        <w:rPr>
          <w:b/>
          <w:sz w:val="20"/>
          <w:szCs w:val="20"/>
          <w:lang w:val="en-US"/>
        </w:rPr>
        <w:t>.</w:t>
      </w:r>
    </w:p>
    <w:p w14:paraId="3809B705" w14:textId="78D181A4"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3B6E263F" wp14:editId="0BBE0A6B">
            <wp:extent cx="4457700" cy="3345180"/>
            <wp:effectExtent l="0" t="0" r="0" b="7620"/>
            <wp:docPr id="47" name="uniqName_162_315" descr="https://www.mathworks.com/fil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15" descr="https://www.mathworks.com/file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18677B7F" w14:textId="275BC21C" w:rsidR="00496E62" w:rsidRDefault="006903BE" w:rsidP="002D28A0">
      <w:pPr>
        <w:spacing w:line="240" w:lineRule="auto"/>
        <w:jc w:val="center"/>
        <w:rPr>
          <w:lang w:val="en-US"/>
        </w:rPr>
      </w:pPr>
      <w:r>
        <w:rPr>
          <w:b/>
          <w:sz w:val="20"/>
          <w:szCs w:val="20"/>
          <w:lang w:val="en-US"/>
        </w:rPr>
        <w:t>Figure 4.23</w:t>
      </w:r>
      <w:r w:rsidR="00496E62">
        <w:rPr>
          <w:b/>
          <w:sz w:val="20"/>
          <w:szCs w:val="20"/>
          <w:lang w:val="en-US"/>
        </w:rPr>
        <w:t xml:space="preserve"> – Average IVD in the microgrid in July</w:t>
      </w:r>
      <w:r w:rsidR="00611722">
        <w:rPr>
          <w:b/>
          <w:sz w:val="20"/>
          <w:szCs w:val="20"/>
          <w:lang w:val="en-US"/>
        </w:rPr>
        <w:t xml:space="preserve"> (Scenario 1)</w:t>
      </w:r>
      <w:r w:rsidR="00496E62">
        <w:rPr>
          <w:b/>
          <w:sz w:val="20"/>
          <w:szCs w:val="20"/>
          <w:lang w:val="en-US"/>
        </w:rPr>
        <w:t>.</w:t>
      </w:r>
    </w:p>
    <w:p w14:paraId="58FDEA75" w14:textId="29274D02" w:rsidR="00407585" w:rsidRDefault="00407585" w:rsidP="0084372A">
      <w:pPr>
        <w:spacing w:line="480" w:lineRule="auto"/>
        <w:rPr>
          <w:lang w:val="en-US"/>
        </w:rPr>
      </w:pPr>
      <w:r>
        <w:rPr>
          <w:lang w:val="en-US"/>
        </w:rPr>
        <w:t xml:space="preserve">In August, the microgrid showed a slight decline in the dynamic performance of the microgrid due to load stochasticity in this period. The CSP generation reduced significantly by this time, but the battery and PV systems were able to take the slack. Around this time, the BESS began to be tasked more heavily but was not exceeded. This is </w:t>
      </w:r>
      <w:r w:rsidR="00535816">
        <w:rPr>
          <w:lang w:val="en-US"/>
        </w:rPr>
        <w:t>because</w:t>
      </w:r>
      <w:r>
        <w:rPr>
          <w:lang w:val="en-US"/>
        </w:rPr>
        <w:t xml:space="preserve"> although </w:t>
      </w:r>
      <w:r w:rsidR="00535816">
        <w:rPr>
          <w:lang w:val="en-US"/>
        </w:rPr>
        <w:t xml:space="preserve">the </w:t>
      </w:r>
      <w:r>
        <w:rPr>
          <w:lang w:val="en-US"/>
        </w:rPr>
        <w:t xml:space="preserve">precipitation is well increased in this period, the </w:t>
      </w:r>
      <w:r w:rsidR="00535816">
        <w:rPr>
          <w:lang w:val="en-US"/>
        </w:rPr>
        <w:t>optimally-</w:t>
      </w:r>
      <w:r w:rsidR="00895DF3">
        <w:rPr>
          <w:lang w:val="en-US"/>
        </w:rPr>
        <w:t xml:space="preserve">sized </w:t>
      </w:r>
      <w:r>
        <w:rPr>
          <w:lang w:val="en-US"/>
        </w:rPr>
        <w:t xml:space="preserve">hydro </w:t>
      </w:r>
      <w:r w:rsidR="00895DF3">
        <w:rPr>
          <w:lang w:val="en-US"/>
        </w:rPr>
        <w:t>turbine peaks at 200kW and cannot ramp up any further. The IVD of all buses except bus 6 were stable as usual with the worst instantaneous IVD excluding bus 6 being 2.25%. Bus 6 showed IVD as high as 15.8% on occasion, however</w:t>
      </w:r>
      <w:r w:rsidR="00535816">
        <w:rPr>
          <w:lang w:val="en-US"/>
        </w:rPr>
        <w:t>,</w:t>
      </w:r>
      <w:r w:rsidR="00895DF3">
        <w:rPr>
          <w:lang w:val="en-US"/>
        </w:rPr>
        <w:t xml:space="preserve"> its IVD was within limits 88% of the time.</w:t>
      </w:r>
    </w:p>
    <w:p w14:paraId="33D769DC" w14:textId="5E2F8059"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73D57A77" wp14:editId="5FC80BC8">
            <wp:extent cx="4457700" cy="3345180"/>
            <wp:effectExtent l="0" t="0" r="0" b="7620"/>
            <wp:docPr id="48" name="uniqName_162_317" descr="https://www.mathworks.com/fil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17" descr="https://www.mathworks.com/file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5F5BB02B" w14:textId="29FD6D50" w:rsidR="005A5C85" w:rsidRDefault="006903BE" w:rsidP="002D28A0">
      <w:pPr>
        <w:spacing w:line="240" w:lineRule="auto"/>
        <w:jc w:val="center"/>
        <w:rPr>
          <w:lang w:val="en-US"/>
        </w:rPr>
      </w:pPr>
      <w:r>
        <w:rPr>
          <w:b/>
          <w:sz w:val="20"/>
          <w:szCs w:val="20"/>
          <w:lang w:val="en-US"/>
        </w:rPr>
        <w:t>Figure 4.24</w:t>
      </w:r>
      <w:r w:rsidR="005A5C85">
        <w:rPr>
          <w:b/>
          <w:sz w:val="20"/>
          <w:szCs w:val="20"/>
          <w:lang w:val="en-US"/>
        </w:rPr>
        <w:t xml:space="preserve"> – Average IVD in the microgrid in August</w:t>
      </w:r>
      <w:r w:rsidR="00611722">
        <w:rPr>
          <w:b/>
          <w:sz w:val="20"/>
          <w:szCs w:val="20"/>
          <w:lang w:val="en-US"/>
        </w:rPr>
        <w:t xml:space="preserve"> (Scenario 1)</w:t>
      </w:r>
      <w:r w:rsidR="005A5C85">
        <w:rPr>
          <w:b/>
          <w:sz w:val="20"/>
          <w:szCs w:val="20"/>
          <w:lang w:val="en-US"/>
        </w:rPr>
        <w:t>.</w:t>
      </w:r>
    </w:p>
    <w:p w14:paraId="6AE1956C" w14:textId="54A7DA76" w:rsidR="00DF44F7" w:rsidRDefault="00543532" w:rsidP="0084372A">
      <w:pPr>
        <w:spacing w:line="480" w:lineRule="auto"/>
        <w:rPr>
          <w:lang w:val="en-US"/>
        </w:rPr>
      </w:pPr>
      <w:r>
        <w:rPr>
          <w:lang w:val="en-US"/>
        </w:rPr>
        <w:t>In the ninth month of the year, the average IVD obtained on all buses stayed within the range of 3.68%. The CSP generation was at its annual lowest at this time, while the hydropower had started to ebb gradually away from its 200kW peak. The battery-inverter system and PV array</w:t>
      </w:r>
      <w:r w:rsidR="00D44F65">
        <w:rPr>
          <w:lang w:val="en-US"/>
        </w:rPr>
        <w:t>,</w:t>
      </w:r>
      <w:r>
        <w:rPr>
          <w:lang w:val="en-US"/>
        </w:rPr>
        <w:t xml:space="preserve"> during this period</w:t>
      </w:r>
      <w:r w:rsidR="00D44F65">
        <w:rPr>
          <w:lang w:val="en-US"/>
        </w:rPr>
        <w:t>,</w:t>
      </w:r>
      <w:r>
        <w:rPr>
          <w:lang w:val="en-US"/>
        </w:rPr>
        <w:t xml:space="preserve"> were heavily tasked. However, as deduced by HOMER, they were a</w:t>
      </w:r>
      <w:r w:rsidR="00D44F65">
        <w:rPr>
          <w:lang w:val="en-US"/>
        </w:rPr>
        <w:t xml:space="preserve">ble to take up the slack </w:t>
      </w:r>
      <w:r>
        <w:rPr>
          <w:lang w:val="en-US"/>
        </w:rPr>
        <w:t xml:space="preserve">comfortably with a lot of </w:t>
      </w:r>
      <w:r w:rsidR="00D44F65">
        <w:rPr>
          <w:lang w:val="en-US"/>
        </w:rPr>
        <w:t xml:space="preserve">bidirectional </w:t>
      </w:r>
      <w:r>
        <w:rPr>
          <w:lang w:val="en-US"/>
        </w:rPr>
        <w:t xml:space="preserve">power </w:t>
      </w:r>
      <w:r w:rsidR="00D44F65">
        <w:rPr>
          <w:lang w:val="en-US"/>
        </w:rPr>
        <w:t>flow in the energy storage system that month</w:t>
      </w:r>
      <w:r>
        <w:rPr>
          <w:lang w:val="en-US"/>
        </w:rPr>
        <w:t xml:space="preserve">, and the lowest State-of-Charge obtained in the </w:t>
      </w:r>
      <w:r w:rsidR="00D44F65">
        <w:rPr>
          <w:lang w:val="en-US"/>
        </w:rPr>
        <w:t xml:space="preserve">BESS </w:t>
      </w:r>
      <w:r>
        <w:rPr>
          <w:lang w:val="en-US"/>
        </w:rPr>
        <w:t xml:space="preserve">system under non-emergency operation of about 50%, well above the minimum </w:t>
      </w:r>
      <w:r w:rsidR="00535816">
        <w:rPr>
          <w:lang w:val="en-US"/>
        </w:rPr>
        <w:t xml:space="preserve">permissible </w:t>
      </w:r>
      <w:r>
        <w:rPr>
          <w:lang w:val="en-US"/>
        </w:rPr>
        <w:t xml:space="preserve">level for any serviceable lithium-ion batteries. The </w:t>
      </w:r>
      <w:r w:rsidR="00D44F65">
        <w:rPr>
          <w:lang w:val="en-US"/>
        </w:rPr>
        <w:t>IVD</w:t>
      </w:r>
      <w:r w:rsidR="00535816">
        <w:rPr>
          <w:lang w:val="en-US"/>
        </w:rPr>
        <w:t>s</w:t>
      </w:r>
      <w:r w:rsidR="00D44F65">
        <w:rPr>
          <w:lang w:val="en-US"/>
        </w:rPr>
        <w:t xml:space="preserve"> obtained on the buses in September were all within the acceptable range except for bus 6 which had a 16.6% IVD as its worst value during the month. The IVD on bus 6 was within limits 87% of the time. However, the other bus</w:t>
      </w:r>
      <w:r w:rsidR="00DF44F7">
        <w:rPr>
          <w:lang w:val="en-US"/>
        </w:rPr>
        <w:t>es</w:t>
      </w:r>
      <w:r w:rsidR="00D44F65">
        <w:rPr>
          <w:lang w:val="en-US"/>
        </w:rPr>
        <w:t xml:space="preserve"> performed excellently with </w:t>
      </w:r>
      <w:r w:rsidR="00535816">
        <w:rPr>
          <w:lang w:val="en-US"/>
        </w:rPr>
        <w:t xml:space="preserve">an </w:t>
      </w:r>
      <w:r w:rsidR="00D44F65">
        <w:rPr>
          <w:lang w:val="en-US"/>
        </w:rPr>
        <w:t xml:space="preserve">IVD of 2.28 or less. </w:t>
      </w:r>
    </w:p>
    <w:p w14:paraId="6E54FF81" w14:textId="6F05D038"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7C347DD4" wp14:editId="04CC277A">
            <wp:extent cx="4457700" cy="3345180"/>
            <wp:effectExtent l="0" t="0" r="0" b="7620"/>
            <wp:docPr id="49" name="uniqName_162_319" descr="https://www.mathworks.com/fil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19" descr="https://www.mathworks.com/file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D11D4A0" w14:textId="4E74FDEF" w:rsidR="005A5C85" w:rsidRDefault="006903BE" w:rsidP="002D28A0">
      <w:pPr>
        <w:spacing w:line="240" w:lineRule="auto"/>
        <w:jc w:val="center"/>
        <w:rPr>
          <w:lang w:val="en-US"/>
        </w:rPr>
      </w:pPr>
      <w:r>
        <w:rPr>
          <w:b/>
          <w:sz w:val="20"/>
          <w:szCs w:val="20"/>
          <w:lang w:val="en-US"/>
        </w:rPr>
        <w:t>Figure 4.25</w:t>
      </w:r>
      <w:r w:rsidR="005A5C85">
        <w:rPr>
          <w:b/>
          <w:sz w:val="20"/>
          <w:szCs w:val="20"/>
          <w:lang w:val="en-US"/>
        </w:rPr>
        <w:t xml:space="preserve"> – Average IVD in the microgrid in September</w:t>
      </w:r>
      <w:r w:rsidR="00611722">
        <w:rPr>
          <w:b/>
          <w:sz w:val="20"/>
          <w:szCs w:val="20"/>
          <w:lang w:val="en-US"/>
        </w:rPr>
        <w:t xml:space="preserve"> (Scenario 1)</w:t>
      </w:r>
      <w:r w:rsidR="005A5C85">
        <w:rPr>
          <w:b/>
          <w:sz w:val="20"/>
          <w:szCs w:val="20"/>
          <w:lang w:val="en-US"/>
        </w:rPr>
        <w:t>.</w:t>
      </w:r>
    </w:p>
    <w:p w14:paraId="13448CC1" w14:textId="2F62CCA4" w:rsidR="00DF44F7" w:rsidRDefault="00DF44F7" w:rsidP="0084372A">
      <w:pPr>
        <w:spacing w:line="480" w:lineRule="auto"/>
        <w:rPr>
          <w:lang w:val="en-US"/>
        </w:rPr>
      </w:pPr>
      <w:r>
        <w:rPr>
          <w:lang w:val="en-US"/>
        </w:rPr>
        <w:t>In the</w:t>
      </w:r>
      <w:r w:rsidR="00856445">
        <w:rPr>
          <w:lang w:val="en-US"/>
        </w:rPr>
        <w:t xml:space="preserve"> month of</w:t>
      </w:r>
      <w:r>
        <w:rPr>
          <w:lang w:val="en-US"/>
        </w:rPr>
        <w:t xml:space="preserve"> October of the simulated year, the </w:t>
      </w:r>
      <w:r w:rsidR="002C5B69">
        <w:rPr>
          <w:lang w:val="en-US"/>
        </w:rPr>
        <w:t>microgrid showed its most stable operation of all the twelve months. This could potentially be attributed to the increase in CSP</w:t>
      </w:r>
      <w:r w:rsidR="008F3F5A">
        <w:rPr>
          <w:lang w:val="en-US"/>
        </w:rPr>
        <w:t xml:space="preserve"> generation with the departure of the rains, which tends to inherently boost system stability due to its low variability. In addition, the load profile in this period is quite benign and less stochastic. This combination of factors makes the microgrid have a stable voltage profile as assessed by VDI in this period. Indeed, the average VDI during the month of October remains consistently under 3%, which would be far less were it not for the contribution of the worst-performing bus 6, which gave a comparatively better performance than usual of 12.67% as its worst IVD. Also, bus 6 was within </w:t>
      </w:r>
      <w:r w:rsidR="00535816">
        <w:rPr>
          <w:lang w:val="en-US"/>
        </w:rPr>
        <w:t xml:space="preserve">the </w:t>
      </w:r>
      <w:r w:rsidR="008F3F5A">
        <w:rPr>
          <w:lang w:val="en-US"/>
        </w:rPr>
        <w:t>acceptable IVD tolerance range 96% of the time during this month, which is the best performance of all twelve months.</w:t>
      </w:r>
    </w:p>
    <w:p w14:paraId="696CBCFC" w14:textId="44B75FE3"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54D10A08" wp14:editId="727AC61F">
            <wp:extent cx="4457700" cy="3345180"/>
            <wp:effectExtent l="0" t="0" r="0" b="7620"/>
            <wp:docPr id="50" name="uniqName_162_321" descr="https://www.mathworks.com/fil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21" descr="https://www.mathworks.com/file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9E65C95" w14:textId="4D471C70" w:rsidR="00C1582C" w:rsidRDefault="006903BE" w:rsidP="002D28A0">
      <w:pPr>
        <w:spacing w:line="240" w:lineRule="auto"/>
        <w:jc w:val="center"/>
        <w:rPr>
          <w:lang w:val="en-US"/>
        </w:rPr>
      </w:pPr>
      <w:r>
        <w:rPr>
          <w:b/>
          <w:sz w:val="20"/>
          <w:szCs w:val="20"/>
          <w:lang w:val="en-US"/>
        </w:rPr>
        <w:t>Figure 4.26</w:t>
      </w:r>
      <w:r w:rsidR="00C1582C">
        <w:rPr>
          <w:b/>
          <w:sz w:val="20"/>
          <w:szCs w:val="20"/>
          <w:lang w:val="en-US"/>
        </w:rPr>
        <w:t xml:space="preserve"> – Average IVD in the microgrid in October</w:t>
      </w:r>
      <w:r w:rsidR="00611722">
        <w:rPr>
          <w:b/>
          <w:sz w:val="20"/>
          <w:szCs w:val="20"/>
          <w:lang w:val="en-US"/>
        </w:rPr>
        <w:t xml:space="preserve"> (Scenario 1)</w:t>
      </w:r>
      <w:r w:rsidR="00C1582C">
        <w:rPr>
          <w:b/>
          <w:sz w:val="20"/>
          <w:szCs w:val="20"/>
          <w:lang w:val="en-US"/>
        </w:rPr>
        <w:t>.</w:t>
      </w:r>
    </w:p>
    <w:p w14:paraId="760C5E29" w14:textId="4471384D" w:rsidR="00297999" w:rsidRDefault="00297999" w:rsidP="008420ED">
      <w:pPr>
        <w:spacing w:line="240" w:lineRule="auto"/>
        <w:jc w:val="center"/>
        <w:rPr>
          <w:lang w:val="en-US"/>
        </w:rPr>
      </w:pPr>
      <w:r>
        <w:rPr>
          <w:rFonts w:ascii="Consolas" w:eastAsia="Times New Roman" w:hAnsi="Consolas"/>
          <w:noProof/>
          <w:color w:val="404040"/>
          <w:lang w:val="en-US"/>
        </w:rPr>
        <w:drawing>
          <wp:inline distT="0" distB="0" distL="0" distR="0" wp14:anchorId="0DF13218" wp14:editId="59B2CBC1">
            <wp:extent cx="4457700" cy="3108960"/>
            <wp:effectExtent l="0" t="0" r="0" b="0"/>
            <wp:docPr id="51" name="uniqName_162_323" descr="https://www.mathworks.com/fil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23" descr="https://www.mathworks.com/file10.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5468" b="1594"/>
                    <a:stretch/>
                  </pic:blipFill>
                  <pic:spPr bwMode="auto">
                    <a:xfrm>
                      <a:off x="0" y="0"/>
                      <a:ext cx="445770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61F455C" w14:textId="5DE56B1B" w:rsidR="00C1582C" w:rsidRDefault="006903BE" w:rsidP="008420ED">
      <w:pPr>
        <w:spacing w:line="240" w:lineRule="auto"/>
        <w:jc w:val="center"/>
        <w:rPr>
          <w:lang w:val="en-US"/>
        </w:rPr>
      </w:pPr>
      <w:r>
        <w:rPr>
          <w:b/>
          <w:sz w:val="20"/>
          <w:szCs w:val="20"/>
          <w:lang w:val="en-US"/>
        </w:rPr>
        <w:t>Figure 4.27</w:t>
      </w:r>
      <w:r w:rsidR="00C1582C">
        <w:rPr>
          <w:b/>
          <w:sz w:val="20"/>
          <w:szCs w:val="20"/>
          <w:lang w:val="en-US"/>
        </w:rPr>
        <w:t xml:space="preserve"> – Average IVD in the microgrid in November</w:t>
      </w:r>
      <w:r w:rsidR="00611722">
        <w:rPr>
          <w:b/>
          <w:sz w:val="20"/>
          <w:szCs w:val="20"/>
          <w:lang w:val="en-US"/>
        </w:rPr>
        <w:t xml:space="preserve"> (Scenario 1)</w:t>
      </w:r>
      <w:r w:rsidR="00C1582C">
        <w:rPr>
          <w:b/>
          <w:sz w:val="20"/>
          <w:szCs w:val="20"/>
          <w:lang w:val="en-US"/>
        </w:rPr>
        <w:t>.</w:t>
      </w:r>
    </w:p>
    <w:p w14:paraId="4689C88D" w14:textId="77777777" w:rsidR="00C1582C" w:rsidRDefault="00C1582C" w:rsidP="00C1582C">
      <w:pPr>
        <w:spacing w:line="480" w:lineRule="auto"/>
        <w:jc w:val="center"/>
        <w:rPr>
          <w:lang w:val="en-US"/>
        </w:rPr>
      </w:pPr>
    </w:p>
    <w:p w14:paraId="65B4004A" w14:textId="733A42FB" w:rsidR="00856445" w:rsidRDefault="00856445" w:rsidP="0084372A">
      <w:pPr>
        <w:spacing w:line="480" w:lineRule="auto"/>
        <w:rPr>
          <w:lang w:val="en-US"/>
        </w:rPr>
      </w:pPr>
      <w:r>
        <w:rPr>
          <w:lang w:val="en-US"/>
        </w:rPr>
        <w:t xml:space="preserve">In November in the simulated year, the average IVD of all buses was within the range of 3.31 or less, which was a decline in performance from October but still a well-performing microgrid except for bus 6 which gave </w:t>
      </w:r>
      <w:r w:rsidR="00535816">
        <w:rPr>
          <w:lang w:val="en-US"/>
        </w:rPr>
        <w:t xml:space="preserve">a </w:t>
      </w:r>
      <w:r>
        <w:rPr>
          <w:lang w:val="en-US"/>
        </w:rPr>
        <w:t>maximum instantaneous IVD of 14.94% for the month. However, other buses gave stable values of IVD with 2.06% being the worst IVD outside the sixth bus on the microgrid. Furthermore, the bus 6 IVD was within acceptable limits 75% of the time. This decline from October can be attributed to the load stochasticity within this period, as the load curve suggests that the load profile became more erratic towards the end of the year, reflecting changing consumption patterns and economic activity schedules towards the end of the year.</w:t>
      </w:r>
    </w:p>
    <w:p w14:paraId="071C4D53" w14:textId="03148869" w:rsidR="003860E1" w:rsidRDefault="003860E1" w:rsidP="0084372A">
      <w:pPr>
        <w:spacing w:line="480" w:lineRule="auto"/>
        <w:rPr>
          <w:lang w:val="en-US"/>
        </w:rPr>
      </w:pPr>
      <w:r>
        <w:rPr>
          <w:lang w:val="en-US"/>
        </w:rPr>
        <w:t xml:space="preserve">In December, </w:t>
      </w:r>
      <w:r w:rsidR="008960CF">
        <w:rPr>
          <w:lang w:val="en-US"/>
        </w:rPr>
        <w:t>a</w:t>
      </w:r>
      <w:r>
        <w:rPr>
          <w:lang w:val="en-US"/>
        </w:rPr>
        <w:t xml:space="preserve"> similar scenario to November was obtained with the IVD on all buses except bus 6 being 2% or less while bus 6</w:t>
      </w:r>
      <w:r w:rsidR="008960CF">
        <w:rPr>
          <w:lang w:val="en-US"/>
        </w:rPr>
        <w:t xml:space="preserve"> was within stable limits 21% of the time and gave a worst IVD of 13.01%. The months of November and December were this way despite the consistent CSP generation and nearly uninterrupted cycling of the PV and BESS. </w:t>
      </w:r>
      <w:r w:rsidR="00535816">
        <w:rPr>
          <w:lang w:val="en-US"/>
        </w:rPr>
        <w:t>Notably</w:t>
      </w:r>
      <w:r w:rsidR="008960CF">
        <w:rPr>
          <w:lang w:val="en-US"/>
        </w:rPr>
        <w:t>, the batteries were less-used in December compared to September and October. However, the load stochasticity in this period due to the holidays impacted the microgrid performance.</w:t>
      </w:r>
      <w:r w:rsidR="003D70D3">
        <w:rPr>
          <w:lang w:val="en-US"/>
        </w:rPr>
        <w:t xml:space="preserve"> </w:t>
      </w:r>
      <w:r w:rsidR="008B3D06">
        <w:rPr>
          <w:lang w:val="en-US"/>
        </w:rPr>
        <w:t>Because</w:t>
      </w:r>
      <w:r w:rsidR="003D70D3">
        <w:rPr>
          <w:lang w:val="en-US"/>
        </w:rPr>
        <w:t xml:space="preserve"> Bus 1 was not directly loaded but rather the injection bus for the renewable generators, the IVD of 0 (meaning perfect voltage)</w:t>
      </w:r>
      <w:r w:rsidR="005F11DE">
        <w:rPr>
          <w:lang w:val="en-US"/>
        </w:rPr>
        <w:t xml:space="preserve"> was recorded consistently on B</w:t>
      </w:r>
      <w:r w:rsidR="003D70D3">
        <w:rPr>
          <w:lang w:val="en-US"/>
        </w:rPr>
        <w:t>us 1.</w:t>
      </w:r>
    </w:p>
    <w:p w14:paraId="5EE12590" w14:textId="5D0E6F77" w:rsidR="00297999" w:rsidRDefault="00297999" w:rsidP="002D28A0">
      <w:pPr>
        <w:spacing w:line="240" w:lineRule="auto"/>
        <w:jc w:val="center"/>
        <w:rPr>
          <w:lang w:val="en-US"/>
        </w:rPr>
      </w:pPr>
      <w:r>
        <w:rPr>
          <w:rFonts w:ascii="Consolas" w:eastAsia="Times New Roman" w:hAnsi="Consolas"/>
          <w:noProof/>
          <w:color w:val="404040"/>
          <w:lang w:val="en-US"/>
        </w:rPr>
        <w:drawing>
          <wp:inline distT="0" distB="0" distL="0" distR="0" wp14:anchorId="1A0EEC3B" wp14:editId="49895EA9">
            <wp:extent cx="4457700" cy="3345180"/>
            <wp:effectExtent l="0" t="0" r="0" b="7620"/>
            <wp:docPr id="53" name="uniqName_162_325" descr="https://www.mathworks.com/fil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25" descr="https://www.mathworks.com/file1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02E43C58" w14:textId="3D1C822E" w:rsidR="00297999" w:rsidRDefault="006903BE" w:rsidP="003D70D3">
      <w:pPr>
        <w:spacing w:line="240" w:lineRule="auto"/>
        <w:jc w:val="center"/>
        <w:rPr>
          <w:lang w:val="en-US"/>
        </w:rPr>
      </w:pPr>
      <w:r>
        <w:rPr>
          <w:b/>
          <w:sz w:val="20"/>
          <w:szCs w:val="20"/>
          <w:lang w:val="en-US"/>
        </w:rPr>
        <w:t>Figure 4.28</w:t>
      </w:r>
      <w:r w:rsidR="00C1582C">
        <w:rPr>
          <w:b/>
          <w:sz w:val="20"/>
          <w:szCs w:val="20"/>
          <w:lang w:val="en-US"/>
        </w:rPr>
        <w:t xml:space="preserve"> – Average IVD in the microgrid in December</w:t>
      </w:r>
      <w:r w:rsidR="000C1DA4">
        <w:rPr>
          <w:b/>
          <w:sz w:val="20"/>
          <w:szCs w:val="20"/>
          <w:lang w:val="en-US"/>
        </w:rPr>
        <w:t xml:space="preserve"> (Scenario 1)</w:t>
      </w:r>
      <w:r w:rsidR="00C1582C">
        <w:rPr>
          <w:b/>
          <w:sz w:val="20"/>
          <w:szCs w:val="20"/>
          <w:lang w:val="en-US"/>
        </w:rPr>
        <w:t>.</w:t>
      </w:r>
    </w:p>
    <w:p w14:paraId="1FB94BC7" w14:textId="00B18B35" w:rsidR="003D70D3" w:rsidRDefault="003D70D3" w:rsidP="003D70D3">
      <w:pPr>
        <w:spacing w:line="240" w:lineRule="auto"/>
        <w:jc w:val="center"/>
        <w:rPr>
          <w:lang w:val="en-US"/>
        </w:rPr>
      </w:pPr>
    </w:p>
    <w:p w14:paraId="36361306" w14:textId="10D23531" w:rsidR="004112FB" w:rsidRDefault="004112FB" w:rsidP="003D70D3">
      <w:pPr>
        <w:spacing w:line="240" w:lineRule="auto"/>
        <w:jc w:val="center"/>
        <w:rPr>
          <w:lang w:val="en-US"/>
        </w:rPr>
      </w:pPr>
    </w:p>
    <w:p w14:paraId="6B4F6381" w14:textId="77777777" w:rsidR="004112FB" w:rsidRDefault="004112FB" w:rsidP="003D70D3">
      <w:pPr>
        <w:spacing w:line="240" w:lineRule="auto"/>
        <w:jc w:val="center"/>
        <w:rPr>
          <w:lang w:val="en-US"/>
        </w:rPr>
      </w:pPr>
    </w:p>
    <w:p w14:paraId="1DD5E851" w14:textId="46DEF105" w:rsidR="00F724C9" w:rsidRPr="00D80F93" w:rsidRDefault="00AE71E1" w:rsidP="00F724C9">
      <w:pPr>
        <w:jc w:val="center"/>
        <w:rPr>
          <w:b/>
          <w:lang w:val="en-US"/>
        </w:rPr>
      </w:pPr>
      <w:r>
        <w:rPr>
          <w:b/>
          <w:lang w:val="en-US"/>
        </w:rPr>
        <w:t>Table 4.9</w:t>
      </w:r>
      <w:r w:rsidR="00F724C9">
        <w:rPr>
          <w:b/>
          <w:lang w:val="en-US"/>
        </w:rPr>
        <w:t xml:space="preserve"> – Average IVD (in %) as experienced at the loads for each month for </w:t>
      </w:r>
      <w:r w:rsidR="008B3D06">
        <w:rPr>
          <w:b/>
          <w:lang w:val="en-US"/>
        </w:rPr>
        <w:t xml:space="preserve">the </w:t>
      </w:r>
      <w:r w:rsidR="00F724C9">
        <w:rPr>
          <w:b/>
          <w:lang w:val="en-US"/>
        </w:rPr>
        <w:t>first three buses</w:t>
      </w:r>
      <w:r w:rsidR="000C1DA4">
        <w:rPr>
          <w:b/>
          <w:lang w:val="en-US"/>
        </w:rPr>
        <w:t xml:space="preserve"> for First Scenario</w:t>
      </w:r>
      <w:r w:rsidR="00F724C9">
        <w:rPr>
          <w:b/>
          <w:lang w:val="en-US"/>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41"/>
        <w:gridCol w:w="2297"/>
        <w:gridCol w:w="1664"/>
        <w:gridCol w:w="1664"/>
        <w:gridCol w:w="1664"/>
      </w:tblGrid>
      <w:tr w:rsidR="00F724C9" w14:paraId="75060539" w14:textId="77777777" w:rsidTr="004700AA">
        <w:tc>
          <w:tcPr>
            <w:tcW w:w="1341" w:type="dxa"/>
            <w:tcBorders>
              <w:top w:val="single" w:sz="4" w:space="0" w:color="auto"/>
              <w:left w:val="nil"/>
              <w:bottom w:val="single" w:sz="4" w:space="0" w:color="auto"/>
            </w:tcBorders>
          </w:tcPr>
          <w:p w14:paraId="323E366E" w14:textId="77777777" w:rsidR="00F724C9" w:rsidRDefault="00F724C9" w:rsidP="00F724C9">
            <w:pPr>
              <w:spacing w:line="240" w:lineRule="auto"/>
              <w:rPr>
                <w:lang w:val="en-US"/>
              </w:rPr>
            </w:pPr>
            <w:r>
              <w:rPr>
                <w:lang w:val="en-US"/>
              </w:rPr>
              <w:t xml:space="preserve">Month </w:t>
            </w:r>
          </w:p>
        </w:tc>
        <w:tc>
          <w:tcPr>
            <w:tcW w:w="2297" w:type="dxa"/>
            <w:tcBorders>
              <w:top w:val="single" w:sz="4" w:space="0" w:color="auto"/>
              <w:bottom w:val="single" w:sz="4" w:space="0" w:color="auto"/>
            </w:tcBorders>
            <w:vAlign w:val="center"/>
          </w:tcPr>
          <w:p w14:paraId="17BAECFC" w14:textId="77777777" w:rsidR="00F724C9" w:rsidRDefault="00F724C9" w:rsidP="00F724C9">
            <w:pPr>
              <w:spacing w:line="240" w:lineRule="auto"/>
            </w:pPr>
            <w:r>
              <w:t>System Average</w:t>
            </w:r>
          </w:p>
        </w:tc>
        <w:tc>
          <w:tcPr>
            <w:tcW w:w="1664" w:type="dxa"/>
            <w:tcBorders>
              <w:top w:val="single" w:sz="4" w:space="0" w:color="auto"/>
              <w:bottom w:val="single" w:sz="4" w:space="0" w:color="auto"/>
            </w:tcBorders>
          </w:tcPr>
          <w:p w14:paraId="79223CE9" w14:textId="77777777" w:rsidR="00F724C9" w:rsidRDefault="00F724C9" w:rsidP="00F724C9">
            <w:pPr>
              <w:spacing w:line="240" w:lineRule="auto"/>
            </w:pPr>
            <w:r>
              <w:t>Bus 1</w:t>
            </w:r>
          </w:p>
        </w:tc>
        <w:tc>
          <w:tcPr>
            <w:tcW w:w="1664" w:type="dxa"/>
            <w:tcBorders>
              <w:top w:val="single" w:sz="4" w:space="0" w:color="auto"/>
              <w:bottom w:val="single" w:sz="4" w:space="0" w:color="auto"/>
            </w:tcBorders>
          </w:tcPr>
          <w:p w14:paraId="3187ADC8" w14:textId="77777777" w:rsidR="00F724C9" w:rsidRDefault="00F724C9" w:rsidP="00F724C9">
            <w:pPr>
              <w:spacing w:line="240" w:lineRule="auto"/>
            </w:pPr>
            <w:r>
              <w:t>Bus 2</w:t>
            </w:r>
          </w:p>
        </w:tc>
        <w:tc>
          <w:tcPr>
            <w:tcW w:w="1664" w:type="dxa"/>
            <w:tcBorders>
              <w:top w:val="single" w:sz="4" w:space="0" w:color="auto"/>
              <w:bottom w:val="single" w:sz="4" w:space="0" w:color="auto"/>
              <w:right w:val="nil"/>
            </w:tcBorders>
          </w:tcPr>
          <w:p w14:paraId="3D22A44D" w14:textId="77777777" w:rsidR="00F724C9" w:rsidRDefault="00F724C9" w:rsidP="00F724C9">
            <w:pPr>
              <w:spacing w:line="240" w:lineRule="auto"/>
            </w:pPr>
            <w:r>
              <w:t>Bus 3</w:t>
            </w:r>
          </w:p>
        </w:tc>
      </w:tr>
      <w:tr w:rsidR="00F724C9" w14:paraId="46656B02" w14:textId="77777777" w:rsidTr="004700AA">
        <w:tc>
          <w:tcPr>
            <w:tcW w:w="1341" w:type="dxa"/>
            <w:tcBorders>
              <w:top w:val="single" w:sz="4" w:space="0" w:color="auto"/>
              <w:left w:val="nil"/>
            </w:tcBorders>
          </w:tcPr>
          <w:p w14:paraId="03034117" w14:textId="77777777" w:rsidR="00F724C9" w:rsidRDefault="00F724C9" w:rsidP="00F724C9">
            <w:pPr>
              <w:spacing w:line="240" w:lineRule="auto"/>
              <w:rPr>
                <w:lang w:val="en-US"/>
              </w:rPr>
            </w:pPr>
            <w:r>
              <w:rPr>
                <w:lang w:val="en-US"/>
              </w:rPr>
              <w:t>January</w:t>
            </w:r>
          </w:p>
        </w:tc>
        <w:tc>
          <w:tcPr>
            <w:tcW w:w="2297" w:type="dxa"/>
            <w:tcBorders>
              <w:top w:val="single" w:sz="4" w:space="0" w:color="auto"/>
            </w:tcBorders>
            <w:vAlign w:val="center"/>
          </w:tcPr>
          <w:p w14:paraId="2EE4B9B1" w14:textId="77777777" w:rsidR="00F724C9" w:rsidRDefault="00F724C9" w:rsidP="00F724C9">
            <w:pPr>
              <w:spacing w:line="240" w:lineRule="auto"/>
              <w:rPr>
                <w:lang w:val="en-US"/>
              </w:rPr>
            </w:pPr>
            <w:r>
              <w:t>2.2107</w:t>
            </w:r>
          </w:p>
        </w:tc>
        <w:tc>
          <w:tcPr>
            <w:tcW w:w="1664" w:type="dxa"/>
            <w:tcBorders>
              <w:top w:val="single" w:sz="4" w:space="0" w:color="auto"/>
            </w:tcBorders>
          </w:tcPr>
          <w:p w14:paraId="17B486D5" w14:textId="77777777" w:rsidR="00F724C9" w:rsidRDefault="00F724C9" w:rsidP="00F724C9">
            <w:pPr>
              <w:spacing w:line="240" w:lineRule="auto"/>
            </w:pPr>
            <w:r w:rsidRPr="00FA6296">
              <w:t>0</w:t>
            </w:r>
          </w:p>
        </w:tc>
        <w:tc>
          <w:tcPr>
            <w:tcW w:w="1664" w:type="dxa"/>
            <w:tcBorders>
              <w:top w:val="single" w:sz="4" w:space="0" w:color="auto"/>
            </w:tcBorders>
            <w:vAlign w:val="center"/>
          </w:tcPr>
          <w:p w14:paraId="03A56775" w14:textId="77777777" w:rsidR="00F724C9" w:rsidRPr="00AA522C" w:rsidRDefault="00F724C9" w:rsidP="00F724C9">
            <w:pPr>
              <w:spacing w:line="240" w:lineRule="auto"/>
              <w:rPr>
                <w:rFonts w:cs="Times New Roman"/>
                <w:szCs w:val="24"/>
              </w:rPr>
            </w:pPr>
            <w:r w:rsidRPr="00AA522C">
              <w:rPr>
                <w:rFonts w:eastAsia="Times New Roman" w:cs="Times New Roman"/>
                <w:szCs w:val="24"/>
              </w:rPr>
              <w:t>0.5373</w:t>
            </w:r>
          </w:p>
        </w:tc>
        <w:tc>
          <w:tcPr>
            <w:tcW w:w="1664" w:type="dxa"/>
            <w:tcBorders>
              <w:top w:val="single" w:sz="4" w:space="0" w:color="auto"/>
              <w:right w:val="nil"/>
            </w:tcBorders>
            <w:vAlign w:val="center"/>
          </w:tcPr>
          <w:p w14:paraId="7B7EB151" w14:textId="77777777" w:rsidR="00F724C9" w:rsidRPr="00AA522C" w:rsidRDefault="00F724C9" w:rsidP="00F724C9">
            <w:pPr>
              <w:spacing w:line="240" w:lineRule="auto"/>
              <w:rPr>
                <w:rFonts w:cs="Times New Roman"/>
                <w:szCs w:val="24"/>
              </w:rPr>
            </w:pPr>
            <w:r w:rsidRPr="00AA522C">
              <w:rPr>
                <w:rFonts w:eastAsia="Times New Roman" w:cs="Times New Roman"/>
                <w:szCs w:val="24"/>
              </w:rPr>
              <w:t>1.0064</w:t>
            </w:r>
          </w:p>
        </w:tc>
      </w:tr>
      <w:tr w:rsidR="00F724C9" w14:paraId="37CE8C76" w14:textId="77777777" w:rsidTr="004700AA">
        <w:tc>
          <w:tcPr>
            <w:tcW w:w="1341" w:type="dxa"/>
            <w:tcBorders>
              <w:left w:val="nil"/>
            </w:tcBorders>
          </w:tcPr>
          <w:p w14:paraId="3BC70BDC" w14:textId="77777777" w:rsidR="00F724C9" w:rsidRDefault="00F724C9" w:rsidP="00F724C9">
            <w:pPr>
              <w:spacing w:line="240" w:lineRule="auto"/>
              <w:rPr>
                <w:lang w:val="en-US"/>
              </w:rPr>
            </w:pPr>
            <w:r>
              <w:rPr>
                <w:lang w:val="en-US"/>
              </w:rPr>
              <w:t>February</w:t>
            </w:r>
          </w:p>
        </w:tc>
        <w:tc>
          <w:tcPr>
            <w:tcW w:w="2297" w:type="dxa"/>
            <w:vAlign w:val="center"/>
          </w:tcPr>
          <w:p w14:paraId="5E1ED27C" w14:textId="77777777" w:rsidR="00F724C9" w:rsidRDefault="00F724C9" w:rsidP="00F724C9">
            <w:pPr>
              <w:spacing w:line="240" w:lineRule="auto"/>
              <w:rPr>
                <w:lang w:val="en-US"/>
              </w:rPr>
            </w:pPr>
            <w:r>
              <w:t>1.6541</w:t>
            </w:r>
          </w:p>
        </w:tc>
        <w:tc>
          <w:tcPr>
            <w:tcW w:w="1664" w:type="dxa"/>
          </w:tcPr>
          <w:p w14:paraId="5F7DB789" w14:textId="77777777" w:rsidR="00F724C9" w:rsidRDefault="00F724C9" w:rsidP="00F724C9">
            <w:pPr>
              <w:spacing w:line="240" w:lineRule="auto"/>
            </w:pPr>
            <w:r w:rsidRPr="00FA6296">
              <w:t>0</w:t>
            </w:r>
          </w:p>
        </w:tc>
        <w:tc>
          <w:tcPr>
            <w:tcW w:w="1664" w:type="dxa"/>
            <w:vAlign w:val="center"/>
          </w:tcPr>
          <w:p w14:paraId="74F6F076" w14:textId="77777777" w:rsidR="00F724C9" w:rsidRPr="00AA522C" w:rsidRDefault="00F724C9" w:rsidP="00F724C9">
            <w:pPr>
              <w:spacing w:line="240" w:lineRule="auto"/>
              <w:rPr>
                <w:rFonts w:cs="Times New Roman"/>
                <w:szCs w:val="24"/>
              </w:rPr>
            </w:pPr>
            <w:r w:rsidRPr="00AA522C">
              <w:rPr>
                <w:rFonts w:eastAsia="Times New Roman" w:cs="Times New Roman"/>
                <w:szCs w:val="24"/>
              </w:rPr>
              <w:t>0.4127</w:t>
            </w:r>
          </w:p>
        </w:tc>
        <w:tc>
          <w:tcPr>
            <w:tcW w:w="1664" w:type="dxa"/>
            <w:tcBorders>
              <w:right w:val="nil"/>
            </w:tcBorders>
            <w:vAlign w:val="center"/>
          </w:tcPr>
          <w:p w14:paraId="4073DC13" w14:textId="77777777" w:rsidR="00F724C9" w:rsidRPr="00AA522C" w:rsidRDefault="00F724C9" w:rsidP="00F724C9">
            <w:pPr>
              <w:spacing w:line="240" w:lineRule="auto"/>
              <w:rPr>
                <w:rFonts w:cs="Times New Roman"/>
                <w:szCs w:val="24"/>
              </w:rPr>
            </w:pPr>
            <w:r w:rsidRPr="00AA522C">
              <w:rPr>
                <w:rFonts w:eastAsia="Times New Roman" w:cs="Times New Roman"/>
                <w:szCs w:val="24"/>
              </w:rPr>
              <w:t>0.7509</w:t>
            </w:r>
          </w:p>
        </w:tc>
      </w:tr>
      <w:tr w:rsidR="00F724C9" w14:paraId="10ECA2FD" w14:textId="77777777" w:rsidTr="004700AA">
        <w:tc>
          <w:tcPr>
            <w:tcW w:w="1341" w:type="dxa"/>
            <w:tcBorders>
              <w:left w:val="nil"/>
            </w:tcBorders>
          </w:tcPr>
          <w:p w14:paraId="09EF5041" w14:textId="77777777" w:rsidR="00F724C9" w:rsidRDefault="00F724C9" w:rsidP="00F724C9">
            <w:pPr>
              <w:spacing w:line="240" w:lineRule="auto"/>
              <w:rPr>
                <w:lang w:val="en-US"/>
              </w:rPr>
            </w:pPr>
            <w:r>
              <w:rPr>
                <w:lang w:val="en-US"/>
              </w:rPr>
              <w:t>March</w:t>
            </w:r>
          </w:p>
        </w:tc>
        <w:tc>
          <w:tcPr>
            <w:tcW w:w="2297" w:type="dxa"/>
            <w:vAlign w:val="center"/>
          </w:tcPr>
          <w:p w14:paraId="3CE688BB" w14:textId="77777777" w:rsidR="00F724C9" w:rsidRDefault="00F724C9" w:rsidP="00F724C9">
            <w:pPr>
              <w:spacing w:line="240" w:lineRule="auto"/>
              <w:rPr>
                <w:lang w:val="en-US"/>
              </w:rPr>
            </w:pPr>
            <w:r>
              <w:t>1.5459</w:t>
            </w:r>
          </w:p>
        </w:tc>
        <w:tc>
          <w:tcPr>
            <w:tcW w:w="1664" w:type="dxa"/>
          </w:tcPr>
          <w:p w14:paraId="731853D5" w14:textId="77777777" w:rsidR="00F724C9" w:rsidRDefault="00F724C9" w:rsidP="00F724C9">
            <w:pPr>
              <w:spacing w:line="240" w:lineRule="auto"/>
            </w:pPr>
            <w:r w:rsidRPr="00FA6296">
              <w:t>0</w:t>
            </w:r>
          </w:p>
        </w:tc>
        <w:tc>
          <w:tcPr>
            <w:tcW w:w="1664" w:type="dxa"/>
            <w:vAlign w:val="center"/>
          </w:tcPr>
          <w:p w14:paraId="075513C9" w14:textId="77777777" w:rsidR="00F724C9" w:rsidRPr="00AA522C" w:rsidRDefault="00F724C9" w:rsidP="00F724C9">
            <w:pPr>
              <w:spacing w:line="240" w:lineRule="auto"/>
              <w:rPr>
                <w:rFonts w:cs="Times New Roman"/>
                <w:szCs w:val="24"/>
              </w:rPr>
            </w:pPr>
            <w:r w:rsidRPr="00AA522C">
              <w:rPr>
                <w:rFonts w:eastAsia="Times New Roman" w:cs="Times New Roman"/>
                <w:szCs w:val="24"/>
              </w:rPr>
              <w:t>0.0592</w:t>
            </w:r>
          </w:p>
        </w:tc>
        <w:tc>
          <w:tcPr>
            <w:tcW w:w="1664" w:type="dxa"/>
            <w:tcBorders>
              <w:right w:val="nil"/>
            </w:tcBorders>
            <w:vAlign w:val="center"/>
          </w:tcPr>
          <w:p w14:paraId="65E4ADCE" w14:textId="77777777" w:rsidR="00F724C9" w:rsidRPr="00AA522C" w:rsidRDefault="00F724C9" w:rsidP="00F724C9">
            <w:pPr>
              <w:spacing w:line="240" w:lineRule="auto"/>
              <w:rPr>
                <w:rFonts w:cs="Times New Roman"/>
                <w:szCs w:val="24"/>
              </w:rPr>
            </w:pPr>
            <w:r w:rsidRPr="00AA522C">
              <w:rPr>
                <w:rFonts w:eastAsia="Times New Roman" w:cs="Times New Roman"/>
                <w:szCs w:val="24"/>
              </w:rPr>
              <w:t>0.7301</w:t>
            </w:r>
          </w:p>
        </w:tc>
      </w:tr>
      <w:tr w:rsidR="00F724C9" w14:paraId="23E435D2" w14:textId="77777777" w:rsidTr="004700AA">
        <w:tc>
          <w:tcPr>
            <w:tcW w:w="1341" w:type="dxa"/>
            <w:tcBorders>
              <w:left w:val="nil"/>
            </w:tcBorders>
          </w:tcPr>
          <w:p w14:paraId="61356DA5" w14:textId="77777777" w:rsidR="00F724C9" w:rsidRDefault="00F724C9" w:rsidP="00F724C9">
            <w:pPr>
              <w:spacing w:line="240" w:lineRule="auto"/>
              <w:rPr>
                <w:lang w:val="en-US"/>
              </w:rPr>
            </w:pPr>
            <w:r>
              <w:rPr>
                <w:lang w:val="en-US"/>
              </w:rPr>
              <w:t>April</w:t>
            </w:r>
          </w:p>
        </w:tc>
        <w:tc>
          <w:tcPr>
            <w:tcW w:w="2297" w:type="dxa"/>
            <w:vAlign w:val="center"/>
          </w:tcPr>
          <w:p w14:paraId="59BC3373" w14:textId="77777777" w:rsidR="00F724C9" w:rsidRDefault="00F724C9" w:rsidP="00F724C9">
            <w:pPr>
              <w:spacing w:line="240" w:lineRule="auto"/>
              <w:rPr>
                <w:lang w:val="en-US"/>
              </w:rPr>
            </w:pPr>
            <w:r>
              <w:t>1.4506</w:t>
            </w:r>
          </w:p>
        </w:tc>
        <w:tc>
          <w:tcPr>
            <w:tcW w:w="1664" w:type="dxa"/>
          </w:tcPr>
          <w:p w14:paraId="240E9AD2" w14:textId="77777777" w:rsidR="00F724C9" w:rsidRDefault="00F724C9" w:rsidP="00F724C9">
            <w:pPr>
              <w:spacing w:line="240" w:lineRule="auto"/>
            </w:pPr>
            <w:r w:rsidRPr="00FA6296">
              <w:t>0</w:t>
            </w:r>
          </w:p>
        </w:tc>
        <w:tc>
          <w:tcPr>
            <w:tcW w:w="1664" w:type="dxa"/>
            <w:vAlign w:val="center"/>
          </w:tcPr>
          <w:p w14:paraId="5F562E2C" w14:textId="77777777" w:rsidR="00F724C9" w:rsidRPr="00AA522C" w:rsidRDefault="00F724C9" w:rsidP="00F724C9">
            <w:pPr>
              <w:spacing w:line="240" w:lineRule="auto"/>
              <w:rPr>
                <w:rFonts w:cs="Times New Roman"/>
                <w:szCs w:val="24"/>
              </w:rPr>
            </w:pPr>
            <w:r w:rsidRPr="00AA522C">
              <w:rPr>
                <w:rFonts w:eastAsia="Times New Roman" w:cs="Times New Roman"/>
                <w:szCs w:val="24"/>
              </w:rPr>
              <w:t>0.3646</w:t>
            </w:r>
          </w:p>
        </w:tc>
        <w:tc>
          <w:tcPr>
            <w:tcW w:w="1664" w:type="dxa"/>
            <w:tcBorders>
              <w:right w:val="nil"/>
            </w:tcBorders>
            <w:vAlign w:val="center"/>
          </w:tcPr>
          <w:p w14:paraId="08363D8E" w14:textId="77777777" w:rsidR="00F724C9" w:rsidRPr="00AA522C" w:rsidRDefault="00F724C9" w:rsidP="00F724C9">
            <w:pPr>
              <w:spacing w:line="240" w:lineRule="auto"/>
              <w:rPr>
                <w:rFonts w:cs="Times New Roman"/>
                <w:szCs w:val="24"/>
              </w:rPr>
            </w:pPr>
            <w:r w:rsidRPr="00AA522C">
              <w:rPr>
                <w:rFonts w:eastAsia="Times New Roman" w:cs="Times New Roman"/>
                <w:szCs w:val="24"/>
              </w:rPr>
              <w:t>0.6639</w:t>
            </w:r>
          </w:p>
        </w:tc>
      </w:tr>
      <w:tr w:rsidR="00F724C9" w14:paraId="78ED7269" w14:textId="77777777" w:rsidTr="004700AA">
        <w:tc>
          <w:tcPr>
            <w:tcW w:w="1341" w:type="dxa"/>
            <w:tcBorders>
              <w:left w:val="nil"/>
            </w:tcBorders>
          </w:tcPr>
          <w:p w14:paraId="04F18CD7" w14:textId="77777777" w:rsidR="00F724C9" w:rsidRDefault="00F724C9" w:rsidP="00F724C9">
            <w:pPr>
              <w:spacing w:line="240" w:lineRule="auto"/>
              <w:rPr>
                <w:lang w:val="en-US"/>
              </w:rPr>
            </w:pPr>
            <w:r>
              <w:rPr>
                <w:lang w:val="en-US"/>
              </w:rPr>
              <w:t>May</w:t>
            </w:r>
          </w:p>
        </w:tc>
        <w:tc>
          <w:tcPr>
            <w:tcW w:w="2297" w:type="dxa"/>
            <w:vAlign w:val="center"/>
          </w:tcPr>
          <w:p w14:paraId="41B4B586" w14:textId="77777777" w:rsidR="00F724C9" w:rsidRDefault="00F724C9" w:rsidP="00F724C9">
            <w:pPr>
              <w:spacing w:line="240" w:lineRule="auto"/>
              <w:rPr>
                <w:lang w:val="en-US"/>
              </w:rPr>
            </w:pPr>
            <w:r>
              <w:t>1.3984</w:t>
            </w:r>
          </w:p>
        </w:tc>
        <w:tc>
          <w:tcPr>
            <w:tcW w:w="1664" w:type="dxa"/>
          </w:tcPr>
          <w:p w14:paraId="4CA4AFF8" w14:textId="77777777" w:rsidR="00F724C9" w:rsidRDefault="00F724C9" w:rsidP="00F724C9">
            <w:pPr>
              <w:spacing w:line="240" w:lineRule="auto"/>
            </w:pPr>
            <w:r w:rsidRPr="00FA6296">
              <w:t>0</w:t>
            </w:r>
          </w:p>
        </w:tc>
        <w:tc>
          <w:tcPr>
            <w:tcW w:w="1664" w:type="dxa"/>
            <w:vAlign w:val="center"/>
          </w:tcPr>
          <w:p w14:paraId="64FF9236" w14:textId="77777777" w:rsidR="00F724C9" w:rsidRPr="00AA522C" w:rsidRDefault="00F724C9" w:rsidP="00F724C9">
            <w:pPr>
              <w:spacing w:line="240" w:lineRule="auto"/>
              <w:rPr>
                <w:rFonts w:cs="Times New Roman"/>
                <w:szCs w:val="24"/>
              </w:rPr>
            </w:pPr>
            <w:r w:rsidRPr="00AA522C">
              <w:rPr>
                <w:rFonts w:eastAsia="Times New Roman" w:cs="Times New Roman"/>
                <w:szCs w:val="24"/>
              </w:rPr>
              <w:t>0.3534</w:t>
            </w:r>
          </w:p>
        </w:tc>
        <w:tc>
          <w:tcPr>
            <w:tcW w:w="1664" w:type="dxa"/>
            <w:tcBorders>
              <w:right w:val="nil"/>
            </w:tcBorders>
            <w:vAlign w:val="center"/>
          </w:tcPr>
          <w:p w14:paraId="3B9908A5" w14:textId="77777777" w:rsidR="00F724C9" w:rsidRPr="00AA522C" w:rsidRDefault="00F724C9" w:rsidP="00F724C9">
            <w:pPr>
              <w:spacing w:line="240" w:lineRule="auto"/>
              <w:rPr>
                <w:rFonts w:cs="Times New Roman"/>
                <w:szCs w:val="24"/>
              </w:rPr>
            </w:pPr>
            <w:r w:rsidRPr="00AA522C">
              <w:rPr>
                <w:rFonts w:eastAsia="Times New Roman" w:cs="Times New Roman"/>
                <w:szCs w:val="24"/>
              </w:rPr>
              <w:t>0.6337</w:t>
            </w:r>
          </w:p>
        </w:tc>
      </w:tr>
      <w:tr w:rsidR="00F724C9" w14:paraId="0BFDA2D8" w14:textId="77777777" w:rsidTr="004700AA">
        <w:tc>
          <w:tcPr>
            <w:tcW w:w="1341" w:type="dxa"/>
            <w:tcBorders>
              <w:left w:val="nil"/>
            </w:tcBorders>
          </w:tcPr>
          <w:p w14:paraId="484B297E" w14:textId="77777777" w:rsidR="00F724C9" w:rsidRDefault="00F724C9" w:rsidP="00F724C9">
            <w:pPr>
              <w:spacing w:line="240" w:lineRule="auto"/>
              <w:rPr>
                <w:lang w:val="en-US"/>
              </w:rPr>
            </w:pPr>
            <w:r>
              <w:rPr>
                <w:lang w:val="en-US"/>
              </w:rPr>
              <w:t>June</w:t>
            </w:r>
          </w:p>
        </w:tc>
        <w:tc>
          <w:tcPr>
            <w:tcW w:w="2297" w:type="dxa"/>
            <w:vAlign w:val="center"/>
          </w:tcPr>
          <w:p w14:paraId="0683B0A7" w14:textId="77777777" w:rsidR="00F724C9" w:rsidRDefault="00F724C9" w:rsidP="00F724C9">
            <w:pPr>
              <w:spacing w:line="240" w:lineRule="auto"/>
              <w:rPr>
                <w:lang w:val="en-US"/>
              </w:rPr>
            </w:pPr>
            <w:r>
              <w:t>1.2868</w:t>
            </w:r>
          </w:p>
        </w:tc>
        <w:tc>
          <w:tcPr>
            <w:tcW w:w="1664" w:type="dxa"/>
          </w:tcPr>
          <w:p w14:paraId="051C9D09" w14:textId="77777777" w:rsidR="00F724C9" w:rsidRDefault="00F724C9" w:rsidP="00F724C9">
            <w:pPr>
              <w:spacing w:line="240" w:lineRule="auto"/>
            </w:pPr>
            <w:r w:rsidRPr="00FA6296">
              <w:t>0</w:t>
            </w:r>
          </w:p>
        </w:tc>
        <w:tc>
          <w:tcPr>
            <w:tcW w:w="1664" w:type="dxa"/>
            <w:vAlign w:val="center"/>
          </w:tcPr>
          <w:p w14:paraId="35C115BF" w14:textId="77777777" w:rsidR="00F724C9" w:rsidRPr="00AA522C" w:rsidRDefault="00F724C9" w:rsidP="00F724C9">
            <w:pPr>
              <w:spacing w:line="240" w:lineRule="auto"/>
              <w:rPr>
                <w:rFonts w:cs="Times New Roman"/>
                <w:szCs w:val="24"/>
              </w:rPr>
            </w:pPr>
            <w:r w:rsidRPr="00AA522C">
              <w:rPr>
                <w:rFonts w:eastAsia="Times New Roman" w:cs="Times New Roman"/>
                <w:szCs w:val="24"/>
              </w:rPr>
              <w:t>0.3249</w:t>
            </w:r>
          </w:p>
        </w:tc>
        <w:tc>
          <w:tcPr>
            <w:tcW w:w="1664" w:type="dxa"/>
            <w:tcBorders>
              <w:right w:val="nil"/>
            </w:tcBorders>
            <w:vAlign w:val="center"/>
          </w:tcPr>
          <w:p w14:paraId="4B6C120F" w14:textId="77777777" w:rsidR="00F724C9" w:rsidRPr="00AA522C" w:rsidRDefault="00F724C9" w:rsidP="00F724C9">
            <w:pPr>
              <w:spacing w:line="240" w:lineRule="auto"/>
              <w:rPr>
                <w:rFonts w:cs="Times New Roman"/>
                <w:szCs w:val="24"/>
              </w:rPr>
            </w:pPr>
            <w:r w:rsidRPr="00AA522C">
              <w:rPr>
                <w:rFonts w:eastAsia="Times New Roman" w:cs="Times New Roman"/>
                <w:szCs w:val="24"/>
              </w:rPr>
              <w:t>0.5833</w:t>
            </w:r>
          </w:p>
        </w:tc>
      </w:tr>
      <w:tr w:rsidR="00F724C9" w14:paraId="5739998B" w14:textId="77777777" w:rsidTr="004700AA">
        <w:tc>
          <w:tcPr>
            <w:tcW w:w="1341" w:type="dxa"/>
            <w:tcBorders>
              <w:left w:val="nil"/>
            </w:tcBorders>
          </w:tcPr>
          <w:p w14:paraId="1C5CE055" w14:textId="77777777" w:rsidR="00F724C9" w:rsidRDefault="00F724C9" w:rsidP="00F724C9">
            <w:pPr>
              <w:spacing w:line="240" w:lineRule="auto"/>
              <w:rPr>
                <w:lang w:val="en-US"/>
              </w:rPr>
            </w:pPr>
            <w:r>
              <w:rPr>
                <w:lang w:val="en-US"/>
              </w:rPr>
              <w:t>July</w:t>
            </w:r>
          </w:p>
        </w:tc>
        <w:tc>
          <w:tcPr>
            <w:tcW w:w="2297" w:type="dxa"/>
            <w:vAlign w:val="center"/>
          </w:tcPr>
          <w:p w14:paraId="3216E8A2" w14:textId="77777777" w:rsidR="00F724C9" w:rsidRDefault="00F724C9" w:rsidP="00F724C9">
            <w:pPr>
              <w:spacing w:line="240" w:lineRule="auto"/>
              <w:rPr>
                <w:lang w:val="en-US"/>
              </w:rPr>
            </w:pPr>
            <w:r>
              <w:t>1.4549</w:t>
            </w:r>
          </w:p>
        </w:tc>
        <w:tc>
          <w:tcPr>
            <w:tcW w:w="1664" w:type="dxa"/>
          </w:tcPr>
          <w:p w14:paraId="33E75AD4" w14:textId="77777777" w:rsidR="00F724C9" w:rsidRDefault="00F724C9" w:rsidP="00F724C9">
            <w:pPr>
              <w:spacing w:line="240" w:lineRule="auto"/>
            </w:pPr>
            <w:r w:rsidRPr="00FA6296">
              <w:t>0</w:t>
            </w:r>
          </w:p>
        </w:tc>
        <w:tc>
          <w:tcPr>
            <w:tcW w:w="1664" w:type="dxa"/>
            <w:vAlign w:val="center"/>
          </w:tcPr>
          <w:p w14:paraId="4D9457E6" w14:textId="77777777" w:rsidR="00F724C9" w:rsidRPr="00AA522C" w:rsidRDefault="00F724C9" w:rsidP="00F724C9">
            <w:pPr>
              <w:spacing w:line="240" w:lineRule="auto"/>
              <w:rPr>
                <w:rFonts w:cs="Times New Roman"/>
                <w:szCs w:val="24"/>
              </w:rPr>
            </w:pPr>
            <w:r w:rsidRPr="00AA522C">
              <w:rPr>
                <w:rFonts w:eastAsia="Times New Roman" w:cs="Times New Roman"/>
                <w:szCs w:val="24"/>
              </w:rPr>
              <w:t>0.3681</w:t>
            </w:r>
          </w:p>
        </w:tc>
        <w:tc>
          <w:tcPr>
            <w:tcW w:w="1664" w:type="dxa"/>
            <w:tcBorders>
              <w:right w:val="nil"/>
            </w:tcBorders>
            <w:vAlign w:val="center"/>
          </w:tcPr>
          <w:p w14:paraId="4EFCE713" w14:textId="77777777" w:rsidR="00F724C9" w:rsidRPr="00AA522C" w:rsidRDefault="00F724C9" w:rsidP="00F724C9">
            <w:pPr>
              <w:spacing w:line="240" w:lineRule="auto"/>
              <w:rPr>
                <w:rFonts w:cs="Times New Roman"/>
                <w:szCs w:val="24"/>
              </w:rPr>
            </w:pPr>
            <w:r w:rsidRPr="00AA522C">
              <w:rPr>
                <w:rFonts w:eastAsia="Times New Roman" w:cs="Times New Roman"/>
                <w:szCs w:val="24"/>
              </w:rPr>
              <w:t>0.6593</w:t>
            </w:r>
          </w:p>
        </w:tc>
      </w:tr>
      <w:tr w:rsidR="00F724C9" w14:paraId="6FC9C74C" w14:textId="77777777" w:rsidTr="004700AA">
        <w:tc>
          <w:tcPr>
            <w:tcW w:w="1341" w:type="dxa"/>
            <w:tcBorders>
              <w:left w:val="nil"/>
            </w:tcBorders>
          </w:tcPr>
          <w:p w14:paraId="57C45AF0" w14:textId="77777777" w:rsidR="00F724C9" w:rsidRDefault="00F724C9" w:rsidP="00F724C9">
            <w:pPr>
              <w:spacing w:line="240" w:lineRule="auto"/>
              <w:rPr>
                <w:lang w:val="en-US"/>
              </w:rPr>
            </w:pPr>
            <w:r>
              <w:rPr>
                <w:lang w:val="en-US"/>
              </w:rPr>
              <w:t>August</w:t>
            </w:r>
          </w:p>
        </w:tc>
        <w:tc>
          <w:tcPr>
            <w:tcW w:w="2297" w:type="dxa"/>
            <w:vAlign w:val="center"/>
          </w:tcPr>
          <w:p w14:paraId="22E1832E" w14:textId="77777777" w:rsidR="00F724C9" w:rsidRDefault="00F724C9" w:rsidP="00F724C9">
            <w:pPr>
              <w:spacing w:line="240" w:lineRule="auto"/>
              <w:rPr>
                <w:lang w:val="en-US"/>
              </w:rPr>
            </w:pPr>
            <w:r>
              <w:t>1.6503</w:t>
            </w:r>
          </w:p>
        </w:tc>
        <w:tc>
          <w:tcPr>
            <w:tcW w:w="1664" w:type="dxa"/>
          </w:tcPr>
          <w:p w14:paraId="407234F5" w14:textId="77777777" w:rsidR="00F724C9" w:rsidRDefault="00F724C9" w:rsidP="00F724C9">
            <w:pPr>
              <w:spacing w:line="240" w:lineRule="auto"/>
            </w:pPr>
            <w:r w:rsidRPr="00FA6296">
              <w:t>0</w:t>
            </w:r>
          </w:p>
        </w:tc>
        <w:tc>
          <w:tcPr>
            <w:tcW w:w="1664" w:type="dxa"/>
            <w:vAlign w:val="center"/>
          </w:tcPr>
          <w:p w14:paraId="78666C26" w14:textId="77777777" w:rsidR="00F724C9" w:rsidRPr="00AA522C" w:rsidRDefault="00F724C9" w:rsidP="00F724C9">
            <w:pPr>
              <w:spacing w:line="240" w:lineRule="auto"/>
              <w:rPr>
                <w:rFonts w:cs="Times New Roman"/>
                <w:szCs w:val="24"/>
              </w:rPr>
            </w:pPr>
            <w:r w:rsidRPr="00AA522C">
              <w:rPr>
                <w:rFonts w:eastAsia="Times New Roman" w:cs="Times New Roman"/>
                <w:szCs w:val="24"/>
              </w:rPr>
              <w:t>0.4131</w:t>
            </w:r>
          </w:p>
        </w:tc>
        <w:tc>
          <w:tcPr>
            <w:tcW w:w="1664" w:type="dxa"/>
            <w:tcBorders>
              <w:right w:val="nil"/>
            </w:tcBorders>
            <w:vAlign w:val="center"/>
          </w:tcPr>
          <w:p w14:paraId="0C4FE325" w14:textId="77777777" w:rsidR="00F724C9" w:rsidRPr="00AA522C" w:rsidRDefault="00F724C9" w:rsidP="00F724C9">
            <w:pPr>
              <w:spacing w:line="240" w:lineRule="auto"/>
              <w:rPr>
                <w:rFonts w:cs="Times New Roman"/>
                <w:szCs w:val="24"/>
              </w:rPr>
            </w:pPr>
            <w:r w:rsidRPr="00AA522C">
              <w:rPr>
                <w:rFonts w:eastAsia="Times New Roman" w:cs="Times New Roman"/>
                <w:szCs w:val="24"/>
              </w:rPr>
              <w:t>0.7488</w:t>
            </w:r>
          </w:p>
        </w:tc>
      </w:tr>
      <w:tr w:rsidR="00F724C9" w14:paraId="597B8EC4" w14:textId="77777777" w:rsidTr="004700AA">
        <w:tc>
          <w:tcPr>
            <w:tcW w:w="1341" w:type="dxa"/>
            <w:tcBorders>
              <w:left w:val="nil"/>
            </w:tcBorders>
          </w:tcPr>
          <w:p w14:paraId="2AEFAC0A" w14:textId="77777777" w:rsidR="00F724C9" w:rsidRDefault="00F724C9" w:rsidP="00F724C9">
            <w:pPr>
              <w:spacing w:line="240" w:lineRule="auto"/>
              <w:rPr>
                <w:lang w:val="en-US"/>
              </w:rPr>
            </w:pPr>
            <w:r>
              <w:rPr>
                <w:lang w:val="en-US"/>
              </w:rPr>
              <w:t>September</w:t>
            </w:r>
          </w:p>
        </w:tc>
        <w:tc>
          <w:tcPr>
            <w:tcW w:w="2297" w:type="dxa"/>
            <w:vAlign w:val="center"/>
          </w:tcPr>
          <w:p w14:paraId="47A7D82B" w14:textId="77777777" w:rsidR="00F724C9" w:rsidRDefault="00F724C9" w:rsidP="00F724C9">
            <w:pPr>
              <w:spacing w:line="240" w:lineRule="auto"/>
              <w:rPr>
                <w:lang w:val="en-US"/>
              </w:rPr>
            </w:pPr>
            <w:r>
              <w:t>1.4928</w:t>
            </w:r>
          </w:p>
        </w:tc>
        <w:tc>
          <w:tcPr>
            <w:tcW w:w="1664" w:type="dxa"/>
          </w:tcPr>
          <w:p w14:paraId="0D1CCFFA" w14:textId="77777777" w:rsidR="00F724C9" w:rsidRDefault="00F724C9" w:rsidP="00F724C9">
            <w:pPr>
              <w:spacing w:line="240" w:lineRule="auto"/>
            </w:pPr>
            <w:r w:rsidRPr="00FA6296">
              <w:t>0</w:t>
            </w:r>
          </w:p>
        </w:tc>
        <w:tc>
          <w:tcPr>
            <w:tcW w:w="1664" w:type="dxa"/>
            <w:vAlign w:val="center"/>
          </w:tcPr>
          <w:p w14:paraId="256361F2" w14:textId="77777777" w:rsidR="00F724C9" w:rsidRPr="00AA522C" w:rsidRDefault="00F724C9" w:rsidP="00F724C9">
            <w:pPr>
              <w:spacing w:line="240" w:lineRule="auto"/>
              <w:rPr>
                <w:rFonts w:cs="Times New Roman"/>
                <w:szCs w:val="24"/>
              </w:rPr>
            </w:pPr>
            <w:r w:rsidRPr="00AA522C">
              <w:rPr>
                <w:rFonts w:eastAsia="Times New Roman" w:cs="Times New Roman"/>
                <w:szCs w:val="24"/>
              </w:rPr>
              <w:t>0.3346</w:t>
            </w:r>
          </w:p>
        </w:tc>
        <w:tc>
          <w:tcPr>
            <w:tcW w:w="1664" w:type="dxa"/>
            <w:tcBorders>
              <w:right w:val="nil"/>
            </w:tcBorders>
            <w:vAlign w:val="center"/>
          </w:tcPr>
          <w:p w14:paraId="70B13643" w14:textId="77777777" w:rsidR="00F724C9" w:rsidRPr="00AA522C" w:rsidRDefault="00F724C9" w:rsidP="00F724C9">
            <w:pPr>
              <w:spacing w:line="240" w:lineRule="auto"/>
              <w:rPr>
                <w:rFonts w:cs="Times New Roman"/>
                <w:szCs w:val="24"/>
              </w:rPr>
            </w:pPr>
            <w:r w:rsidRPr="00AA522C">
              <w:rPr>
                <w:rFonts w:eastAsia="Times New Roman" w:cs="Times New Roman"/>
                <w:szCs w:val="24"/>
              </w:rPr>
              <w:t>0.7038</w:t>
            </w:r>
          </w:p>
        </w:tc>
      </w:tr>
      <w:tr w:rsidR="00F724C9" w14:paraId="212B1C00" w14:textId="77777777" w:rsidTr="004700AA">
        <w:tc>
          <w:tcPr>
            <w:tcW w:w="1341" w:type="dxa"/>
            <w:tcBorders>
              <w:left w:val="nil"/>
            </w:tcBorders>
          </w:tcPr>
          <w:p w14:paraId="7420DABA" w14:textId="77777777" w:rsidR="00F724C9" w:rsidRDefault="00F724C9" w:rsidP="00F724C9">
            <w:pPr>
              <w:spacing w:line="240" w:lineRule="auto"/>
              <w:rPr>
                <w:lang w:val="en-US"/>
              </w:rPr>
            </w:pPr>
            <w:r>
              <w:rPr>
                <w:lang w:val="en-US"/>
              </w:rPr>
              <w:t>October</w:t>
            </w:r>
          </w:p>
        </w:tc>
        <w:tc>
          <w:tcPr>
            <w:tcW w:w="2297" w:type="dxa"/>
            <w:vAlign w:val="center"/>
          </w:tcPr>
          <w:p w14:paraId="2B74167F" w14:textId="77777777" w:rsidR="00F724C9" w:rsidRDefault="00F724C9" w:rsidP="00F724C9">
            <w:pPr>
              <w:spacing w:line="240" w:lineRule="auto"/>
              <w:rPr>
                <w:lang w:val="en-US"/>
              </w:rPr>
            </w:pPr>
            <w:r>
              <w:t>1.2784</w:t>
            </w:r>
          </w:p>
        </w:tc>
        <w:tc>
          <w:tcPr>
            <w:tcW w:w="1664" w:type="dxa"/>
          </w:tcPr>
          <w:p w14:paraId="1F8FC29B" w14:textId="77777777" w:rsidR="00F724C9" w:rsidRDefault="00F724C9" w:rsidP="00F724C9">
            <w:pPr>
              <w:spacing w:line="240" w:lineRule="auto"/>
            </w:pPr>
            <w:r w:rsidRPr="00FA6296">
              <w:t>0</w:t>
            </w:r>
          </w:p>
        </w:tc>
        <w:tc>
          <w:tcPr>
            <w:tcW w:w="1664" w:type="dxa"/>
            <w:vAlign w:val="center"/>
          </w:tcPr>
          <w:p w14:paraId="69297E30" w14:textId="77777777" w:rsidR="00F724C9" w:rsidRPr="00AA522C" w:rsidRDefault="00F724C9" w:rsidP="00F724C9">
            <w:pPr>
              <w:spacing w:line="240" w:lineRule="auto"/>
              <w:rPr>
                <w:rFonts w:cs="Times New Roman"/>
                <w:szCs w:val="24"/>
              </w:rPr>
            </w:pPr>
            <w:r w:rsidRPr="00AA522C">
              <w:rPr>
                <w:rFonts w:eastAsia="Times New Roman" w:cs="Times New Roman"/>
                <w:szCs w:val="24"/>
              </w:rPr>
              <w:t>0.3246</w:t>
            </w:r>
          </w:p>
        </w:tc>
        <w:tc>
          <w:tcPr>
            <w:tcW w:w="1664" w:type="dxa"/>
            <w:tcBorders>
              <w:right w:val="nil"/>
            </w:tcBorders>
            <w:vAlign w:val="center"/>
          </w:tcPr>
          <w:p w14:paraId="77DAD505" w14:textId="77777777" w:rsidR="00F724C9" w:rsidRPr="00AA522C" w:rsidRDefault="00F724C9" w:rsidP="00F724C9">
            <w:pPr>
              <w:spacing w:line="240" w:lineRule="auto"/>
              <w:rPr>
                <w:rFonts w:cs="Times New Roman"/>
                <w:szCs w:val="24"/>
              </w:rPr>
            </w:pPr>
            <w:r w:rsidRPr="00AA522C">
              <w:rPr>
                <w:rFonts w:eastAsia="Times New Roman" w:cs="Times New Roman"/>
                <w:szCs w:val="24"/>
              </w:rPr>
              <w:t>0.5790</w:t>
            </w:r>
          </w:p>
        </w:tc>
      </w:tr>
      <w:tr w:rsidR="00F724C9" w14:paraId="61080775" w14:textId="77777777" w:rsidTr="004700AA">
        <w:tc>
          <w:tcPr>
            <w:tcW w:w="1341" w:type="dxa"/>
            <w:tcBorders>
              <w:left w:val="nil"/>
            </w:tcBorders>
          </w:tcPr>
          <w:p w14:paraId="0DDDF728" w14:textId="77777777" w:rsidR="00F724C9" w:rsidRDefault="00F724C9" w:rsidP="00F724C9">
            <w:pPr>
              <w:spacing w:line="240" w:lineRule="auto"/>
              <w:rPr>
                <w:lang w:val="en-US"/>
              </w:rPr>
            </w:pPr>
            <w:r>
              <w:rPr>
                <w:lang w:val="en-US"/>
              </w:rPr>
              <w:t>November</w:t>
            </w:r>
          </w:p>
        </w:tc>
        <w:tc>
          <w:tcPr>
            <w:tcW w:w="2297" w:type="dxa"/>
            <w:vAlign w:val="center"/>
          </w:tcPr>
          <w:p w14:paraId="175F7421" w14:textId="77777777" w:rsidR="00F724C9" w:rsidRDefault="00F724C9" w:rsidP="00F724C9">
            <w:pPr>
              <w:spacing w:line="240" w:lineRule="auto"/>
              <w:rPr>
                <w:lang w:val="en-US"/>
              </w:rPr>
            </w:pPr>
            <w:r>
              <w:t>1.6541</w:t>
            </w:r>
          </w:p>
        </w:tc>
        <w:tc>
          <w:tcPr>
            <w:tcW w:w="1664" w:type="dxa"/>
          </w:tcPr>
          <w:p w14:paraId="43F6CB1D" w14:textId="77777777" w:rsidR="00F724C9" w:rsidRDefault="00F724C9" w:rsidP="00F724C9">
            <w:pPr>
              <w:spacing w:line="240" w:lineRule="auto"/>
            </w:pPr>
            <w:r w:rsidRPr="00FA6296">
              <w:t>0</w:t>
            </w:r>
          </w:p>
        </w:tc>
        <w:tc>
          <w:tcPr>
            <w:tcW w:w="1664" w:type="dxa"/>
            <w:vAlign w:val="center"/>
          </w:tcPr>
          <w:p w14:paraId="6DDAE90E" w14:textId="77777777" w:rsidR="00F724C9" w:rsidRPr="00AA522C" w:rsidRDefault="00F724C9" w:rsidP="00F724C9">
            <w:pPr>
              <w:spacing w:line="240" w:lineRule="auto"/>
              <w:rPr>
                <w:rFonts w:cs="Times New Roman"/>
                <w:szCs w:val="24"/>
              </w:rPr>
            </w:pPr>
            <w:r w:rsidRPr="00AA522C">
              <w:rPr>
                <w:rFonts w:eastAsia="Times New Roman" w:cs="Times New Roman"/>
                <w:szCs w:val="24"/>
              </w:rPr>
              <w:t>0.3685</w:t>
            </w:r>
          </w:p>
        </w:tc>
        <w:tc>
          <w:tcPr>
            <w:tcW w:w="1664" w:type="dxa"/>
            <w:tcBorders>
              <w:right w:val="nil"/>
            </w:tcBorders>
            <w:vAlign w:val="center"/>
          </w:tcPr>
          <w:p w14:paraId="022BAFE8" w14:textId="77777777" w:rsidR="00F724C9" w:rsidRPr="00AA522C" w:rsidRDefault="00F724C9" w:rsidP="00F724C9">
            <w:pPr>
              <w:spacing w:line="240" w:lineRule="auto"/>
              <w:rPr>
                <w:rFonts w:cs="Times New Roman"/>
                <w:szCs w:val="24"/>
              </w:rPr>
            </w:pPr>
            <w:r w:rsidRPr="00AA522C">
              <w:rPr>
                <w:rFonts w:eastAsia="Times New Roman" w:cs="Times New Roman"/>
                <w:szCs w:val="24"/>
              </w:rPr>
              <w:t>0.7799</w:t>
            </w:r>
          </w:p>
        </w:tc>
      </w:tr>
      <w:tr w:rsidR="00F724C9" w14:paraId="287AB46B" w14:textId="77777777" w:rsidTr="004700AA">
        <w:tc>
          <w:tcPr>
            <w:tcW w:w="1341" w:type="dxa"/>
            <w:tcBorders>
              <w:left w:val="nil"/>
              <w:bottom w:val="single" w:sz="4" w:space="0" w:color="auto"/>
            </w:tcBorders>
          </w:tcPr>
          <w:p w14:paraId="0C130BD8" w14:textId="77777777" w:rsidR="00F724C9" w:rsidRDefault="00F724C9" w:rsidP="00F724C9">
            <w:pPr>
              <w:spacing w:line="240" w:lineRule="auto"/>
              <w:rPr>
                <w:lang w:val="en-US"/>
              </w:rPr>
            </w:pPr>
            <w:r>
              <w:rPr>
                <w:lang w:val="en-US"/>
              </w:rPr>
              <w:t>December</w:t>
            </w:r>
          </w:p>
        </w:tc>
        <w:tc>
          <w:tcPr>
            <w:tcW w:w="2297" w:type="dxa"/>
            <w:tcBorders>
              <w:bottom w:val="single" w:sz="4" w:space="0" w:color="auto"/>
            </w:tcBorders>
            <w:vAlign w:val="center"/>
          </w:tcPr>
          <w:p w14:paraId="51BA1D02" w14:textId="77777777" w:rsidR="00F724C9" w:rsidRDefault="00F724C9" w:rsidP="00F724C9">
            <w:pPr>
              <w:spacing w:line="240" w:lineRule="auto"/>
              <w:rPr>
                <w:lang w:val="en-US"/>
              </w:rPr>
            </w:pPr>
            <w:r>
              <w:t>1.5422</w:t>
            </w:r>
          </w:p>
        </w:tc>
        <w:tc>
          <w:tcPr>
            <w:tcW w:w="1664" w:type="dxa"/>
            <w:tcBorders>
              <w:bottom w:val="single" w:sz="4" w:space="0" w:color="auto"/>
            </w:tcBorders>
          </w:tcPr>
          <w:p w14:paraId="6BF7B0C3" w14:textId="77777777" w:rsidR="00F724C9" w:rsidRDefault="00F724C9" w:rsidP="00F724C9">
            <w:pPr>
              <w:spacing w:line="240" w:lineRule="auto"/>
            </w:pPr>
            <w:r w:rsidRPr="00FA6296">
              <w:t>0</w:t>
            </w:r>
          </w:p>
        </w:tc>
        <w:tc>
          <w:tcPr>
            <w:tcW w:w="1664" w:type="dxa"/>
            <w:tcBorders>
              <w:bottom w:val="single" w:sz="4" w:space="0" w:color="auto"/>
            </w:tcBorders>
            <w:vAlign w:val="center"/>
          </w:tcPr>
          <w:p w14:paraId="18451D48" w14:textId="77777777" w:rsidR="00F724C9" w:rsidRPr="00AA522C" w:rsidRDefault="00F724C9" w:rsidP="00F724C9">
            <w:pPr>
              <w:spacing w:line="240" w:lineRule="auto"/>
              <w:rPr>
                <w:rFonts w:cs="Times New Roman"/>
                <w:szCs w:val="24"/>
              </w:rPr>
            </w:pPr>
            <w:r w:rsidRPr="00AA522C">
              <w:rPr>
                <w:rFonts w:eastAsia="Times New Roman" w:cs="Times New Roman"/>
                <w:szCs w:val="24"/>
              </w:rPr>
              <w:t>0.3617</w:t>
            </w:r>
          </w:p>
        </w:tc>
        <w:tc>
          <w:tcPr>
            <w:tcW w:w="1664" w:type="dxa"/>
            <w:tcBorders>
              <w:bottom w:val="single" w:sz="4" w:space="0" w:color="auto"/>
              <w:right w:val="nil"/>
            </w:tcBorders>
            <w:vAlign w:val="center"/>
          </w:tcPr>
          <w:p w14:paraId="2E811120" w14:textId="77777777" w:rsidR="00F724C9" w:rsidRPr="00AA522C" w:rsidRDefault="00F724C9" w:rsidP="00F724C9">
            <w:pPr>
              <w:spacing w:line="240" w:lineRule="auto"/>
              <w:rPr>
                <w:rFonts w:cs="Times New Roman"/>
                <w:szCs w:val="24"/>
              </w:rPr>
            </w:pPr>
            <w:r w:rsidRPr="00AA522C">
              <w:rPr>
                <w:rFonts w:eastAsia="Times New Roman" w:cs="Times New Roman"/>
                <w:szCs w:val="24"/>
              </w:rPr>
              <w:t>0.6443</w:t>
            </w:r>
          </w:p>
        </w:tc>
      </w:tr>
    </w:tbl>
    <w:p w14:paraId="066844C4" w14:textId="77777777" w:rsidR="00F724C9" w:rsidRDefault="00F724C9" w:rsidP="00F724C9">
      <w:pPr>
        <w:rPr>
          <w:lang w:val="en-US"/>
        </w:rPr>
      </w:pPr>
    </w:p>
    <w:p w14:paraId="6922C926" w14:textId="1C7CE2EB" w:rsidR="00F724C9" w:rsidRPr="00565960" w:rsidRDefault="00AE71E1" w:rsidP="00F724C9">
      <w:pPr>
        <w:jc w:val="center"/>
        <w:rPr>
          <w:lang w:val="en-US"/>
        </w:rPr>
      </w:pPr>
      <w:r>
        <w:rPr>
          <w:b/>
          <w:lang w:val="en-US"/>
        </w:rPr>
        <w:t>Table 4.10</w:t>
      </w:r>
      <w:r w:rsidR="00F724C9">
        <w:rPr>
          <w:b/>
          <w:lang w:val="en-US"/>
        </w:rPr>
        <w:t xml:space="preserve"> – Average IVD (in %) as experienced at the loads for each month for </w:t>
      </w:r>
      <w:r w:rsidR="008B3D06">
        <w:rPr>
          <w:b/>
          <w:lang w:val="en-US"/>
        </w:rPr>
        <w:t xml:space="preserve">the </w:t>
      </w:r>
      <w:r w:rsidR="00F724C9">
        <w:rPr>
          <w:b/>
          <w:lang w:val="en-US"/>
        </w:rPr>
        <w:t>last three buses</w:t>
      </w:r>
      <w:r w:rsidR="000C1DA4">
        <w:rPr>
          <w:b/>
          <w:lang w:val="en-US"/>
        </w:rPr>
        <w:t xml:space="preserve"> for First Scenario</w:t>
      </w:r>
      <w:r w:rsidR="00F724C9">
        <w:rPr>
          <w:b/>
          <w:lang w:val="en-US"/>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2297"/>
        <w:gridCol w:w="1664"/>
        <w:gridCol w:w="1664"/>
        <w:gridCol w:w="1664"/>
      </w:tblGrid>
      <w:tr w:rsidR="00F724C9" w14:paraId="765134BD" w14:textId="77777777" w:rsidTr="004700AA">
        <w:tc>
          <w:tcPr>
            <w:tcW w:w="1341" w:type="dxa"/>
            <w:tcBorders>
              <w:top w:val="single" w:sz="4" w:space="0" w:color="auto"/>
              <w:bottom w:val="single" w:sz="4" w:space="0" w:color="auto"/>
            </w:tcBorders>
          </w:tcPr>
          <w:p w14:paraId="768BAE9D" w14:textId="77777777" w:rsidR="00F724C9" w:rsidRDefault="00F724C9" w:rsidP="00F724C9">
            <w:pPr>
              <w:spacing w:line="240" w:lineRule="auto"/>
              <w:rPr>
                <w:lang w:val="en-US"/>
              </w:rPr>
            </w:pPr>
            <w:r>
              <w:rPr>
                <w:lang w:val="en-US"/>
              </w:rPr>
              <w:t xml:space="preserve">Month </w:t>
            </w:r>
          </w:p>
        </w:tc>
        <w:tc>
          <w:tcPr>
            <w:tcW w:w="2297" w:type="dxa"/>
            <w:tcBorders>
              <w:top w:val="single" w:sz="4" w:space="0" w:color="auto"/>
              <w:bottom w:val="single" w:sz="4" w:space="0" w:color="auto"/>
            </w:tcBorders>
            <w:vAlign w:val="center"/>
          </w:tcPr>
          <w:p w14:paraId="67B6A7E1" w14:textId="77777777" w:rsidR="00F724C9" w:rsidRDefault="00F724C9" w:rsidP="00F724C9">
            <w:pPr>
              <w:spacing w:line="240" w:lineRule="auto"/>
            </w:pPr>
            <w:r>
              <w:t>System Average</w:t>
            </w:r>
          </w:p>
        </w:tc>
        <w:tc>
          <w:tcPr>
            <w:tcW w:w="1664" w:type="dxa"/>
            <w:tcBorders>
              <w:top w:val="single" w:sz="4" w:space="0" w:color="auto"/>
              <w:bottom w:val="single" w:sz="4" w:space="0" w:color="auto"/>
            </w:tcBorders>
          </w:tcPr>
          <w:p w14:paraId="655363D6" w14:textId="77777777" w:rsidR="00F724C9" w:rsidRDefault="00F724C9" w:rsidP="00F724C9">
            <w:pPr>
              <w:spacing w:line="240" w:lineRule="auto"/>
            </w:pPr>
            <w:r>
              <w:t>Bus 4</w:t>
            </w:r>
          </w:p>
        </w:tc>
        <w:tc>
          <w:tcPr>
            <w:tcW w:w="1664" w:type="dxa"/>
            <w:tcBorders>
              <w:top w:val="single" w:sz="4" w:space="0" w:color="auto"/>
              <w:bottom w:val="single" w:sz="4" w:space="0" w:color="auto"/>
            </w:tcBorders>
          </w:tcPr>
          <w:p w14:paraId="4B2A07AC" w14:textId="77777777" w:rsidR="00F724C9" w:rsidRDefault="00F724C9" w:rsidP="00F724C9">
            <w:pPr>
              <w:spacing w:line="240" w:lineRule="auto"/>
            </w:pPr>
            <w:r>
              <w:t>Bus 5</w:t>
            </w:r>
          </w:p>
        </w:tc>
        <w:tc>
          <w:tcPr>
            <w:tcW w:w="1664" w:type="dxa"/>
            <w:tcBorders>
              <w:top w:val="single" w:sz="4" w:space="0" w:color="auto"/>
              <w:bottom w:val="single" w:sz="4" w:space="0" w:color="auto"/>
            </w:tcBorders>
          </w:tcPr>
          <w:p w14:paraId="26751FC9" w14:textId="77777777" w:rsidR="00F724C9" w:rsidRDefault="00F724C9" w:rsidP="00F724C9">
            <w:pPr>
              <w:spacing w:line="240" w:lineRule="auto"/>
            </w:pPr>
            <w:r>
              <w:t>Bus 6</w:t>
            </w:r>
          </w:p>
        </w:tc>
      </w:tr>
      <w:tr w:rsidR="00F724C9" w14:paraId="7D9E296C" w14:textId="77777777" w:rsidTr="004700AA">
        <w:tc>
          <w:tcPr>
            <w:tcW w:w="1341" w:type="dxa"/>
            <w:tcBorders>
              <w:top w:val="single" w:sz="4" w:space="0" w:color="auto"/>
            </w:tcBorders>
          </w:tcPr>
          <w:p w14:paraId="246124E2" w14:textId="77777777" w:rsidR="00F724C9" w:rsidRDefault="00F724C9" w:rsidP="00F724C9">
            <w:pPr>
              <w:spacing w:line="240" w:lineRule="auto"/>
              <w:rPr>
                <w:lang w:val="en-US"/>
              </w:rPr>
            </w:pPr>
            <w:r>
              <w:rPr>
                <w:lang w:val="en-US"/>
              </w:rPr>
              <w:t>January</w:t>
            </w:r>
          </w:p>
        </w:tc>
        <w:tc>
          <w:tcPr>
            <w:tcW w:w="2297" w:type="dxa"/>
            <w:tcBorders>
              <w:top w:val="single" w:sz="4" w:space="0" w:color="auto"/>
            </w:tcBorders>
            <w:vAlign w:val="center"/>
          </w:tcPr>
          <w:p w14:paraId="3DD0AD12" w14:textId="77777777" w:rsidR="00F724C9" w:rsidRDefault="00F724C9" w:rsidP="00F724C9">
            <w:pPr>
              <w:spacing w:line="240" w:lineRule="auto"/>
              <w:rPr>
                <w:lang w:val="en-US"/>
              </w:rPr>
            </w:pPr>
            <w:r>
              <w:t>2.2107</w:t>
            </w:r>
          </w:p>
        </w:tc>
        <w:tc>
          <w:tcPr>
            <w:tcW w:w="1664" w:type="dxa"/>
            <w:tcBorders>
              <w:top w:val="single" w:sz="4" w:space="0" w:color="auto"/>
            </w:tcBorders>
          </w:tcPr>
          <w:p w14:paraId="098C6382" w14:textId="77777777" w:rsidR="00F724C9" w:rsidRDefault="00F724C9" w:rsidP="00F724C9">
            <w:pPr>
              <w:spacing w:line="240" w:lineRule="auto"/>
            </w:pPr>
            <w:r w:rsidRPr="003635E4">
              <w:t>0.4753</w:t>
            </w:r>
          </w:p>
        </w:tc>
        <w:tc>
          <w:tcPr>
            <w:tcW w:w="1664" w:type="dxa"/>
            <w:tcBorders>
              <w:top w:val="single" w:sz="4" w:space="0" w:color="auto"/>
            </w:tcBorders>
          </w:tcPr>
          <w:p w14:paraId="69D22F24" w14:textId="77777777" w:rsidR="00F724C9" w:rsidRPr="00AA522C" w:rsidRDefault="00F724C9" w:rsidP="00F724C9">
            <w:pPr>
              <w:spacing w:line="240" w:lineRule="auto"/>
              <w:rPr>
                <w:rFonts w:cs="Times New Roman"/>
                <w:szCs w:val="24"/>
              </w:rPr>
            </w:pPr>
            <w:r w:rsidRPr="003635E4">
              <w:t>1.4282</w:t>
            </w:r>
          </w:p>
        </w:tc>
        <w:tc>
          <w:tcPr>
            <w:tcW w:w="1664" w:type="dxa"/>
            <w:tcBorders>
              <w:top w:val="single" w:sz="4" w:space="0" w:color="auto"/>
            </w:tcBorders>
          </w:tcPr>
          <w:p w14:paraId="3F676BC5" w14:textId="77777777" w:rsidR="00F724C9" w:rsidRPr="00AA522C" w:rsidRDefault="00F724C9" w:rsidP="00F724C9">
            <w:pPr>
              <w:spacing w:line="240" w:lineRule="auto"/>
              <w:rPr>
                <w:rFonts w:cs="Times New Roman"/>
                <w:szCs w:val="24"/>
              </w:rPr>
            </w:pPr>
            <w:r w:rsidRPr="00E84DD0">
              <w:t>9.8166</w:t>
            </w:r>
          </w:p>
        </w:tc>
      </w:tr>
      <w:tr w:rsidR="00F724C9" w14:paraId="3D9323E4" w14:textId="77777777" w:rsidTr="004700AA">
        <w:tc>
          <w:tcPr>
            <w:tcW w:w="1341" w:type="dxa"/>
          </w:tcPr>
          <w:p w14:paraId="37A811AA" w14:textId="77777777" w:rsidR="00F724C9" w:rsidRDefault="00F724C9" w:rsidP="00F724C9">
            <w:pPr>
              <w:spacing w:line="240" w:lineRule="auto"/>
              <w:rPr>
                <w:lang w:val="en-US"/>
              </w:rPr>
            </w:pPr>
            <w:r>
              <w:rPr>
                <w:lang w:val="en-US"/>
              </w:rPr>
              <w:t>February</w:t>
            </w:r>
          </w:p>
        </w:tc>
        <w:tc>
          <w:tcPr>
            <w:tcW w:w="2297" w:type="dxa"/>
            <w:vAlign w:val="center"/>
          </w:tcPr>
          <w:p w14:paraId="45BA834B" w14:textId="77777777" w:rsidR="00F724C9" w:rsidRDefault="00F724C9" w:rsidP="00F724C9">
            <w:pPr>
              <w:spacing w:line="240" w:lineRule="auto"/>
              <w:rPr>
                <w:lang w:val="en-US"/>
              </w:rPr>
            </w:pPr>
            <w:r>
              <w:t>1.6541</w:t>
            </w:r>
          </w:p>
        </w:tc>
        <w:tc>
          <w:tcPr>
            <w:tcW w:w="1664" w:type="dxa"/>
          </w:tcPr>
          <w:p w14:paraId="1F4BBA9A" w14:textId="77777777" w:rsidR="00F724C9" w:rsidRDefault="00F724C9" w:rsidP="00F724C9">
            <w:pPr>
              <w:spacing w:line="240" w:lineRule="auto"/>
            </w:pPr>
            <w:r w:rsidRPr="003635E4">
              <w:t>0.3649</w:t>
            </w:r>
          </w:p>
        </w:tc>
        <w:tc>
          <w:tcPr>
            <w:tcW w:w="1664" w:type="dxa"/>
          </w:tcPr>
          <w:p w14:paraId="37425E11" w14:textId="77777777" w:rsidR="00F724C9" w:rsidRPr="00AA522C" w:rsidRDefault="00F724C9" w:rsidP="00F724C9">
            <w:pPr>
              <w:spacing w:line="240" w:lineRule="auto"/>
              <w:rPr>
                <w:rFonts w:cs="Times New Roman"/>
                <w:szCs w:val="24"/>
              </w:rPr>
            </w:pPr>
            <w:r w:rsidRPr="003635E4">
              <w:t>1.0779</w:t>
            </w:r>
          </w:p>
        </w:tc>
        <w:tc>
          <w:tcPr>
            <w:tcW w:w="1664" w:type="dxa"/>
          </w:tcPr>
          <w:p w14:paraId="081F8DE4" w14:textId="77777777" w:rsidR="00F724C9" w:rsidRPr="00AA522C" w:rsidRDefault="00F724C9" w:rsidP="00F724C9">
            <w:pPr>
              <w:spacing w:line="240" w:lineRule="auto"/>
              <w:rPr>
                <w:rFonts w:cs="Times New Roman"/>
                <w:szCs w:val="24"/>
              </w:rPr>
            </w:pPr>
            <w:r w:rsidRPr="00E84DD0">
              <w:t>7.3182</w:t>
            </w:r>
          </w:p>
        </w:tc>
      </w:tr>
      <w:tr w:rsidR="00F724C9" w14:paraId="3B46A8AF" w14:textId="77777777" w:rsidTr="004700AA">
        <w:tc>
          <w:tcPr>
            <w:tcW w:w="1341" w:type="dxa"/>
          </w:tcPr>
          <w:p w14:paraId="50D4C748" w14:textId="77777777" w:rsidR="00F724C9" w:rsidRDefault="00F724C9" w:rsidP="00F724C9">
            <w:pPr>
              <w:spacing w:line="240" w:lineRule="auto"/>
              <w:rPr>
                <w:lang w:val="en-US"/>
              </w:rPr>
            </w:pPr>
            <w:r>
              <w:rPr>
                <w:lang w:val="en-US"/>
              </w:rPr>
              <w:t>March</w:t>
            </w:r>
          </w:p>
        </w:tc>
        <w:tc>
          <w:tcPr>
            <w:tcW w:w="2297" w:type="dxa"/>
            <w:vAlign w:val="center"/>
          </w:tcPr>
          <w:p w14:paraId="0DEDECC0" w14:textId="77777777" w:rsidR="00F724C9" w:rsidRDefault="00F724C9" w:rsidP="00F724C9">
            <w:pPr>
              <w:spacing w:line="240" w:lineRule="auto"/>
              <w:rPr>
                <w:lang w:val="en-US"/>
              </w:rPr>
            </w:pPr>
            <w:r>
              <w:t>1.5459</w:t>
            </w:r>
          </w:p>
        </w:tc>
        <w:tc>
          <w:tcPr>
            <w:tcW w:w="1664" w:type="dxa"/>
          </w:tcPr>
          <w:p w14:paraId="7BA0422F" w14:textId="77777777" w:rsidR="00F724C9" w:rsidRDefault="00F724C9" w:rsidP="00F724C9">
            <w:pPr>
              <w:spacing w:line="240" w:lineRule="auto"/>
            </w:pPr>
            <w:r w:rsidRPr="003635E4">
              <w:t>0.3548</w:t>
            </w:r>
          </w:p>
        </w:tc>
        <w:tc>
          <w:tcPr>
            <w:tcW w:w="1664" w:type="dxa"/>
          </w:tcPr>
          <w:p w14:paraId="4E180D5E" w14:textId="77777777" w:rsidR="00F724C9" w:rsidRPr="00AA522C" w:rsidRDefault="00F724C9" w:rsidP="00F724C9">
            <w:pPr>
              <w:spacing w:line="240" w:lineRule="auto"/>
              <w:rPr>
                <w:rFonts w:cs="Times New Roman"/>
                <w:szCs w:val="24"/>
              </w:rPr>
            </w:pPr>
            <w:r w:rsidRPr="003635E4">
              <w:t>1.0214</w:t>
            </w:r>
          </w:p>
        </w:tc>
        <w:tc>
          <w:tcPr>
            <w:tcW w:w="1664" w:type="dxa"/>
          </w:tcPr>
          <w:p w14:paraId="0BC5B893" w14:textId="77777777" w:rsidR="00F724C9" w:rsidRPr="00AA522C" w:rsidRDefault="00F724C9" w:rsidP="00F724C9">
            <w:pPr>
              <w:spacing w:line="240" w:lineRule="auto"/>
              <w:rPr>
                <w:rFonts w:cs="Times New Roman"/>
                <w:szCs w:val="24"/>
              </w:rPr>
            </w:pPr>
            <w:r w:rsidRPr="00E84DD0">
              <w:t>7.1100</w:t>
            </w:r>
          </w:p>
        </w:tc>
      </w:tr>
      <w:tr w:rsidR="00F724C9" w14:paraId="508F5CE8" w14:textId="77777777" w:rsidTr="004700AA">
        <w:tc>
          <w:tcPr>
            <w:tcW w:w="1341" w:type="dxa"/>
          </w:tcPr>
          <w:p w14:paraId="20C20DC7" w14:textId="77777777" w:rsidR="00F724C9" w:rsidRDefault="00F724C9" w:rsidP="00F724C9">
            <w:pPr>
              <w:spacing w:line="240" w:lineRule="auto"/>
              <w:rPr>
                <w:lang w:val="en-US"/>
              </w:rPr>
            </w:pPr>
            <w:r>
              <w:rPr>
                <w:lang w:val="en-US"/>
              </w:rPr>
              <w:t>April</w:t>
            </w:r>
          </w:p>
        </w:tc>
        <w:tc>
          <w:tcPr>
            <w:tcW w:w="2297" w:type="dxa"/>
            <w:vAlign w:val="center"/>
          </w:tcPr>
          <w:p w14:paraId="4F975AB7" w14:textId="77777777" w:rsidR="00F724C9" w:rsidRDefault="00F724C9" w:rsidP="00F724C9">
            <w:pPr>
              <w:spacing w:line="240" w:lineRule="auto"/>
              <w:rPr>
                <w:lang w:val="en-US"/>
              </w:rPr>
            </w:pPr>
            <w:r>
              <w:t>1.4506</w:t>
            </w:r>
          </w:p>
        </w:tc>
        <w:tc>
          <w:tcPr>
            <w:tcW w:w="1664" w:type="dxa"/>
          </w:tcPr>
          <w:p w14:paraId="7C800CFF" w14:textId="77777777" w:rsidR="00F724C9" w:rsidRDefault="00F724C9" w:rsidP="00F724C9">
            <w:pPr>
              <w:spacing w:line="240" w:lineRule="auto"/>
            </w:pPr>
            <w:r w:rsidRPr="003635E4">
              <w:t>0.3224</w:t>
            </w:r>
          </w:p>
        </w:tc>
        <w:tc>
          <w:tcPr>
            <w:tcW w:w="1664" w:type="dxa"/>
          </w:tcPr>
          <w:p w14:paraId="577F8FC4" w14:textId="77777777" w:rsidR="00F724C9" w:rsidRPr="00AA522C" w:rsidRDefault="00F724C9" w:rsidP="00F724C9">
            <w:pPr>
              <w:spacing w:line="240" w:lineRule="auto"/>
              <w:rPr>
                <w:rFonts w:cs="Times New Roman"/>
                <w:szCs w:val="24"/>
              </w:rPr>
            </w:pPr>
            <w:r w:rsidRPr="003635E4">
              <w:t>0.9470</w:t>
            </w:r>
          </w:p>
        </w:tc>
        <w:tc>
          <w:tcPr>
            <w:tcW w:w="1664" w:type="dxa"/>
          </w:tcPr>
          <w:p w14:paraId="53BB393B" w14:textId="77777777" w:rsidR="00F724C9" w:rsidRPr="00AA522C" w:rsidRDefault="00F724C9" w:rsidP="00F724C9">
            <w:pPr>
              <w:spacing w:line="240" w:lineRule="auto"/>
              <w:rPr>
                <w:rFonts w:cs="Times New Roman"/>
                <w:szCs w:val="24"/>
              </w:rPr>
            </w:pPr>
            <w:r w:rsidRPr="00E84DD0">
              <w:t>6.4056</w:t>
            </w:r>
          </w:p>
        </w:tc>
      </w:tr>
      <w:tr w:rsidR="00F724C9" w14:paraId="5E2911C6" w14:textId="77777777" w:rsidTr="004700AA">
        <w:tc>
          <w:tcPr>
            <w:tcW w:w="1341" w:type="dxa"/>
          </w:tcPr>
          <w:p w14:paraId="26EC0D45" w14:textId="77777777" w:rsidR="00F724C9" w:rsidRDefault="00F724C9" w:rsidP="00F724C9">
            <w:pPr>
              <w:spacing w:line="240" w:lineRule="auto"/>
              <w:rPr>
                <w:lang w:val="en-US"/>
              </w:rPr>
            </w:pPr>
            <w:r>
              <w:rPr>
                <w:lang w:val="en-US"/>
              </w:rPr>
              <w:t>May</w:t>
            </w:r>
          </w:p>
        </w:tc>
        <w:tc>
          <w:tcPr>
            <w:tcW w:w="2297" w:type="dxa"/>
            <w:vAlign w:val="center"/>
          </w:tcPr>
          <w:p w14:paraId="48C5D380" w14:textId="77777777" w:rsidR="00F724C9" w:rsidRDefault="00F724C9" w:rsidP="00F724C9">
            <w:pPr>
              <w:spacing w:line="240" w:lineRule="auto"/>
              <w:rPr>
                <w:lang w:val="en-US"/>
              </w:rPr>
            </w:pPr>
            <w:r>
              <w:t>1.3984</w:t>
            </w:r>
          </w:p>
        </w:tc>
        <w:tc>
          <w:tcPr>
            <w:tcW w:w="1664" w:type="dxa"/>
          </w:tcPr>
          <w:p w14:paraId="684FC19F" w14:textId="77777777" w:rsidR="00F724C9" w:rsidRDefault="00F724C9" w:rsidP="00F724C9">
            <w:pPr>
              <w:spacing w:line="240" w:lineRule="auto"/>
            </w:pPr>
            <w:r w:rsidRPr="003635E4">
              <w:t>0.3125</w:t>
            </w:r>
          </w:p>
        </w:tc>
        <w:tc>
          <w:tcPr>
            <w:tcW w:w="1664" w:type="dxa"/>
          </w:tcPr>
          <w:p w14:paraId="56C3CEB9" w14:textId="77777777" w:rsidR="00F724C9" w:rsidRPr="00AA522C" w:rsidRDefault="00F724C9" w:rsidP="00F724C9">
            <w:pPr>
              <w:spacing w:line="240" w:lineRule="auto"/>
              <w:rPr>
                <w:rFonts w:cs="Times New Roman"/>
                <w:szCs w:val="24"/>
              </w:rPr>
            </w:pPr>
            <w:r w:rsidRPr="003635E4">
              <w:t>0.9150</w:t>
            </w:r>
          </w:p>
        </w:tc>
        <w:tc>
          <w:tcPr>
            <w:tcW w:w="1664" w:type="dxa"/>
          </w:tcPr>
          <w:p w14:paraId="30DE6081" w14:textId="77777777" w:rsidR="00F724C9" w:rsidRPr="00AA522C" w:rsidRDefault="00F724C9" w:rsidP="00F724C9">
            <w:pPr>
              <w:spacing w:line="240" w:lineRule="auto"/>
              <w:rPr>
                <w:rFonts w:cs="Times New Roman"/>
                <w:szCs w:val="24"/>
              </w:rPr>
            </w:pPr>
            <w:r w:rsidRPr="00E84DD0">
              <w:t>6.1753</w:t>
            </w:r>
          </w:p>
        </w:tc>
      </w:tr>
      <w:tr w:rsidR="00F724C9" w14:paraId="039E7E29" w14:textId="77777777" w:rsidTr="004700AA">
        <w:tc>
          <w:tcPr>
            <w:tcW w:w="1341" w:type="dxa"/>
          </w:tcPr>
          <w:p w14:paraId="689BBBC2" w14:textId="77777777" w:rsidR="00F724C9" w:rsidRDefault="00F724C9" w:rsidP="00F724C9">
            <w:pPr>
              <w:spacing w:line="240" w:lineRule="auto"/>
              <w:rPr>
                <w:lang w:val="en-US"/>
              </w:rPr>
            </w:pPr>
            <w:r>
              <w:rPr>
                <w:lang w:val="en-US"/>
              </w:rPr>
              <w:t>June</w:t>
            </w:r>
          </w:p>
        </w:tc>
        <w:tc>
          <w:tcPr>
            <w:tcW w:w="2297" w:type="dxa"/>
            <w:vAlign w:val="center"/>
          </w:tcPr>
          <w:p w14:paraId="397EF1B8" w14:textId="77777777" w:rsidR="00F724C9" w:rsidRDefault="00F724C9" w:rsidP="00F724C9">
            <w:pPr>
              <w:spacing w:line="240" w:lineRule="auto"/>
              <w:rPr>
                <w:lang w:val="en-US"/>
              </w:rPr>
            </w:pPr>
            <w:r>
              <w:t>1.2868</w:t>
            </w:r>
          </w:p>
        </w:tc>
        <w:tc>
          <w:tcPr>
            <w:tcW w:w="1664" w:type="dxa"/>
          </w:tcPr>
          <w:p w14:paraId="560BFD6E" w14:textId="77777777" w:rsidR="00F724C9" w:rsidRDefault="00F724C9" w:rsidP="00F724C9">
            <w:pPr>
              <w:spacing w:line="240" w:lineRule="auto"/>
            </w:pPr>
            <w:r w:rsidRPr="003635E4">
              <w:t>0.2872</w:t>
            </w:r>
          </w:p>
        </w:tc>
        <w:tc>
          <w:tcPr>
            <w:tcW w:w="1664" w:type="dxa"/>
          </w:tcPr>
          <w:p w14:paraId="250639C8" w14:textId="77777777" w:rsidR="00F724C9" w:rsidRPr="00AA522C" w:rsidRDefault="00F724C9" w:rsidP="00F724C9">
            <w:pPr>
              <w:spacing w:line="240" w:lineRule="auto"/>
              <w:rPr>
                <w:rFonts w:cs="Times New Roman"/>
                <w:szCs w:val="24"/>
              </w:rPr>
            </w:pPr>
            <w:r w:rsidRPr="003635E4">
              <w:t>0.8417</w:t>
            </w:r>
          </w:p>
        </w:tc>
        <w:tc>
          <w:tcPr>
            <w:tcW w:w="1664" w:type="dxa"/>
          </w:tcPr>
          <w:p w14:paraId="7AE378CE" w14:textId="77777777" w:rsidR="00F724C9" w:rsidRPr="00AA522C" w:rsidRDefault="00F724C9" w:rsidP="00F724C9">
            <w:pPr>
              <w:spacing w:line="240" w:lineRule="auto"/>
              <w:rPr>
                <w:rFonts w:cs="Times New Roman"/>
                <w:szCs w:val="24"/>
              </w:rPr>
            </w:pPr>
            <w:r w:rsidRPr="00E84DD0">
              <w:t>5.6838</w:t>
            </w:r>
          </w:p>
        </w:tc>
      </w:tr>
      <w:tr w:rsidR="00F724C9" w14:paraId="5B4F3D1D" w14:textId="77777777" w:rsidTr="004700AA">
        <w:tc>
          <w:tcPr>
            <w:tcW w:w="1341" w:type="dxa"/>
          </w:tcPr>
          <w:p w14:paraId="725AA02A" w14:textId="77777777" w:rsidR="00F724C9" w:rsidRDefault="00F724C9" w:rsidP="00F724C9">
            <w:pPr>
              <w:spacing w:line="240" w:lineRule="auto"/>
              <w:rPr>
                <w:lang w:val="en-US"/>
              </w:rPr>
            </w:pPr>
            <w:r>
              <w:rPr>
                <w:lang w:val="en-US"/>
              </w:rPr>
              <w:t>July</w:t>
            </w:r>
          </w:p>
        </w:tc>
        <w:tc>
          <w:tcPr>
            <w:tcW w:w="2297" w:type="dxa"/>
            <w:vAlign w:val="center"/>
          </w:tcPr>
          <w:p w14:paraId="19BF7115" w14:textId="77777777" w:rsidR="00F724C9" w:rsidRDefault="00F724C9" w:rsidP="00F724C9">
            <w:pPr>
              <w:spacing w:line="240" w:lineRule="auto"/>
              <w:rPr>
                <w:lang w:val="en-US"/>
              </w:rPr>
            </w:pPr>
            <w:r>
              <w:t>1.4549</w:t>
            </w:r>
          </w:p>
        </w:tc>
        <w:tc>
          <w:tcPr>
            <w:tcW w:w="1664" w:type="dxa"/>
          </w:tcPr>
          <w:p w14:paraId="6061F5FD" w14:textId="77777777" w:rsidR="00F724C9" w:rsidRDefault="00F724C9" w:rsidP="00F724C9">
            <w:pPr>
              <w:spacing w:line="240" w:lineRule="auto"/>
            </w:pPr>
            <w:r w:rsidRPr="003635E4">
              <w:t>0.3254</w:t>
            </w:r>
          </w:p>
        </w:tc>
        <w:tc>
          <w:tcPr>
            <w:tcW w:w="1664" w:type="dxa"/>
          </w:tcPr>
          <w:p w14:paraId="2926D011" w14:textId="77777777" w:rsidR="00F724C9" w:rsidRPr="00AA522C" w:rsidRDefault="00F724C9" w:rsidP="00F724C9">
            <w:pPr>
              <w:spacing w:line="240" w:lineRule="auto"/>
              <w:rPr>
                <w:rFonts w:cs="Times New Roman"/>
                <w:szCs w:val="24"/>
              </w:rPr>
            </w:pPr>
            <w:r w:rsidRPr="003635E4">
              <w:t>0.9524</w:t>
            </w:r>
          </w:p>
        </w:tc>
        <w:tc>
          <w:tcPr>
            <w:tcW w:w="1664" w:type="dxa"/>
          </w:tcPr>
          <w:p w14:paraId="5108D7E5" w14:textId="77777777" w:rsidR="00F724C9" w:rsidRPr="00AA522C" w:rsidRDefault="00F724C9" w:rsidP="00F724C9">
            <w:pPr>
              <w:spacing w:line="240" w:lineRule="auto"/>
              <w:rPr>
                <w:rFonts w:cs="Times New Roman"/>
                <w:szCs w:val="24"/>
              </w:rPr>
            </w:pPr>
            <w:r w:rsidRPr="00E84DD0">
              <w:t>6.4243</w:t>
            </w:r>
          </w:p>
        </w:tc>
      </w:tr>
      <w:tr w:rsidR="00F724C9" w14:paraId="0AFA0CA7" w14:textId="77777777" w:rsidTr="004700AA">
        <w:tc>
          <w:tcPr>
            <w:tcW w:w="1341" w:type="dxa"/>
          </w:tcPr>
          <w:p w14:paraId="09E861F9" w14:textId="77777777" w:rsidR="00F724C9" w:rsidRDefault="00F724C9" w:rsidP="00F724C9">
            <w:pPr>
              <w:spacing w:line="240" w:lineRule="auto"/>
              <w:rPr>
                <w:lang w:val="en-US"/>
              </w:rPr>
            </w:pPr>
            <w:r>
              <w:rPr>
                <w:lang w:val="en-US"/>
              </w:rPr>
              <w:t>August</w:t>
            </w:r>
          </w:p>
        </w:tc>
        <w:tc>
          <w:tcPr>
            <w:tcW w:w="2297" w:type="dxa"/>
            <w:vAlign w:val="center"/>
          </w:tcPr>
          <w:p w14:paraId="3303382B" w14:textId="77777777" w:rsidR="00F724C9" w:rsidRDefault="00F724C9" w:rsidP="00F724C9">
            <w:pPr>
              <w:spacing w:line="240" w:lineRule="auto"/>
              <w:rPr>
                <w:lang w:val="en-US"/>
              </w:rPr>
            </w:pPr>
            <w:r>
              <w:t>1.6503</w:t>
            </w:r>
          </w:p>
        </w:tc>
        <w:tc>
          <w:tcPr>
            <w:tcW w:w="1664" w:type="dxa"/>
          </w:tcPr>
          <w:p w14:paraId="1D8E91A1" w14:textId="77777777" w:rsidR="00F724C9" w:rsidRDefault="00F724C9" w:rsidP="00F724C9">
            <w:pPr>
              <w:spacing w:line="240" w:lineRule="auto"/>
            </w:pPr>
            <w:r w:rsidRPr="003635E4">
              <w:t>0.3653</w:t>
            </w:r>
          </w:p>
        </w:tc>
        <w:tc>
          <w:tcPr>
            <w:tcW w:w="1664" w:type="dxa"/>
          </w:tcPr>
          <w:p w14:paraId="01759653" w14:textId="77777777" w:rsidR="00F724C9" w:rsidRPr="00AA522C" w:rsidRDefault="00F724C9" w:rsidP="00F724C9">
            <w:pPr>
              <w:spacing w:line="240" w:lineRule="auto"/>
              <w:rPr>
                <w:rFonts w:cs="Times New Roman"/>
                <w:szCs w:val="24"/>
              </w:rPr>
            </w:pPr>
            <w:r w:rsidRPr="003635E4">
              <w:t>1.0765</w:t>
            </w:r>
          </w:p>
        </w:tc>
        <w:tc>
          <w:tcPr>
            <w:tcW w:w="1664" w:type="dxa"/>
          </w:tcPr>
          <w:p w14:paraId="1714908C" w14:textId="77777777" w:rsidR="00F724C9" w:rsidRPr="00AA522C" w:rsidRDefault="00F724C9" w:rsidP="00F724C9">
            <w:pPr>
              <w:spacing w:line="240" w:lineRule="auto"/>
              <w:rPr>
                <w:rFonts w:cs="Times New Roman"/>
                <w:szCs w:val="24"/>
              </w:rPr>
            </w:pPr>
            <w:r w:rsidRPr="00E84DD0">
              <w:t>7.2980</w:t>
            </w:r>
          </w:p>
        </w:tc>
      </w:tr>
      <w:tr w:rsidR="00F724C9" w14:paraId="03B71230" w14:textId="77777777" w:rsidTr="004700AA">
        <w:tc>
          <w:tcPr>
            <w:tcW w:w="1341" w:type="dxa"/>
          </w:tcPr>
          <w:p w14:paraId="35C40DB7" w14:textId="77777777" w:rsidR="00F724C9" w:rsidRDefault="00F724C9" w:rsidP="00F724C9">
            <w:pPr>
              <w:spacing w:line="240" w:lineRule="auto"/>
              <w:rPr>
                <w:lang w:val="en-US"/>
              </w:rPr>
            </w:pPr>
            <w:r>
              <w:rPr>
                <w:lang w:val="en-US"/>
              </w:rPr>
              <w:t>September</w:t>
            </w:r>
          </w:p>
        </w:tc>
        <w:tc>
          <w:tcPr>
            <w:tcW w:w="2297" w:type="dxa"/>
            <w:vAlign w:val="center"/>
          </w:tcPr>
          <w:p w14:paraId="3D4EF9AA" w14:textId="77777777" w:rsidR="00F724C9" w:rsidRDefault="00F724C9" w:rsidP="00F724C9">
            <w:pPr>
              <w:spacing w:line="240" w:lineRule="auto"/>
              <w:rPr>
                <w:lang w:val="en-US"/>
              </w:rPr>
            </w:pPr>
            <w:r>
              <w:t>1.4928</w:t>
            </w:r>
          </w:p>
        </w:tc>
        <w:tc>
          <w:tcPr>
            <w:tcW w:w="1664" w:type="dxa"/>
          </w:tcPr>
          <w:p w14:paraId="19CCB831" w14:textId="77777777" w:rsidR="00F724C9" w:rsidRDefault="00F724C9" w:rsidP="00F724C9">
            <w:pPr>
              <w:spacing w:line="240" w:lineRule="auto"/>
            </w:pPr>
            <w:r w:rsidRPr="003635E4">
              <w:t>0.2970</w:t>
            </w:r>
          </w:p>
        </w:tc>
        <w:tc>
          <w:tcPr>
            <w:tcW w:w="1664" w:type="dxa"/>
          </w:tcPr>
          <w:p w14:paraId="5DC2E393" w14:textId="77777777" w:rsidR="00F724C9" w:rsidRPr="00AA522C" w:rsidRDefault="00F724C9" w:rsidP="00F724C9">
            <w:pPr>
              <w:spacing w:line="240" w:lineRule="auto"/>
              <w:rPr>
                <w:rFonts w:cs="Times New Roman"/>
                <w:szCs w:val="24"/>
              </w:rPr>
            </w:pPr>
            <w:r w:rsidRPr="003635E4">
              <w:t>0.9441</w:t>
            </w:r>
          </w:p>
        </w:tc>
        <w:tc>
          <w:tcPr>
            <w:tcW w:w="1664" w:type="dxa"/>
          </w:tcPr>
          <w:p w14:paraId="18A16BF3" w14:textId="77777777" w:rsidR="00F724C9" w:rsidRPr="00AA522C" w:rsidRDefault="00F724C9" w:rsidP="00F724C9">
            <w:pPr>
              <w:spacing w:line="240" w:lineRule="auto"/>
              <w:rPr>
                <w:rFonts w:cs="Times New Roman"/>
                <w:szCs w:val="24"/>
              </w:rPr>
            </w:pPr>
            <w:r w:rsidRPr="00E84DD0">
              <w:t>6.6776</w:t>
            </w:r>
          </w:p>
        </w:tc>
      </w:tr>
      <w:tr w:rsidR="00F724C9" w14:paraId="53851323" w14:textId="77777777" w:rsidTr="004700AA">
        <w:tc>
          <w:tcPr>
            <w:tcW w:w="1341" w:type="dxa"/>
          </w:tcPr>
          <w:p w14:paraId="214164CD" w14:textId="77777777" w:rsidR="00F724C9" w:rsidRDefault="00F724C9" w:rsidP="00F724C9">
            <w:pPr>
              <w:spacing w:line="240" w:lineRule="auto"/>
              <w:rPr>
                <w:lang w:val="en-US"/>
              </w:rPr>
            </w:pPr>
            <w:r>
              <w:rPr>
                <w:lang w:val="en-US"/>
              </w:rPr>
              <w:t>October</w:t>
            </w:r>
          </w:p>
        </w:tc>
        <w:tc>
          <w:tcPr>
            <w:tcW w:w="2297" w:type="dxa"/>
            <w:vAlign w:val="center"/>
          </w:tcPr>
          <w:p w14:paraId="64C4CA23" w14:textId="77777777" w:rsidR="00F724C9" w:rsidRDefault="00F724C9" w:rsidP="00F724C9">
            <w:pPr>
              <w:spacing w:line="240" w:lineRule="auto"/>
              <w:rPr>
                <w:lang w:val="en-US"/>
              </w:rPr>
            </w:pPr>
            <w:r>
              <w:t>1.2784</w:t>
            </w:r>
          </w:p>
        </w:tc>
        <w:tc>
          <w:tcPr>
            <w:tcW w:w="1664" w:type="dxa"/>
          </w:tcPr>
          <w:p w14:paraId="6C8B8D5C" w14:textId="77777777" w:rsidR="00F724C9" w:rsidRDefault="00F724C9" w:rsidP="00F724C9">
            <w:pPr>
              <w:spacing w:line="240" w:lineRule="auto"/>
            </w:pPr>
            <w:r w:rsidRPr="003635E4">
              <w:t>0.2870</w:t>
            </w:r>
          </w:p>
        </w:tc>
        <w:tc>
          <w:tcPr>
            <w:tcW w:w="1664" w:type="dxa"/>
          </w:tcPr>
          <w:p w14:paraId="40BAEACC" w14:textId="77777777" w:rsidR="00F724C9" w:rsidRPr="00AA522C" w:rsidRDefault="00F724C9" w:rsidP="00F724C9">
            <w:pPr>
              <w:spacing w:line="240" w:lineRule="auto"/>
              <w:rPr>
                <w:rFonts w:cs="Times New Roman"/>
                <w:szCs w:val="24"/>
              </w:rPr>
            </w:pPr>
            <w:r w:rsidRPr="003635E4">
              <w:t>0.8378</w:t>
            </w:r>
          </w:p>
        </w:tc>
        <w:tc>
          <w:tcPr>
            <w:tcW w:w="1664" w:type="dxa"/>
          </w:tcPr>
          <w:p w14:paraId="5DCE6EFF" w14:textId="77777777" w:rsidR="00F724C9" w:rsidRPr="00AA522C" w:rsidRDefault="00F724C9" w:rsidP="00F724C9">
            <w:pPr>
              <w:spacing w:line="240" w:lineRule="auto"/>
              <w:rPr>
                <w:rFonts w:cs="Times New Roman"/>
                <w:szCs w:val="24"/>
              </w:rPr>
            </w:pPr>
            <w:r w:rsidRPr="00E84DD0">
              <w:t>5.6417</w:t>
            </w:r>
          </w:p>
        </w:tc>
      </w:tr>
      <w:tr w:rsidR="00F724C9" w14:paraId="3F28A443" w14:textId="77777777" w:rsidTr="004700AA">
        <w:tc>
          <w:tcPr>
            <w:tcW w:w="1341" w:type="dxa"/>
          </w:tcPr>
          <w:p w14:paraId="333C1223" w14:textId="77777777" w:rsidR="00F724C9" w:rsidRDefault="00F724C9" w:rsidP="00F724C9">
            <w:pPr>
              <w:spacing w:line="240" w:lineRule="auto"/>
              <w:rPr>
                <w:lang w:val="en-US"/>
              </w:rPr>
            </w:pPr>
            <w:r>
              <w:rPr>
                <w:lang w:val="en-US"/>
              </w:rPr>
              <w:t>November</w:t>
            </w:r>
          </w:p>
        </w:tc>
        <w:tc>
          <w:tcPr>
            <w:tcW w:w="2297" w:type="dxa"/>
            <w:vAlign w:val="center"/>
          </w:tcPr>
          <w:p w14:paraId="22909C30" w14:textId="77777777" w:rsidR="00F724C9" w:rsidRDefault="00F724C9" w:rsidP="00F724C9">
            <w:pPr>
              <w:spacing w:line="240" w:lineRule="auto"/>
              <w:rPr>
                <w:lang w:val="en-US"/>
              </w:rPr>
            </w:pPr>
            <w:r>
              <w:t>1.6541</w:t>
            </w:r>
          </w:p>
        </w:tc>
        <w:tc>
          <w:tcPr>
            <w:tcW w:w="1664" w:type="dxa"/>
          </w:tcPr>
          <w:p w14:paraId="20C49E41" w14:textId="0D092B27" w:rsidR="00F724C9" w:rsidRDefault="00F724C9" w:rsidP="00F724C9">
            <w:pPr>
              <w:spacing w:line="240" w:lineRule="auto"/>
            </w:pPr>
            <w:r w:rsidRPr="00FA6296">
              <w:t>0</w:t>
            </w:r>
            <w:r w:rsidR="002258C6">
              <w:t>.3271</w:t>
            </w:r>
          </w:p>
        </w:tc>
        <w:tc>
          <w:tcPr>
            <w:tcW w:w="1664" w:type="dxa"/>
            <w:vAlign w:val="center"/>
          </w:tcPr>
          <w:p w14:paraId="31F7DBA9" w14:textId="0F70EBA0" w:rsidR="00F724C9" w:rsidRPr="00AA522C" w:rsidRDefault="00E60AC6" w:rsidP="00E60AC6">
            <w:pPr>
              <w:spacing w:line="240" w:lineRule="auto"/>
              <w:rPr>
                <w:rFonts w:cs="Times New Roman"/>
                <w:szCs w:val="24"/>
              </w:rPr>
            </w:pPr>
            <w:r>
              <w:rPr>
                <w:rFonts w:eastAsia="Times New Roman" w:cs="Times New Roman"/>
                <w:szCs w:val="24"/>
              </w:rPr>
              <w:t>1.0441</w:t>
            </w:r>
          </w:p>
        </w:tc>
        <w:tc>
          <w:tcPr>
            <w:tcW w:w="1664" w:type="dxa"/>
          </w:tcPr>
          <w:p w14:paraId="0CB2B724" w14:textId="77777777" w:rsidR="00F724C9" w:rsidRPr="00AA522C" w:rsidRDefault="00F724C9" w:rsidP="00F724C9">
            <w:pPr>
              <w:spacing w:line="240" w:lineRule="auto"/>
              <w:rPr>
                <w:rFonts w:cs="Times New Roman"/>
                <w:szCs w:val="24"/>
              </w:rPr>
            </w:pPr>
            <w:r w:rsidRPr="00E84DD0">
              <w:t>7.4048</w:t>
            </w:r>
          </w:p>
        </w:tc>
      </w:tr>
      <w:tr w:rsidR="00F724C9" w14:paraId="5686338E" w14:textId="77777777" w:rsidTr="004700AA">
        <w:tc>
          <w:tcPr>
            <w:tcW w:w="1341" w:type="dxa"/>
          </w:tcPr>
          <w:p w14:paraId="1532836C" w14:textId="77777777" w:rsidR="00F724C9" w:rsidRDefault="00F724C9" w:rsidP="00F724C9">
            <w:pPr>
              <w:spacing w:line="240" w:lineRule="auto"/>
              <w:rPr>
                <w:lang w:val="en-US"/>
              </w:rPr>
            </w:pPr>
            <w:r>
              <w:rPr>
                <w:lang w:val="en-US"/>
              </w:rPr>
              <w:t>December</w:t>
            </w:r>
          </w:p>
        </w:tc>
        <w:tc>
          <w:tcPr>
            <w:tcW w:w="2297" w:type="dxa"/>
            <w:vAlign w:val="center"/>
          </w:tcPr>
          <w:p w14:paraId="4DE87AFC" w14:textId="77777777" w:rsidR="00F724C9" w:rsidRDefault="00F724C9" w:rsidP="00F724C9">
            <w:pPr>
              <w:spacing w:line="240" w:lineRule="auto"/>
              <w:rPr>
                <w:lang w:val="en-US"/>
              </w:rPr>
            </w:pPr>
            <w:r>
              <w:t>1.5422</w:t>
            </w:r>
          </w:p>
        </w:tc>
        <w:tc>
          <w:tcPr>
            <w:tcW w:w="1664" w:type="dxa"/>
          </w:tcPr>
          <w:p w14:paraId="6AC2EA97" w14:textId="42E1E35E" w:rsidR="00F724C9" w:rsidRDefault="00F724C9" w:rsidP="00F724C9">
            <w:pPr>
              <w:spacing w:line="240" w:lineRule="auto"/>
            </w:pPr>
            <w:r w:rsidRPr="00FA6296">
              <w:t>0</w:t>
            </w:r>
            <w:r w:rsidR="002258C6">
              <w:t>.9738</w:t>
            </w:r>
          </w:p>
        </w:tc>
        <w:tc>
          <w:tcPr>
            <w:tcW w:w="1664" w:type="dxa"/>
            <w:vAlign w:val="center"/>
          </w:tcPr>
          <w:p w14:paraId="52AE82EA" w14:textId="2CCD366C" w:rsidR="00F724C9" w:rsidRPr="00AA522C" w:rsidRDefault="00F724C9" w:rsidP="00E60AC6">
            <w:pPr>
              <w:spacing w:line="240" w:lineRule="auto"/>
              <w:rPr>
                <w:rFonts w:cs="Times New Roman"/>
                <w:szCs w:val="24"/>
              </w:rPr>
            </w:pPr>
            <w:r w:rsidRPr="00AA522C">
              <w:rPr>
                <w:rFonts w:eastAsia="Times New Roman" w:cs="Times New Roman"/>
                <w:szCs w:val="24"/>
              </w:rPr>
              <w:t>0.</w:t>
            </w:r>
            <w:r w:rsidR="00E60AC6">
              <w:rPr>
                <w:rFonts w:eastAsia="Times New Roman" w:cs="Times New Roman"/>
                <w:szCs w:val="24"/>
              </w:rPr>
              <w:t>9841</w:t>
            </w:r>
          </w:p>
        </w:tc>
        <w:tc>
          <w:tcPr>
            <w:tcW w:w="1664" w:type="dxa"/>
          </w:tcPr>
          <w:p w14:paraId="0BE11F9B" w14:textId="77777777" w:rsidR="00F724C9" w:rsidRPr="00AA522C" w:rsidRDefault="00F724C9" w:rsidP="00F724C9">
            <w:pPr>
              <w:spacing w:line="240" w:lineRule="auto"/>
              <w:rPr>
                <w:rFonts w:cs="Times New Roman"/>
                <w:szCs w:val="24"/>
              </w:rPr>
            </w:pPr>
            <w:r w:rsidRPr="00E84DD0">
              <w:t>6.2892</w:t>
            </w:r>
          </w:p>
        </w:tc>
      </w:tr>
    </w:tbl>
    <w:p w14:paraId="43155232" w14:textId="731722A0" w:rsidR="007F4E51" w:rsidRDefault="00316578" w:rsidP="007F4E51">
      <w:pPr>
        <w:pStyle w:val="Heading3"/>
      </w:pPr>
      <w:bookmarkStart w:id="86" w:name="_Toc110502624"/>
      <w:r>
        <w:t>4.4.2</w:t>
      </w:r>
      <w:r w:rsidR="00061CF2">
        <w:tab/>
        <w:t xml:space="preserve">Line loading </w:t>
      </w:r>
      <w:r w:rsidR="007F4E51">
        <w:t>in the Microgrid</w:t>
      </w:r>
      <w:r w:rsidR="00D54FAA">
        <w:t xml:space="preserve"> for The First Scenario</w:t>
      </w:r>
      <w:bookmarkEnd w:id="86"/>
    </w:p>
    <w:p w14:paraId="1A2EC8E1" w14:textId="778CD387" w:rsidR="00D54EC7" w:rsidRDefault="007F4E51" w:rsidP="00D54EC7">
      <w:pPr>
        <w:spacing w:line="480" w:lineRule="auto"/>
      </w:pPr>
      <w:r>
        <w:t xml:space="preserve">The </w:t>
      </w:r>
      <w:r w:rsidR="00061CF2">
        <w:t xml:space="preserve">average monthly line loading for the four main distribution lines in the </w:t>
      </w:r>
      <w:r w:rsidR="00852F30">
        <w:t>microgrid is shown in T</w:t>
      </w:r>
      <w:r w:rsidR="006B6BDE">
        <w:t>able 4.11</w:t>
      </w:r>
      <w:r w:rsidR="00061CF2">
        <w:t xml:space="preserve"> which shows that on average the lines in the microgrid are not excessively loaded.</w:t>
      </w:r>
      <w:r w:rsidR="00834BD3">
        <w:t xml:space="preserve"> However, the loading varies hour by hour and the lines are therefore not as underutilised as the figures may present. In addition, the use of such lines is necessary to minimise copper losses and maintain thermal stability of conductors in the microgrid, as some of the lines reached loading of</w:t>
      </w:r>
      <w:r w:rsidR="007D5FD3">
        <w:t xml:space="preserve"> over</w:t>
      </w:r>
      <w:r w:rsidR="00834BD3">
        <w:t xml:space="preserve"> 9</w:t>
      </w:r>
      <w:r w:rsidR="007D5FD3">
        <w:t>0</w:t>
      </w:r>
      <w:r w:rsidR="00834BD3">
        <w:t>% on occasion</w:t>
      </w:r>
      <w:r w:rsidR="00662D2F">
        <w:t xml:space="preserve"> (where 100% represents full load)</w:t>
      </w:r>
      <w:r w:rsidR="00834BD3">
        <w:t xml:space="preserve"> but no line maintained overloaded state for long periods</w:t>
      </w:r>
      <w:r w:rsidR="001C2A3C">
        <w:t xml:space="preserve"> and loading was generally low on the lines. It is seen that if 100mm square conductors had been used, the line loading would be quadrupled for each line and lines 2 and 3 would consistently be overloaded. Lines 1 and 4 are lightly loaded under normal operation but in case of outage of one line or damage to </w:t>
      </w:r>
      <w:r w:rsidR="008B3D06">
        <w:t xml:space="preserve">a </w:t>
      </w:r>
      <w:r w:rsidR="001C2A3C">
        <w:t>transformer, the loading is simil</w:t>
      </w:r>
      <w:r w:rsidR="00FC339F">
        <w:t xml:space="preserve">ar to that of lines 2 and 3, as the network is </w:t>
      </w:r>
      <w:r w:rsidR="008B3D06">
        <w:t xml:space="preserve">a </w:t>
      </w:r>
      <w:r w:rsidR="00FC339F">
        <w:t>ring instead of radial, for higher reliability.</w:t>
      </w:r>
      <w:r w:rsidR="00894D7B">
        <w:t xml:space="preserve"> In addition, lines of robust capacity have deliberately been used in this simulation so that the effects of line losses will not overshadow the relevant long-term dynamics in the microgrid.</w:t>
      </w:r>
    </w:p>
    <w:p w14:paraId="4FAE42D2" w14:textId="10F28463" w:rsidR="00061CF2" w:rsidRDefault="00AE71E1" w:rsidP="00D54EC7">
      <w:pPr>
        <w:spacing w:line="240" w:lineRule="auto"/>
        <w:jc w:val="center"/>
      </w:pPr>
      <w:r>
        <w:rPr>
          <w:b/>
          <w:lang w:val="en-US"/>
        </w:rPr>
        <w:t>Table 4.11</w:t>
      </w:r>
      <w:r w:rsidR="00061CF2">
        <w:rPr>
          <w:b/>
          <w:lang w:val="en-US"/>
        </w:rPr>
        <w:t xml:space="preserve"> – Average loading (in %) of distribution Lines in the microgrid for each month of the year</w:t>
      </w:r>
      <w:r w:rsidR="000C1DA4">
        <w:rPr>
          <w:b/>
          <w:lang w:val="en-US"/>
        </w:rPr>
        <w:t xml:space="preserve"> for </w:t>
      </w:r>
      <w:r w:rsidR="008B3D06">
        <w:rPr>
          <w:b/>
          <w:lang w:val="en-US"/>
        </w:rPr>
        <w:t xml:space="preserve">the </w:t>
      </w:r>
      <w:r w:rsidR="000C1DA4">
        <w:rPr>
          <w:b/>
          <w:lang w:val="en-US"/>
        </w:rPr>
        <w:t>First Scenario</w:t>
      </w:r>
      <w:r w:rsidR="00061CF2">
        <w:rPr>
          <w:b/>
          <w:lang w:val="en-US"/>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1726"/>
      </w:tblGrid>
      <w:tr w:rsidR="00061CF2" w14:paraId="35C3FD06" w14:textId="77777777" w:rsidTr="00D54EC7">
        <w:trPr>
          <w:jc w:val="center"/>
        </w:trPr>
        <w:tc>
          <w:tcPr>
            <w:tcW w:w="1726" w:type="dxa"/>
            <w:tcBorders>
              <w:top w:val="single" w:sz="4" w:space="0" w:color="auto"/>
              <w:bottom w:val="single" w:sz="4" w:space="0" w:color="auto"/>
            </w:tcBorders>
          </w:tcPr>
          <w:p w14:paraId="46768F54" w14:textId="3508F0F6" w:rsidR="00061CF2" w:rsidRPr="00061CF2" w:rsidRDefault="00061CF2" w:rsidP="00D54EC7">
            <w:pPr>
              <w:spacing w:line="240" w:lineRule="auto"/>
            </w:pPr>
            <w:r>
              <w:t>Month</w:t>
            </w:r>
          </w:p>
        </w:tc>
        <w:tc>
          <w:tcPr>
            <w:tcW w:w="1726" w:type="dxa"/>
            <w:tcBorders>
              <w:top w:val="single" w:sz="4" w:space="0" w:color="auto"/>
              <w:bottom w:val="single" w:sz="4" w:space="0" w:color="auto"/>
            </w:tcBorders>
          </w:tcPr>
          <w:p w14:paraId="4D6567A0" w14:textId="5BF7FDC0" w:rsidR="00061CF2" w:rsidRDefault="00061CF2" w:rsidP="00D54EC7">
            <w:pPr>
              <w:spacing w:line="240" w:lineRule="auto"/>
            </w:pPr>
            <w:r>
              <w:t xml:space="preserve">Line 1 </w:t>
            </w:r>
          </w:p>
        </w:tc>
        <w:tc>
          <w:tcPr>
            <w:tcW w:w="1726" w:type="dxa"/>
            <w:tcBorders>
              <w:top w:val="single" w:sz="4" w:space="0" w:color="auto"/>
              <w:bottom w:val="single" w:sz="4" w:space="0" w:color="auto"/>
            </w:tcBorders>
          </w:tcPr>
          <w:p w14:paraId="4645445C" w14:textId="018D2BF8" w:rsidR="00061CF2" w:rsidRDefault="00061CF2" w:rsidP="00D54EC7">
            <w:pPr>
              <w:spacing w:line="240" w:lineRule="auto"/>
            </w:pPr>
            <w:r>
              <w:t>Line 2</w:t>
            </w:r>
          </w:p>
        </w:tc>
        <w:tc>
          <w:tcPr>
            <w:tcW w:w="1726" w:type="dxa"/>
            <w:tcBorders>
              <w:top w:val="single" w:sz="4" w:space="0" w:color="auto"/>
              <w:bottom w:val="single" w:sz="4" w:space="0" w:color="auto"/>
            </w:tcBorders>
          </w:tcPr>
          <w:p w14:paraId="6A5C5217" w14:textId="6E232A7F" w:rsidR="00061CF2" w:rsidRDefault="00061CF2" w:rsidP="00D54EC7">
            <w:pPr>
              <w:spacing w:line="240" w:lineRule="auto"/>
            </w:pPr>
            <w:r>
              <w:t>Line 3</w:t>
            </w:r>
          </w:p>
        </w:tc>
        <w:tc>
          <w:tcPr>
            <w:tcW w:w="1726" w:type="dxa"/>
            <w:tcBorders>
              <w:top w:val="single" w:sz="4" w:space="0" w:color="auto"/>
              <w:bottom w:val="single" w:sz="4" w:space="0" w:color="auto"/>
            </w:tcBorders>
          </w:tcPr>
          <w:p w14:paraId="72C61FEF" w14:textId="51F56C9C" w:rsidR="00061CF2" w:rsidRDefault="00061CF2" w:rsidP="00D54EC7">
            <w:pPr>
              <w:spacing w:line="240" w:lineRule="auto"/>
            </w:pPr>
            <w:r>
              <w:t>Line 4</w:t>
            </w:r>
          </w:p>
        </w:tc>
      </w:tr>
      <w:tr w:rsidR="00061CF2" w14:paraId="1DFF3D83" w14:textId="77777777" w:rsidTr="00D54EC7">
        <w:trPr>
          <w:jc w:val="center"/>
        </w:trPr>
        <w:tc>
          <w:tcPr>
            <w:tcW w:w="1726" w:type="dxa"/>
            <w:tcBorders>
              <w:top w:val="single" w:sz="4" w:space="0" w:color="auto"/>
            </w:tcBorders>
          </w:tcPr>
          <w:p w14:paraId="3ACEA9EB" w14:textId="7AA8A920" w:rsidR="00061CF2" w:rsidRDefault="00061CF2" w:rsidP="00D54EC7">
            <w:pPr>
              <w:spacing w:line="240" w:lineRule="auto"/>
            </w:pPr>
            <w:r>
              <w:t>January</w:t>
            </w:r>
          </w:p>
        </w:tc>
        <w:tc>
          <w:tcPr>
            <w:tcW w:w="1726" w:type="dxa"/>
            <w:tcBorders>
              <w:top w:val="single" w:sz="4" w:space="0" w:color="auto"/>
            </w:tcBorders>
          </w:tcPr>
          <w:p w14:paraId="255974F0" w14:textId="1B22C78B" w:rsidR="00061CF2" w:rsidRDefault="00061CF2" w:rsidP="00D54EC7">
            <w:pPr>
              <w:spacing w:line="240" w:lineRule="auto"/>
            </w:pPr>
            <w:r>
              <w:t>3.26</w:t>
            </w:r>
          </w:p>
        </w:tc>
        <w:tc>
          <w:tcPr>
            <w:tcW w:w="1726" w:type="dxa"/>
            <w:tcBorders>
              <w:top w:val="single" w:sz="4" w:space="0" w:color="auto"/>
            </w:tcBorders>
          </w:tcPr>
          <w:p w14:paraId="73E7E97C" w14:textId="1EE5FEE4" w:rsidR="00061CF2" w:rsidRDefault="00061CF2" w:rsidP="00D54EC7">
            <w:pPr>
              <w:spacing w:line="240" w:lineRule="auto"/>
            </w:pPr>
            <w:r>
              <w:t>24.01</w:t>
            </w:r>
          </w:p>
        </w:tc>
        <w:tc>
          <w:tcPr>
            <w:tcW w:w="1726" w:type="dxa"/>
            <w:tcBorders>
              <w:top w:val="single" w:sz="4" w:space="0" w:color="auto"/>
            </w:tcBorders>
          </w:tcPr>
          <w:p w14:paraId="22F53322" w14:textId="22370AD3" w:rsidR="00061CF2" w:rsidRDefault="00061CF2" w:rsidP="00D54EC7">
            <w:pPr>
              <w:spacing w:line="240" w:lineRule="auto"/>
            </w:pPr>
            <w:r>
              <w:t>25.37</w:t>
            </w:r>
          </w:p>
        </w:tc>
        <w:tc>
          <w:tcPr>
            <w:tcW w:w="1726" w:type="dxa"/>
            <w:tcBorders>
              <w:top w:val="single" w:sz="4" w:space="0" w:color="auto"/>
            </w:tcBorders>
          </w:tcPr>
          <w:p w14:paraId="33B76735" w14:textId="5FDDB2B6" w:rsidR="00061CF2" w:rsidRDefault="00061CF2" w:rsidP="00D54EC7">
            <w:pPr>
              <w:spacing w:line="240" w:lineRule="auto"/>
            </w:pPr>
            <w:r>
              <w:t>3.52</w:t>
            </w:r>
          </w:p>
        </w:tc>
      </w:tr>
      <w:tr w:rsidR="00061CF2" w14:paraId="49311FF5" w14:textId="77777777" w:rsidTr="00D54EC7">
        <w:trPr>
          <w:jc w:val="center"/>
        </w:trPr>
        <w:tc>
          <w:tcPr>
            <w:tcW w:w="1726" w:type="dxa"/>
          </w:tcPr>
          <w:p w14:paraId="63E79B96" w14:textId="4E445E1C" w:rsidR="00061CF2" w:rsidRDefault="00061CF2" w:rsidP="00D54EC7">
            <w:pPr>
              <w:spacing w:line="240" w:lineRule="auto"/>
            </w:pPr>
            <w:r>
              <w:rPr>
                <w:lang w:val="en-US"/>
              </w:rPr>
              <w:t>February</w:t>
            </w:r>
          </w:p>
        </w:tc>
        <w:tc>
          <w:tcPr>
            <w:tcW w:w="1726" w:type="dxa"/>
          </w:tcPr>
          <w:p w14:paraId="4748B0E5" w14:textId="76A775C9" w:rsidR="00061CF2" w:rsidRDefault="00061CF2" w:rsidP="00D54EC7">
            <w:pPr>
              <w:spacing w:line="240" w:lineRule="auto"/>
            </w:pPr>
            <w:r>
              <w:t>2.45</w:t>
            </w:r>
          </w:p>
        </w:tc>
        <w:tc>
          <w:tcPr>
            <w:tcW w:w="1726" w:type="dxa"/>
          </w:tcPr>
          <w:p w14:paraId="4AB70E24" w14:textId="005A06F3" w:rsidR="00061CF2" w:rsidRDefault="00061CF2" w:rsidP="00D54EC7">
            <w:pPr>
              <w:spacing w:line="240" w:lineRule="auto"/>
            </w:pPr>
            <w:r>
              <w:t>17.86</w:t>
            </w:r>
          </w:p>
        </w:tc>
        <w:tc>
          <w:tcPr>
            <w:tcW w:w="1726" w:type="dxa"/>
          </w:tcPr>
          <w:p w14:paraId="6BA669D2" w14:textId="16B2172D" w:rsidR="00061CF2" w:rsidRDefault="00061CF2" w:rsidP="00D54EC7">
            <w:pPr>
              <w:spacing w:line="240" w:lineRule="auto"/>
            </w:pPr>
            <w:r>
              <w:t>18.92</w:t>
            </w:r>
          </w:p>
        </w:tc>
        <w:tc>
          <w:tcPr>
            <w:tcW w:w="1726" w:type="dxa"/>
          </w:tcPr>
          <w:p w14:paraId="6A3688F5" w14:textId="32859A46" w:rsidR="00061CF2" w:rsidRDefault="00061CF2" w:rsidP="00D54EC7">
            <w:pPr>
              <w:spacing w:line="240" w:lineRule="auto"/>
            </w:pPr>
            <w:r>
              <w:t>2.65</w:t>
            </w:r>
          </w:p>
        </w:tc>
      </w:tr>
      <w:tr w:rsidR="00061CF2" w14:paraId="7FA4B5E8" w14:textId="77777777" w:rsidTr="00D54EC7">
        <w:trPr>
          <w:jc w:val="center"/>
        </w:trPr>
        <w:tc>
          <w:tcPr>
            <w:tcW w:w="1726" w:type="dxa"/>
          </w:tcPr>
          <w:p w14:paraId="7CA3C4A1" w14:textId="2FDB45F1" w:rsidR="00061CF2" w:rsidRDefault="00061CF2" w:rsidP="00D54EC7">
            <w:pPr>
              <w:spacing w:line="240" w:lineRule="auto"/>
            </w:pPr>
            <w:r>
              <w:rPr>
                <w:lang w:val="en-US"/>
              </w:rPr>
              <w:t>March</w:t>
            </w:r>
          </w:p>
        </w:tc>
        <w:tc>
          <w:tcPr>
            <w:tcW w:w="1726" w:type="dxa"/>
          </w:tcPr>
          <w:p w14:paraId="31BB5165" w14:textId="5F5C87C1" w:rsidR="00061CF2" w:rsidRDefault="00834BD3" w:rsidP="00D54EC7">
            <w:pPr>
              <w:spacing w:line="240" w:lineRule="auto"/>
            </w:pPr>
            <w:r>
              <w:t>3.04</w:t>
            </w:r>
          </w:p>
        </w:tc>
        <w:tc>
          <w:tcPr>
            <w:tcW w:w="1726" w:type="dxa"/>
          </w:tcPr>
          <w:p w14:paraId="7A2E61BC" w14:textId="7677E782" w:rsidR="00061CF2" w:rsidRDefault="00834BD3" w:rsidP="00D54EC7">
            <w:pPr>
              <w:spacing w:line="240" w:lineRule="auto"/>
            </w:pPr>
            <w:r>
              <w:t>17.45</w:t>
            </w:r>
          </w:p>
        </w:tc>
        <w:tc>
          <w:tcPr>
            <w:tcW w:w="1726" w:type="dxa"/>
          </w:tcPr>
          <w:p w14:paraId="60686587" w14:textId="4A8DCC0B" w:rsidR="00061CF2" w:rsidRDefault="00834BD3" w:rsidP="00D54EC7">
            <w:pPr>
              <w:spacing w:line="240" w:lineRule="auto"/>
            </w:pPr>
            <w:r>
              <w:t>18.41</w:t>
            </w:r>
          </w:p>
        </w:tc>
        <w:tc>
          <w:tcPr>
            <w:tcW w:w="1726" w:type="dxa"/>
          </w:tcPr>
          <w:p w14:paraId="200BCC2E" w14:textId="560D77FE" w:rsidR="00061CF2" w:rsidRDefault="00834BD3" w:rsidP="00D54EC7">
            <w:pPr>
              <w:spacing w:line="240" w:lineRule="auto"/>
            </w:pPr>
            <w:r>
              <w:t>2.51</w:t>
            </w:r>
          </w:p>
        </w:tc>
      </w:tr>
      <w:tr w:rsidR="00061CF2" w14:paraId="595075F2" w14:textId="77777777" w:rsidTr="00D54EC7">
        <w:trPr>
          <w:jc w:val="center"/>
        </w:trPr>
        <w:tc>
          <w:tcPr>
            <w:tcW w:w="1726" w:type="dxa"/>
          </w:tcPr>
          <w:p w14:paraId="6CE38422" w14:textId="0A170C5D" w:rsidR="00061CF2" w:rsidRDefault="00061CF2" w:rsidP="00D54EC7">
            <w:pPr>
              <w:spacing w:line="240" w:lineRule="auto"/>
            </w:pPr>
            <w:r>
              <w:rPr>
                <w:lang w:val="en-US"/>
              </w:rPr>
              <w:t>April</w:t>
            </w:r>
          </w:p>
        </w:tc>
        <w:tc>
          <w:tcPr>
            <w:tcW w:w="1726" w:type="dxa"/>
          </w:tcPr>
          <w:p w14:paraId="6F50FA1E" w14:textId="370D31E9" w:rsidR="00061CF2" w:rsidRDefault="00834BD3" w:rsidP="00D54EC7">
            <w:pPr>
              <w:spacing w:line="240" w:lineRule="auto"/>
            </w:pPr>
            <w:r>
              <w:t>2.15</w:t>
            </w:r>
          </w:p>
        </w:tc>
        <w:tc>
          <w:tcPr>
            <w:tcW w:w="1726" w:type="dxa"/>
          </w:tcPr>
          <w:p w14:paraId="10985526" w14:textId="35E7CD21" w:rsidR="00061CF2" w:rsidRDefault="00834BD3" w:rsidP="00D54EC7">
            <w:pPr>
              <w:spacing w:line="240" w:lineRule="auto"/>
            </w:pPr>
            <w:r>
              <w:t>15.65</w:t>
            </w:r>
          </w:p>
        </w:tc>
        <w:tc>
          <w:tcPr>
            <w:tcW w:w="1726" w:type="dxa"/>
          </w:tcPr>
          <w:p w14:paraId="3F075D35" w14:textId="42A86DF1" w:rsidR="00061CF2" w:rsidRDefault="00834BD3" w:rsidP="00D54EC7">
            <w:pPr>
              <w:spacing w:line="240" w:lineRule="auto"/>
            </w:pPr>
            <w:r>
              <w:t>16.58</w:t>
            </w:r>
          </w:p>
        </w:tc>
        <w:tc>
          <w:tcPr>
            <w:tcW w:w="1726" w:type="dxa"/>
          </w:tcPr>
          <w:p w14:paraId="188FA242" w14:textId="632F883D" w:rsidR="00061CF2" w:rsidRDefault="00834BD3" w:rsidP="00D54EC7">
            <w:pPr>
              <w:spacing w:line="240" w:lineRule="auto"/>
            </w:pPr>
            <w:r>
              <w:t>2.33</w:t>
            </w:r>
          </w:p>
        </w:tc>
      </w:tr>
      <w:tr w:rsidR="00061CF2" w14:paraId="7E49B60A" w14:textId="77777777" w:rsidTr="00D54EC7">
        <w:trPr>
          <w:jc w:val="center"/>
        </w:trPr>
        <w:tc>
          <w:tcPr>
            <w:tcW w:w="1726" w:type="dxa"/>
          </w:tcPr>
          <w:p w14:paraId="7EC9B90D" w14:textId="31420F26" w:rsidR="00061CF2" w:rsidRDefault="00061CF2" w:rsidP="00D54EC7">
            <w:pPr>
              <w:spacing w:line="240" w:lineRule="auto"/>
            </w:pPr>
            <w:r>
              <w:rPr>
                <w:lang w:val="en-US"/>
              </w:rPr>
              <w:t>May</w:t>
            </w:r>
          </w:p>
        </w:tc>
        <w:tc>
          <w:tcPr>
            <w:tcW w:w="1726" w:type="dxa"/>
          </w:tcPr>
          <w:p w14:paraId="1BCD1665" w14:textId="27B1C935" w:rsidR="00061CF2" w:rsidRDefault="00834BD3" w:rsidP="00D54EC7">
            <w:pPr>
              <w:spacing w:line="240" w:lineRule="auto"/>
            </w:pPr>
            <w:r>
              <w:t>2.08</w:t>
            </w:r>
          </w:p>
        </w:tc>
        <w:tc>
          <w:tcPr>
            <w:tcW w:w="1726" w:type="dxa"/>
          </w:tcPr>
          <w:p w14:paraId="25E0DF1C" w14:textId="54D4B839" w:rsidR="00061CF2" w:rsidRDefault="00834BD3" w:rsidP="00D54EC7">
            <w:pPr>
              <w:spacing w:line="240" w:lineRule="auto"/>
            </w:pPr>
            <w:r>
              <w:t>15.09</w:t>
            </w:r>
          </w:p>
        </w:tc>
        <w:tc>
          <w:tcPr>
            <w:tcW w:w="1726" w:type="dxa"/>
          </w:tcPr>
          <w:p w14:paraId="3EDBF469" w14:textId="575C6BDB" w:rsidR="00061CF2" w:rsidRDefault="00834BD3" w:rsidP="00D54EC7">
            <w:pPr>
              <w:spacing w:line="240" w:lineRule="auto"/>
            </w:pPr>
            <w:r>
              <w:t>16.00</w:t>
            </w:r>
          </w:p>
        </w:tc>
        <w:tc>
          <w:tcPr>
            <w:tcW w:w="1726" w:type="dxa"/>
          </w:tcPr>
          <w:p w14:paraId="173C45AD" w14:textId="6472EAA3" w:rsidR="00061CF2" w:rsidRDefault="00834BD3" w:rsidP="00D54EC7">
            <w:pPr>
              <w:spacing w:line="240" w:lineRule="auto"/>
            </w:pPr>
            <w:r>
              <w:t>2.25</w:t>
            </w:r>
          </w:p>
        </w:tc>
      </w:tr>
      <w:tr w:rsidR="00061CF2" w14:paraId="6786A48B" w14:textId="77777777" w:rsidTr="00D54EC7">
        <w:trPr>
          <w:jc w:val="center"/>
        </w:trPr>
        <w:tc>
          <w:tcPr>
            <w:tcW w:w="1726" w:type="dxa"/>
          </w:tcPr>
          <w:p w14:paraId="6CD9A6AD" w14:textId="4E4BE398" w:rsidR="00061CF2" w:rsidRDefault="00061CF2" w:rsidP="00D54EC7">
            <w:pPr>
              <w:spacing w:line="240" w:lineRule="auto"/>
            </w:pPr>
            <w:r>
              <w:rPr>
                <w:lang w:val="en-US"/>
              </w:rPr>
              <w:t>June</w:t>
            </w:r>
          </w:p>
        </w:tc>
        <w:tc>
          <w:tcPr>
            <w:tcW w:w="1726" w:type="dxa"/>
          </w:tcPr>
          <w:p w14:paraId="74DC1D3A" w14:textId="7266F393" w:rsidR="00061CF2" w:rsidRDefault="00834BD3" w:rsidP="00D54EC7">
            <w:pPr>
              <w:spacing w:line="240" w:lineRule="auto"/>
            </w:pPr>
            <w:r>
              <w:t>1.91</w:t>
            </w:r>
          </w:p>
        </w:tc>
        <w:tc>
          <w:tcPr>
            <w:tcW w:w="1726" w:type="dxa"/>
          </w:tcPr>
          <w:p w14:paraId="3B5A26F1" w14:textId="62256976" w:rsidR="00061CF2" w:rsidRDefault="00834BD3" w:rsidP="00D54EC7">
            <w:pPr>
              <w:spacing w:line="240" w:lineRule="auto"/>
            </w:pPr>
            <w:r>
              <w:t>13.89</w:t>
            </w:r>
          </w:p>
        </w:tc>
        <w:tc>
          <w:tcPr>
            <w:tcW w:w="1726" w:type="dxa"/>
          </w:tcPr>
          <w:p w14:paraId="0C94C28C" w14:textId="58F92622" w:rsidR="00061CF2" w:rsidRDefault="00834BD3" w:rsidP="00D54EC7">
            <w:pPr>
              <w:spacing w:line="240" w:lineRule="auto"/>
            </w:pPr>
            <w:r>
              <w:t>14.73</w:t>
            </w:r>
          </w:p>
        </w:tc>
        <w:tc>
          <w:tcPr>
            <w:tcW w:w="1726" w:type="dxa"/>
          </w:tcPr>
          <w:p w14:paraId="41F823EA" w14:textId="32752117" w:rsidR="00061CF2" w:rsidRDefault="00834BD3" w:rsidP="00D54EC7">
            <w:pPr>
              <w:spacing w:line="240" w:lineRule="auto"/>
            </w:pPr>
            <w:r>
              <w:t>2.07</w:t>
            </w:r>
          </w:p>
        </w:tc>
      </w:tr>
      <w:tr w:rsidR="00061CF2" w14:paraId="7C212BFE" w14:textId="77777777" w:rsidTr="00D54EC7">
        <w:trPr>
          <w:jc w:val="center"/>
        </w:trPr>
        <w:tc>
          <w:tcPr>
            <w:tcW w:w="1726" w:type="dxa"/>
          </w:tcPr>
          <w:p w14:paraId="33634ED9" w14:textId="5067204D" w:rsidR="00061CF2" w:rsidRDefault="00061CF2" w:rsidP="00D54EC7">
            <w:pPr>
              <w:spacing w:line="240" w:lineRule="auto"/>
            </w:pPr>
            <w:r>
              <w:rPr>
                <w:lang w:val="en-US"/>
              </w:rPr>
              <w:t>July</w:t>
            </w:r>
          </w:p>
        </w:tc>
        <w:tc>
          <w:tcPr>
            <w:tcW w:w="1726" w:type="dxa"/>
          </w:tcPr>
          <w:p w14:paraId="03D4B952" w14:textId="71BED3DC" w:rsidR="00061CF2" w:rsidRDefault="00834BD3" w:rsidP="00D54EC7">
            <w:pPr>
              <w:spacing w:line="240" w:lineRule="auto"/>
            </w:pPr>
            <w:r>
              <w:t>2.16</w:t>
            </w:r>
          </w:p>
        </w:tc>
        <w:tc>
          <w:tcPr>
            <w:tcW w:w="1726" w:type="dxa"/>
          </w:tcPr>
          <w:p w14:paraId="12D63424" w14:textId="049B2B84" w:rsidR="00061CF2" w:rsidRDefault="00834BD3" w:rsidP="00D54EC7">
            <w:pPr>
              <w:spacing w:line="240" w:lineRule="auto"/>
            </w:pPr>
            <w:r>
              <w:t>15.69</w:t>
            </w:r>
          </w:p>
        </w:tc>
        <w:tc>
          <w:tcPr>
            <w:tcW w:w="1726" w:type="dxa"/>
          </w:tcPr>
          <w:p w14:paraId="3E9B0924" w14:textId="72580916" w:rsidR="00061CF2" w:rsidRDefault="00834BD3" w:rsidP="00D54EC7">
            <w:pPr>
              <w:spacing w:line="240" w:lineRule="auto"/>
            </w:pPr>
            <w:r>
              <w:t>16.65</w:t>
            </w:r>
          </w:p>
        </w:tc>
        <w:tc>
          <w:tcPr>
            <w:tcW w:w="1726" w:type="dxa"/>
          </w:tcPr>
          <w:p w14:paraId="5CBA8F88" w14:textId="1BA49C08" w:rsidR="00061CF2" w:rsidRDefault="00834BD3" w:rsidP="00D54EC7">
            <w:pPr>
              <w:spacing w:line="240" w:lineRule="auto"/>
            </w:pPr>
            <w:r>
              <w:t>2.34</w:t>
            </w:r>
          </w:p>
        </w:tc>
      </w:tr>
      <w:tr w:rsidR="00061CF2" w14:paraId="0EF037C4" w14:textId="77777777" w:rsidTr="00D54EC7">
        <w:trPr>
          <w:jc w:val="center"/>
        </w:trPr>
        <w:tc>
          <w:tcPr>
            <w:tcW w:w="1726" w:type="dxa"/>
          </w:tcPr>
          <w:p w14:paraId="1FA1BC71" w14:textId="1F4EFAE6" w:rsidR="00061CF2" w:rsidRDefault="00061CF2" w:rsidP="00D54EC7">
            <w:pPr>
              <w:spacing w:line="240" w:lineRule="auto"/>
            </w:pPr>
            <w:r>
              <w:rPr>
                <w:lang w:val="en-US"/>
              </w:rPr>
              <w:t>August</w:t>
            </w:r>
          </w:p>
        </w:tc>
        <w:tc>
          <w:tcPr>
            <w:tcW w:w="1726" w:type="dxa"/>
          </w:tcPr>
          <w:p w14:paraId="1AC6F69F" w14:textId="687718AB" w:rsidR="00061CF2" w:rsidRDefault="00834BD3" w:rsidP="00D54EC7">
            <w:pPr>
              <w:spacing w:line="240" w:lineRule="auto"/>
            </w:pPr>
            <w:r>
              <w:t>2.45</w:t>
            </w:r>
          </w:p>
        </w:tc>
        <w:tc>
          <w:tcPr>
            <w:tcW w:w="1726" w:type="dxa"/>
          </w:tcPr>
          <w:p w14:paraId="5DEFF4BF" w14:textId="03648DED" w:rsidR="00061CF2" w:rsidRDefault="00834BD3" w:rsidP="00D54EC7">
            <w:pPr>
              <w:spacing w:line="240" w:lineRule="auto"/>
            </w:pPr>
            <w:r>
              <w:t>17.83</w:t>
            </w:r>
          </w:p>
        </w:tc>
        <w:tc>
          <w:tcPr>
            <w:tcW w:w="1726" w:type="dxa"/>
          </w:tcPr>
          <w:p w14:paraId="598D2C0F" w14:textId="5E0CCBF0" w:rsidR="00061CF2" w:rsidRDefault="00834BD3" w:rsidP="00D54EC7">
            <w:pPr>
              <w:spacing w:line="240" w:lineRule="auto"/>
            </w:pPr>
            <w:r>
              <w:t>18.89</w:t>
            </w:r>
          </w:p>
        </w:tc>
        <w:tc>
          <w:tcPr>
            <w:tcW w:w="1726" w:type="dxa"/>
          </w:tcPr>
          <w:p w14:paraId="17E03223" w14:textId="10DA8FC1" w:rsidR="00061CF2" w:rsidRDefault="00834BD3" w:rsidP="00D54EC7">
            <w:pPr>
              <w:spacing w:line="240" w:lineRule="auto"/>
            </w:pPr>
            <w:r>
              <w:t>2.65</w:t>
            </w:r>
          </w:p>
        </w:tc>
      </w:tr>
      <w:tr w:rsidR="00061CF2" w14:paraId="5779B1BE" w14:textId="77777777" w:rsidTr="00D54EC7">
        <w:trPr>
          <w:jc w:val="center"/>
        </w:trPr>
        <w:tc>
          <w:tcPr>
            <w:tcW w:w="1726" w:type="dxa"/>
          </w:tcPr>
          <w:p w14:paraId="309825E2" w14:textId="33FC03A0" w:rsidR="00061CF2" w:rsidRDefault="00061CF2" w:rsidP="00D54EC7">
            <w:pPr>
              <w:spacing w:line="240" w:lineRule="auto"/>
            </w:pPr>
            <w:r>
              <w:rPr>
                <w:lang w:val="en-US"/>
              </w:rPr>
              <w:t>September</w:t>
            </w:r>
          </w:p>
        </w:tc>
        <w:tc>
          <w:tcPr>
            <w:tcW w:w="1726" w:type="dxa"/>
          </w:tcPr>
          <w:p w14:paraId="57F2141C" w14:textId="58448524" w:rsidR="00061CF2" w:rsidRDefault="00834BD3" w:rsidP="00D54EC7">
            <w:pPr>
              <w:spacing w:line="240" w:lineRule="auto"/>
            </w:pPr>
            <w:r>
              <w:t>2.09</w:t>
            </w:r>
          </w:p>
        </w:tc>
        <w:tc>
          <w:tcPr>
            <w:tcW w:w="1726" w:type="dxa"/>
          </w:tcPr>
          <w:p w14:paraId="7CFA5B2C" w14:textId="518E9AB6" w:rsidR="00061CF2" w:rsidRDefault="00834BD3" w:rsidP="00D54EC7">
            <w:pPr>
              <w:spacing w:line="240" w:lineRule="auto"/>
            </w:pPr>
            <w:r>
              <w:t>15.90</w:t>
            </w:r>
          </w:p>
        </w:tc>
        <w:tc>
          <w:tcPr>
            <w:tcW w:w="1726" w:type="dxa"/>
          </w:tcPr>
          <w:p w14:paraId="2B88A17E" w14:textId="25D2B5F6" w:rsidR="00061CF2" w:rsidRDefault="00834BD3" w:rsidP="00D54EC7">
            <w:pPr>
              <w:spacing w:line="240" w:lineRule="auto"/>
            </w:pPr>
            <w:r>
              <w:t>16.64</w:t>
            </w:r>
          </w:p>
        </w:tc>
        <w:tc>
          <w:tcPr>
            <w:tcW w:w="1726" w:type="dxa"/>
          </w:tcPr>
          <w:p w14:paraId="33A83804" w14:textId="2B62233F" w:rsidR="00061CF2" w:rsidRDefault="00834BD3" w:rsidP="00D54EC7">
            <w:pPr>
              <w:spacing w:line="240" w:lineRule="auto"/>
            </w:pPr>
            <w:r>
              <w:t>2.25</w:t>
            </w:r>
          </w:p>
        </w:tc>
      </w:tr>
      <w:tr w:rsidR="00061CF2" w14:paraId="1B37DDE7" w14:textId="77777777" w:rsidTr="00D54EC7">
        <w:trPr>
          <w:jc w:val="center"/>
        </w:trPr>
        <w:tc>
          <w:tcPr>
            <w:tcW w:w="1726" w:type="dxa"/>
          </w:tcPr>
          <w:p w14:paraId="72A49A04" w14:textId="6623E232" w:rsidR="00061CF2" w:rsidRDefault="00061CF2" w:rsidP="00D54EC7">
            <w:pPr>
              <w:spacing w:line="240" w:lineRule="auto"/>
            </w:pPr>
            <w:r>
              <w:rPr>
                <w:lang w:val="en-US"/>
              </w:rPr>
              <w:t>October</w:t>
            </w:r>
          </w:p>
        </w:tc>
        <w:tc>
          <w:tcPr>
            <w:tcW w:w="1726" w:type="dxa"/>
          </w:tcPr>
          <w:p w14:paraId="2FB57D0C" w14:textId="537F2B83" w:rsidR="00061CF2" w:rsidRDefault="00834BD3" w:rsidP="00D54EC7">
            <w:pPr>
              <w:spacing w:line="240" w:lineRule="auto"/>
            </w:pPr>
            <w:r>
              <w:t>1.9</w:t>
            </w:r>
          </w:p>
        </w:tc>
        <w:tc>
          <w:tcPr>
            <w:tcW w:w="1726" w:type="dxa"/>
          </w:tcPr>
          <w:p w14:paraId="608AF6EC" w14:textId="3B406486" w:rsidR="00061CF2" w:rsidRDefault="00834BD3" w:rsidP="00D54EC7">
            <w:pPr>
              <w:spacing w:line="240" w:lineRule="auto"/>
            </w:pPr>
            <w:r>
              <w:t>13.78</w:t>
            </w:r>
          </w:p>
        </w:tc>
        <w:tc>
          <w:tcPr>
            <w:tcW w:w="1726" w:type="dxa"/>
          </w:tcPr>
          <w:p w14:paraId="4E2F931A" w14:textId="03192054" w:rsidR="00061CF2" w:rsidRDefault="00834BD3" w:rsidP="00D54EC7">
            <w:pPr>
              <w:spacing w:line="240" w:lineRule="auto"/>
            </w:pPr>
            <w:r>
              <w:t>14.62</w:t>
            </w:r>
          </w:p>
        </w:tc>
        <w:tc>
          <w:tcPr>
            <w:tcW w:w="1726" w:type="dxa"/>
          </w:tcPr>
          <w:p w14:paraId="122B1E58" w14:textId="4CBADB70" w:rsidR="00061CF2" w:rsidRDefault="00834BD3" w:rsidP="00D54EC7">
            <w:pPr>
              <w:spacing w:line="240" w:lineRule="auto"/>
            </w:pPr>
            <w:r>
              <w:t>2.06</w:t>
            </w:r>
          </w:p>
        </w:tc>
      </w:tr>
      <w:tr w:rsidR="00061CF2" w14:paraId="694D3E9E" w14:textId="77777777" w:rsidTr="00D54EC7">
        <w:trPr>
          <w:jc w:val="center"/>
        </w:trPr>
        <w:tc>
          <w:tcPr>
            <w:tcW w:w="1726" w:type="dxa"/>
          </w:tcPr>
          <w:p w14:paraId="4948A8C8" w14:textId="09A98689" w:rsidR="00061CF2" w:rsidRDefault="00061CF2" w:rsidP="00D54EC7">
            <w:pPr>
              <w:spacing w:line="240" w:lineRule="auto"/>
            </w:pPr>
            <w:r>
              <w:rPr>
                <w:lang w:val="en-US"/>
              </w:rPr>
              <w:t>November</w:t>
            </w:r>
          </w:p>
        </w:tc>
        <w:tc>
          <w:tcPr>
            <w:tcW w:w="1726" w:type="dxa"/>
          </w:tcPr>
          <w:p w14:paraId="037FCD89" w14:textId="702D6970" w:rsidR="00061CF2" w:rsidRDefault="00834BD3" w:rsidP="00D54EC7">
            <w:pPr>
              <w:spacing w:line="240" w:lineRule="auto"/>
            </w:pPr>
            <w:r>
              <w:t>2.31</w:t>
            </w:r>
          </w:p>
        </w:tc>
        <w:tc>
          <w:tcPr>
            <w:tcW w:w="1726" w:type="dxa"/>
          </w:tcPr>
          <w:p w14:paraId="58FCC22E" w14:textId="1D397B6B" w:rsidR="00061CF2" w:rsidRDefault="00834BD3" w:rsidP="00D54EC7">
            <w:pPr>
              <w:spacing w:line="240" w:lineRule="auto"/>
            </w:pPr>
            <w:r>
              <w:t>17.64</w:t>
            </w:r>
          </w:p>
        </w:tc>
        <w:tc>
          <w:tcPr>
            <w:tcW w:w="1726" w:type="dxa"/>
          </w:tcPr>
          <w:p w14:paraId="73B24E80" w14:textId="27D73978" w:rsidR="00061CF2" w:rsidRDefault="00834BD3" w:rsidP="00D54EC7">
            <w:pPr>
              <w:spacing w:line="240" w:lineRule="auto"/>
            </w:pPr>
            <w:r>
              <w:t>18.45</w:t>
            </w:r>
          </w:p>
        </w:tc>
        <w:tc>
          <w:tcPr>
            <w:tcW w:w="1726" w:type="dxa"/>
          </w:tcPr>
          <w:p w14:paraId="1A7A8501" w14:textId="7A512F85" w:rsidR="00061CF2" w:rsidRDefault="00834BD3" w:rsidP="00D54EC7">
            <w:pPr>
              <w:spacing w:line="240" w:lineRule="auto"/>
            </w:pPr>
            <w:r>
              <w:t>2.49</w:t>
            </w:r>
          </w:p>
        </w:tc>
      </w:tr>
      <w:tr w:rsidR="00061CF2" w14:paraId="2A46EFE4" w14:textId="77777777" w:rsidTr="00D54EC7">
        <w:trPr>
          <w:jc w:val="center"/>
        </w:trPr>
        <w:tc>
          <w:tcPr>
            <w:tcW w:w="1726" w:type="dxa"/>
          </w:tcPr>
          <w:p w14:paraId="536829A2" w14:textId="479AFE9A" w:rsidR="00061CF2" w:rsidRDefault="00061CF2" w:rsidP="00D54EC7">
            <w:pPr>
              <w:spacing w:line="240" w:lineRule="auto"/>
            </w:pPr>
            <w:r>
              <w:rPr>
                <w:lang w:val="en-US"/>
              </w:rPr>
              <w:t>December</w:t>
            </w:r>
          </w:p>
        </w:tc>
        <w:tc>
          <w:tcPr>
            <w:tcW w:w="1726" w:type="dxa"/>
          </w:tcPr>
          <w:p w14:paraId="5E121DD1" w14:textId="5242E51D" w:rsidR="00061CF2" w:rsidRDefault="00834BD3" w:rsidP="00D54EC7">
            <w:pPr>
              <w:spacing w:line="240" w:lineRule="auto"/>
            </w:pPr>
            <w:r>
              <w:t>2.25</w:t>
            </w:r>
          </w:p>
        </w:tc>
        <w:tc>
          <w:tcPr>
            <w:tcW w:w="1726" w:type="dxa"/>
          </w:tcPr>
          <w:p w14:paraId="780EBF54" w14:textId="054AA98F" w:rsidR="00061CF2" w:rsidRDefault="00834BD3" w:rsidP="00D54EC7">
            <w:pPr>
              <w:spacing w:line="240" w:lineRule="auto"/>
            </w:pPr>
            <w:r>
              <w:t>15.21</w:t>
            </w:r>
          </w:p>
        </w:tc>
        <w:tc>
          <w:tcPr>
            <w:tcW w:w="1726" w:type="dxa"/>
          </w:tcPr>
          <w:p w14:paraId="68CEE2A3" w14:textId="5006EE58" w:rsidR="00061CF2" w:rsidRDefault="00834BD3" w:rsidP="00D54EC7">
            <w:pPr>
              <w:spacing w:line="240" w:lineRule="auto"/>
            </w:pPr>
            <w:r>
              <w:t>16.30</w:t>
            </w:r>
          </w:p>
        </w:tc>
        <w:tc>
          <w:tcPr>
            <w:tcW w:w="1726" w:type="dxa"/>
          </w:tcPr>
          <w:p w14:paraId="63D9816C" w14:textId="5E0DA4B6" w:rsidR="00061CF2" w:rsidRDefault="00834BD3" w:rsidP="00D54EC7">
            <w:pPr>
              <w:spacing w:line="240" w:lineRule="auto"/>
            </w:pPr>
            <w:r>
              <w:t>1.70</w:t>
            </w:r>
          </w:p>
        </w:tc>
      </w:tr>
    </w:tbl>
    <w:p w14:paraId="04F624B4" w14:textId="743F3798" w:rsidR="002726A5" w:rsidRDefault="002726A5" w:rsidP="00F24591"/>
    <w:p w14:paraId="3844AC05" w14:textId="5F313E1C" w:rsidR="00D54EC7" w:rsidRDefault="00D54EC7" w:rsidP="00E85D75">
      <w:pPr>
        <w:pStyle w:val="Heading3"/>
        <w:numPr>
          <w:ilvl w:val="2"/>
          <w:numId w:val="11"/>
        </w:numPr>
      </w:pPr>
      <w:bookmarkStart w:id="87" w:name="_Toc110502625"/>
      <w:r>
        <w:t>Voltages obtained in the Microgrid</w:t>
      </w:r>
      <w:r w:rsidR="00F535A1">
        <w:t xml:space="preserve"> for the First Scenario.</w:t>
      </w:r>
      <w:bookmarkEnd w:id="87"/>
    </w:p>
    <w:p w14:paraId="571E8C7F" w14:textId="129E9791" w:rsidR="00E70990" w:rsidRDefault="006B6BDE" w:rsidP="002B50AC">
      <w:pPr>
        <w:spacing w:line="480" w:lineRule="auto"/>
        <w:rPr>
          <w:lang w:val="en-US"/>
        </w:rPr>
      </w:pPr>
      <w:r>
        <w:rPr>
          <w:lang w:val="en-US"/>
        </w:rPr>
        <w:t>Table 4.12</w:t>
      </w:r>
      <w:r w:rsidR="00E70990">
        <w:rPr>
          <w:lang w:val="en-US"/>
        </w:rPr>
        <w:t xml:space="preserve"> shows the average RMS</w:t>
      </w:r>
      <w:r w:rsidR="00D54EC7">
        <w:rPr>
          <w:lang w:val="en-US"/>
        </w:rPr>
        <w:t xml:space="preserve"> voltages obtained on</w:t>
      </w:r>
      <w:r w:rsidR="00E70990">
        <w:rPr>
          <w:lang w:val="en-US"/>
        </w:rPr>
        <w:t xml:space="preserve"> each of</w:t>
      </w:r>
      <w:r w:rsidR="00D54EC7">
        <w:rPr>
          <w:lang w:val="en-US"/>
        </w:rPr>
        <w:t xml:space="preserve"> the buses in the microgrid</w:t>
      </w:r>
      <w:r w:rsidR="00E70990">
        <w:rPr>
          <w:lang w:val="en-US"/>
        </w:rPr>
        <w:t xml:space="preserve"> for each month</w:t>
      </w:r>
      <w:r w:rsidR="00D54EC7">
        <w:rPr>
          <w:lang w:val="en-US"/>
        </w:rPr>
        <w:t>, with the nominal voltage being 11kV 3-phase</w:t>
      </w:r>
      <w:r w:rsidR="00E70990">
        <w:rPr>
          <w:lang w:val="en-US"/>
        </w:rPr>
        <w:t xml:space="preserve"> for the single power injection bus</w:t>
      </w:r>
      <w:r w:rsidR="00D54EC7">
        <w:rPr>
          <w:lang w:val="en-US"/>
        </w:rPr>
        <w:t xml:space="preserve"> and 415/240V</w:t>
      </w:r>
      <w:r w:rsidR="00E70990">
        <w:rPr>
          <w:lang w:val="en-US"/>
        </w:rPr>
        <w:t xml:space="preserve"> for the load buses. From the voltage profiles as provided, it is seen that</w:t>
      </w:r>
      <w:r w:rsidR="008C43DD">
        <w:rPr>
          <w:lang w:val="en-US"/>
        </w:rPr>
        <w:t xml:space="preserve"> the voltages obtained on bus 6 reflect the voltage stability issues experienced on that bus</w:t>
      </w:r>
      <w:r w:rsidR="00E70990">
        <w:rPr>
          <w:lang w:val="en-US"/>
        </w:rPr>
        <w:t>.</w:t>
      </w:r>
      <w:r w:rsidR="001E39A1">
        <w:rPr>
          <w:lang w:val="en-US"/>
        </w:rPr>
        <w:t xml:space="preserve"> Bus 1 is shown as three-phase while for other buses, single-phase voltage is considered relevant.</w:t>
      </w:r>
    </w:p>
    <w:p w14:paraId="533D5C28" w14:textId="5DAB913A" w:rsidR="00E70990" w:rsidRDefault="00A56D42" w:rsidP="00E70990">
      <w:pPr>
        <w:spacing w:line="240" w:lineRule="auto"/>
        <w:jc w:val="center"/>
      </w:pPr>
      <w:r>
        <w:rPr>
          <w:b/>
          <w:lang w:val="en-US"/>
        </w:rPr>
        <w:t>Table 4.12</w:t>
      </w:r>
      <w:r w:rsidR="00E70990">
        <w:rPr>
          <w:b/>
          <w:lang w:val="en-US"/>
        </w:rPr>
        <w:t xml:space="preserve"> – Average voltage on buses in the microgrid for each month of the year</w:t>
      </w:r>
      <w:r w:rsidR="000C1DA4">
        <w:rPr>
          <w:b/>
          <w:lang w:val="en-US"/>
        </w:rPr>
        <w:t xml:space="preserve"> for </w:t>
      </w:r>
      <w:r w:rsidR="008B3D06">
        <w:rPr>
          <w:b/>
          <w:lang w:val="en-US"/>
        </w:rPr>
        <w:t xml:space="preserve">the </w:t>
      </w:r>
      <w:r w:rsidR="000C1DA4">
        <w:rPr>
          <w:b/>
          <w:lang w:val="en-US"/>
        </w:rPr>
        <w:t>first Scenario</w:t>
      </w:r>
      <w:r w:rsidR="00E70990">
        <w:rPr>
          <w:b/>
          <w:lang w:val="en-US"/>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52"/>
        <w:gridCol w:w="1108"/>
        <w:gridCol w:w="1350"/>
        <w:gridCol w:w="1170"/>
        <w:gridCol w:w="1080"/>
        <w:gridCol w:w="1403"/>
        <w:gridCol w:w="1027"/>
      </w:tblGrid>
      <w:tr w:rsidR="00E70990" w14:paraId="57F4C4BC" w14:textId="390CC0F1" w:rsidTr="006108C4">
        <w:trPr>
          <w:jc w:val="center"/>
        </w:trPr>
        <w:tc>
          <w:tcPr>
            <w:tcW w:w="1350" w:type="dxa"/>
            <w:tcBorders>
              <w:top w:val="single" w:sz="4" w:space="0" w:color="auto"/>
              <w:bottom w:val="single" w:sz="4" w:space="0" w:color="auto"/>
            </w:tcBorders>
          </w:tcPr>
          <w:p w14:paraId="74054C9C" w14:textId="77777777" w:rsidR="00E70990" w:rsidRPr="00061CF2" w:rsidRDefault="00E70990" w:rsidP="00994832">
            <w:pPr>
              <w:spacing w:line="240" w:lineRule="auto"/>
            </w:pPr>
            <w:r>
              <w:t>Month</w:t>
            </w:r>
          </w:p>
        </w:tc>
        <w:tc>
          <w:tcPr>
            <w:tcW w:w="1260" w:type="dxa"/>
            <w:gridSpan w:val="2"/>
            <w:tcBorders>
              <w:top w:val="single" w:sz="4" w:space="0" w:color="auto"/>
              <w:bottom w:val="single" w:sz="4" w:space="0" w:color="auto"/>
            </w:tcBorders>
          </w:tcPr>
          <w:p w14:paraId="35F061AF" w14:textId="77777777" w:rsidR="006108C4" w:rsidRDefault="00E70990" w:rsidP="00994832">
            <w:pPr>
              <w:spacing w:line="240" w:lineRule="auto"/>
            </w:pPr>
            <w:r>
              <w:t>Bus 1</w:t>
            </w:r>
            <w:r w:rsidR="006108C4">
              <w:t xml:space="preserve"> </w:t>
            </w:r>
          </w:p>
          <w:p w14:paraId="0A58F3F6" w14:textId="3992205D" w:rsidR="00E70990" w:rsidRDefault="006108C4" w:rsidP="00994832">
            <w:pPr>
              <w:spacing w:line="240" w:lineRule="auto"/>
            </w:pPr>
            <w:r>
              <w:t>(kV)</w:t>
            </w:r>
            <w:r w:rsidR="00E70990">
              <w:t xml:space="preserve"> </w:t>
            </w:r>
          </w:p>
        </w:tc>
        <w:tc>
          <w:tcPr>
            <w:tcW w:w="1350" w:type="dxa"/>
            <w:tcBorders>
              <w:top w:val="single" w:sz="4" w:space="0" w:color="auto"/>
              <w:bottom w:val="single" w:sz="4" w:space="0" w:color="auto"/>
            </w:tcBorders>
          </w:tcPr>
          <w:p w14:paraId="39DA5453" w14:textId="77777777" w:rsidR="006108C4" w:rsidRDefault="00E70990" w:rsidP="00994832">
            <w:pPr>
              <w:spacing w:line="240" w:lineRule="auto"/>
            </w:pPr>
            <w:r>
              <w:t>Bus 2</w:t>
            </w:r>
            <w:r w:rsidR="006108C4">
              <w:t xml:space="preserve"> </w:t>
            </w:r>
          </w:p>
          <w:p w14:paraId="1193DE71" w14:textId="7B9FBB1D" w:rsidR="00E70990" w:rsidRDefault="006108C4" w:rsidP="00994832">
            <w:pPr>
              <w:spacing w:line="240" w:lineRule="auto"/>
            </w:pPr>
            <w:r>
              <w:t>(V)</w:t>
            </w:r>
          </w:p>
        </w:tc>
        <w:tc>
          <w:tcPr>
            <w:tcW w:w="1170" w:type="dxa"/>
            <w:tcBorders>
              <w:top w:val="single" w:sz="4" w:space="0" w:color="auto"/>
              <w:bottom w:val="single" w:sz="4" w:space="0" w:color="auto"/>
            </w:tcBorders>
          </w:tcPr>
          <w:p w14:paraId="3BDC604B" w14:textId="77777777" w:rsidR="006108C4" w:rsidRDefault="00E70990" w:rsidP="00994832">
            <w:pPr>
              <w:spacing w:line="240" w:lineRule="auto"/>
            </w:pPr>
            <w:r>
              <w:t>Bus 3</w:t>
            </w:r>
            <w:r w:rsidR="006108C4">
              <w:t xml:space="preserve"> </w:t>
            </w:r>
          </w:p>
          <w:p w14:paraId="70C93FC2" w14:textId="02BD8678" w:rsidR="00E70990" w:rsidRDefault="006108C4" w:rsidP="00994832">
            <w:pPr>
              <w:spacing w:line="240" w:lineRule="auto"/>
            </w:pPr>
            <w:r>
              <w:t>(V)</w:t>
            </w:r>
          </w:p>
        </w:tc>
        <w:tc>
          <w:tcPr>
            <w:tcW w:w="1080" w:type="dxa"/>
            <w:tcBorders>
              <w:top w:val="single" w:sz="4" w:space="0" w:color="auto"/>
              <w:bottom w:val="single" w:sz="4" w:space="0" w:color="auto"/>
            </w:tcBorders>
          </w:tcPr>
          <w:p w14:paraId="6C95F539" w14:textId="77777777" w:rsidR="006108C4" w:rsidRDefault="00E70990" w:rsidP="00994832">
            <w:pPr>
              <w:spacing w:line="240" w:lineRule="auto"/>
            </w:pPr>
            <w:r>
              <w:t>Bus 4</w:t>
            </w:r>
            <w:r w:rsidR="006108C4">
              <w:t xml:space="preserve"> </w:t>
            </w:r>
          </w:p>
          <w:p w14:paraId="739FE3D8" w14:textId="037CFA2B" w:rsidR="00E70990" w:rsidRDefault="006108C4" w:rsidP="00994832">
            <w:pPr>
              <w:spacing w:line="240" w:lineRule="auto"/>
            </w:pPr>
            <w:r>
              <w:t>(V)</w:t>
            </w:r>
          </w:p>
        </w:tc>
        <w:tc>
          <w:tcPr>
            <w:tcW w:w="1403" w:type="dxa"/>
            <w:tcBorders>
              <w:top w:val="single" w:sz="4" w:space="0" w:color="auto"/>
              <w:bottom w:val="single" w:sz="4" w:space="0" w:color="auto"/>
            </w:tcBorders>
          </w:tcPr>
          <w:p w14:paraId="44ED2E70" w14:textId="77777777" w:rsidR="006108C4" w:rsidRDefault="00E70990" w:rsidP="006108C4">
            <w:pPr>
              <w:spacing w:line="240" w:lineRule="auto"/>
              <w:jc w:val="center"/>
            </w:pPr>
            <w:r>
              <w:t>B</w:t>
            </w:r>
            <w:r w:rsidR="006108C4">
              <w:t xml:space="preserve">us </w:t>
            </w:r>
            <w:r>
              <w:t>5</w:t>
            </w:r>
            <w:r w:rsidR="006108C4">
              <w:t xml:space="preserve"> </w:t>
            </w:r>
          </w:p>
          <w:p w14:paraId="4F4D3E6E" w14:textId="6758637A" w:rsidR="00E70990" w:rsidRDefault="006108C4" w:rsidP="006108C4">
            <w:pPr>
              <w:spacing w:line="240" w:lineRule="auto"/>
              <w:jc w:val="center"/>
            </w:pPr>
            <w:r>
              <w:t>(V)</w:t>
            </w:r>
          </w:p>
        </w:tc>
        <w:tc>
          <w:tcPr>
            <w:tcW w:w="1027" w:type="dxa"/>
            <w:tcBorders>
              <w:top w:val="single" w:sz="4" w:space="0" w:color="auto"/>
              <w:bottom w:val="single" w:sz="4" w:space="0" w:color="auto"/>
            </w:tcBorders>
          </w:tcPr>
          <w:p w14:paraId="136E9B37" w14:textId="77777777" w:rsidR="006108C4" w:rsidRDefault="00E70990" w:rsidP="00994832">
            <w:pPr>
              <w:spacing w:line="240" w:lineRule="auto"/>
            </w:pPr>
            <w:r>
              <w:t>Bus 6</w:t>
            </w:r>
          </w:p>
          <w:p w14:paraId="3952BA3D" w14:textId="717E401D" w:rsidR="00E70990" w:rsidRDefault="006108C4" w:rsidP="00994832">
            <w:pPr>
              <w:spacing w:line="240" w:lineRule="auto"/>
            </w:pPr>
            <w:r>
              <w:t>(V)</w:t>
            </w:r>
          </w:p>
        </w:tc>
      </w:tr>
      <w:tr w:rsidR="00E70990" w14:paraId="62C8460A" w14:textId="35BF8416" w:rsidTr="006108C4">
        <w:trPr>
          <w:jc w:val="center"/>
        </w:trPr>
        <w:tc>
          <w:tcPr>
            <w:tcW w:w="1502" w:type="dxa"/>
            <w:gridSpan w:val="2"/>
            <w:tcBorders>
              <w:top w:val="single" w:sz="4" w:space="0" w:color="auto"/>
            </w:tcBorders>
          </w:tcPr>
          <w:p w14:paraId="642C5675" w14:textId="77777777" w:rsidR="00E70990" w:rsidRDefault="00E70990" w:rsidP="00994832">
            <w:pPr>
              <w:spacing w:line="240" w:lineRule="auto"/>
            </w:pPr>
            <w:r>
              <w:t>January</w:t>
            </w:r>
          </w:p>
        </w:tc>
        <w:tc>
          <w:tcPr>
            <w:tcW w:w="1108" w:type="dxa"/>
            <w:tcBorders>
              <w:top w:val="single" w:sz="4" w:space="0" w:color="auto"/>
            </w:tcBorders>
          </w:tcPr>
          <w:p w14:paraId="13FDB181" w14:textId="5C8D631A" w:rsidR="00E70990" w:rsidRDefault="00E70990" w:rsidP="00994832">
            <w:pPr>
              <w:spacing w:line="240" w:lineRule="auto"/>
            </w:pPr>
            <w:r>
              <w:t>11</w:t>
            </w:r>
          </w:p>
        </w:tc>
        <w:tc>
          <w:tcPr>
            <w:tcW w:w="1350" w:type="dxa"/>
            <w:tcBorders>
              <w:top w:val="single" w:sz="4" w:space="0" w:color="auto"/>
            </w:tcBorders>
          </w:tcPr>
          <w:p w14:paraId="068F6407" w14:textId="5CFB5060" w:rsidR="00E70990" w:rsidRDefault="000E4C82" w:rsidP="00994832">
            <w:pPr>
              <w:spacing w:line="240" w:lineRule="auto"/>
            </w:pPr>
            <w:r>
              <w:t>238.3</w:t>
            </w:r>
          </w:p>
        </w:tc>
        <w:tc>
          <w:tcPr>
            <w:tcW w:w="1170" w:type="dxa"/>
            <w:tcBorders>
              <w:top w:val="single" w:sz="4" w:space="0" w:color="auto"/>
            </w:tcBorders>
          </w:tcPr>
          <w:p w14:paraId="45FD22EE" w14:textId="62C57A66" w:rsidR="00E70990" w:rsidRDefault="000E4C82" w:rsidP="00994832">
            <w:pPr>
              <w:spacing w:line="240" w:lineRule="auto"/>
            </w:pPr>
            <w:r>
              <w:t>237.1</w:t>
            </w:r>
          </w:p>
        </w:tc>
        <w:tc>
          <w:tcPr>
            <w:tcW w:w="1080" w:type="dxa"/>
            <w:tcBorders>
              <w:top w:val="single" w:sz="4" w:space="0" w:color="auto"/>
            </w:tcBorders>
          </w:tcPr>
          <w:p w14:paraId="1B31DBC1" w14:textId="518488B8" w:rsidR="00E70990" w:rsidRDefault="000E4C82" w:rsidP="00994832">
            <w:pPr>
              <w:spacing w:line="240" w:lineRule="auto"/>
            </w:pPr>
            <w:r>
              <w:t>238.4</w:t>
            </w:r>
          </w:p>
        </w:tc>
        <w:tc>
          <w:tcPr>
            <w:tcW w:w="1403" w:type="dxa"/>
            <w:tcBorders>
              <w:top w:val="single" w:sz="4" w:space="0" w:color="auto"/>
            </w:tcBorders>
          </w:tcPr>
          <w:p w14:paraId="5C41B49E" w14:textId="6BAC42E0" w:rsidR="00E70990" w:rsidRDefault="000E4C82" w:rsidP="000E4C82">
            <w:pPr>
              <w:spacing w:line="240" w:lineRule="auto"/>
              <w:jc w:val="center"/>
            </w:pPr>
            <w:r>
              <w:t>236.1</w:t>
            </w:r>
          </w:p>
        </w:tc>
        <w:tc>
          <w:tcPr>
            <w:tcW w:w="1027" w:type="dxa"/>
            <w:tcBorders>
              <w:top w:val="single" w:sz="4" w:space="0" w:color="auto"/>
            </w:tcBorders>
          </w:tcPr>
          <w:p w14:paraId="0F3B163D" w14:textId="7CC40683" w:rsidR="00E70990" w:rsidRDefault="000E4C82" w:rsidP="00994832">
            <w:pPr>
              <w:spacing w:line="240" w:lineRule="auto"/>
            </w:pPr>
            <w:r>
              <w:t>216.0</w:t>
            </w:r>
          </w:p>
        </w:tc>
      </w:tr>
      <w:tr w:rsidR="00E70990" w14:paraId="7C0C3555" w14:textId="68D0D842" w:rsidTr="006108C4">
        <w:trPr>
          <w:jc w:val="center"/>
        </w:trPr>
        <w:tc>
          <w:tcPr>
            <w:tcW w:w="1502" w:type="dxa"/>
            <w:gridSpan w:val="2"/>
          </w:tcPr>
          <w:p w14:paraId="3833E00D" w14:textId="77777777" w:rsidR="00E70990" w:rsidRDefault="00E70990" w:rsidP="00994832">
            <w:pPr>
              <w:spacing w:line="240" w:lineRule="auto"/>
            </w:pPr>
            <w:r>
              <w:rPr>
                <w:lang w:val="en-US"/>
              </w:rPr>
              <w:t>February</w:t>
            </w:r>
          </w:p>
        </w:tc>
        <w:tc>
          <w:tcPr>
            <w:tcW w:w="1108" w:type="dxa"/>
          </w:tcPr>
          <w:p w14:paraId="39271436" w14:textId="03B5CE21" w:rsidR="00E70990" w:rsidRDefault="00E70990" w:rsidP="00994832">
            <w:pPr>
              <w:spacing w:line="240" w:lineRule="auto"/>
            </w:pPr>
            <w:r>
              <w:t>11</w:t>
            </w:r>
          </w:p>
        </w:tc>
        <w:tc>
          <w:tcPr>
            <w:tcW w:w="1350" w:type="dxa"/>
          </w:tcPr>
          <w:p w14:paraId="2B3F2C04" w14:textId="11D7DD14" w:rsidR="00E70990" w:rsidRDefault="00E74CA4" w:rsidP="00994832">
            <w:pPr>
              <w:spacing w:line="240" w:lineRule="auto"/>
            </w:pPr>
            <w:r>
              <w:t>238.6</w:t>
            </w:r>
          </w:p>
        </w:tc>
        <w:tc>
          <w:tcPr>
            <w:tcW w:w="1170" w:type="dxa"/>
          </w:tcPr>
          <w:p w14:paraId="31886B79" w14:textId="1F1703C5" w:rsidR="00E70990" w:rsidRDefault="00E74CA4" w:rsidP="00994832">
            <w:pPr>
              <w:spacing w:line="240" w:lineRule="auto"/>
            </w:pPr>
            <w:r>
              <w:t>237.8</w:t>
            </w:r>
          </w:p>
        </w:tc>
        <w:tc>
          <w:tcPr>
            <w:tcW w:w="1080" w:type="dxa"/>
          </w:tcPr>
          <w:p w14:paraId="598FC883" w14:textId="2B7029E2" w:rsidR="00E70990" w:rsidRDefault="00E74CA4" w:rsidP="00994832">
            <w:pPr>
              <w:spacing w:line="240" w:lineRule="auto"/>
            </w:pPr>
            <w:r>
              <w:t>238.7</w:t>
            </w:r>
          </w:p>
        </w:tc>
        <w:tc>
          <w:tcPr>
            <w:tcW w:w="1403" w:type="dxa"/>
          </w:tcPr>
          <w:p w14:paraId="222FA5B4" w14:textId="6F414A3A" w:rsidR="00E70990" w:rsidRDefault="00E74CA4" w:rsidP="008C43DD">
            <w:pPr>
              <w:spacing w:line="240" w:lineRule="auto"/>
              <w:jc w:val="center"/>
            </w:pPr>
            <w:r>
              <w:t>237.0</w:t>
            </w:r>
          </w:p>
        </w:tc>
        <w:tc>
          <w:tcPr>
            <w:tcW w:w="1027" w:type="dxa"/>
          </w:tcPr>
          <w:p w14:paraId="2F053B5D" w14:textId="1F61D464" w:rsidR="00E70990" w:rsidRDefault="00E74CA4" w:rsidP="00994832">
            <w:pPr>
              <w:spacing w:line="240" w:lineRule="auto"/>
            </w:pPr>
            <w:r>
              <w:t>222.0</w:t>
            </w:r>
          </w:p>
        </w:tc>
      </w:tr>
      <w:tr w:rsidR="00E70990" w14:paraId="283E6A7A" w14:textId="76C31B06" w:rsidTr="006108C4">
        <w:trPr>
          <w:jc w:val="center"/>
        </w:trPr>
        <w:tc>
          <w:tcPr>
            <w:tcW w:w="1502" w:type="dxa"/>
            <w:gridSpan w:val="2"/>
          </w:tcPr>
          <w:p w14:paraId="7B6705B8" w14:textId="77777777" w:rsidR="00E70990" w:rsidRDefault="00E70990" w:rsidP="00994832">
            <w:pPr>
              <w:spacing w:line="240" w:lineRule="auto"/>
            </w:pPr>
            <w:r>
              <w:rPr>
                <w:lang w:val="en-US"/>
              </w:rPr>
              <w:t>March</w:t>
            </w:r>
          </w:p>
        </w:tc>
        <w:tc>
          <w:tcPr>
            <w:tcW w:w="1108" w:type="dxa"/>
          </w:tcPr>
          <w:p w14:paraId="3A53702F" w14:textId="3CA2CA16" w:rsidR="00E70990" w:rsidRDefault="00E70990" w:rsidP="00994832">
            <w:pPr>
              <w:spacing w:line="240" w:lineRule="auto"/>
            </w:pPr>
            <w:r>
              <w:t>11</w:t>
            </w:r>
          </w:p>
        </w:tc>
        <w:tc>
          <w:tcPr>
            <w:tcW w:w="1350" w:type="dxa"/>
          </w:tcPr>
          <w:p w14:paraId="2E039D28" w14:textId="139ADA81" w:rsidR="00E70990" w:rsidRDefault="00E74CA4" w:rsidP="00994832">
            <w:pPr>
              <w:spacing w:line="240" w:lineRule="auto"/>
            </w:pPr>
            <w:r>
              <w:t>239.4</w:t>
            </w:r>
          </w:p>
        </w:tc>
        <w:tc>
          <w:tcPr>
            <w:tcW w:w="1170" w:type="dxa"/>
          </w:tcPr>
          <w:p w14:paraId="5BB0D874" w14:textId="6841F76A" w:rsidR="00E70990" w:rsidRDefault="00E74CA4" w:rsidP="00994832">
            <w:pPr>
              <w:spacing w:line="240" w:lineRule="auto"/>
            </w:pPr>
            <w:r>
              <w:t>237.8</w:t>
            </w:r>
          </w:p>
        </w:tc>
        <w:tc>
          <w:tcPr>
            <w:tcW w:w="1080" w:type="dxa"/>
          </w:tcPr>
          <w:p w14:paraId="2A6CBA93" w14:textId="54B33896" w:rsidR="00E70990" w:rsidRDefault="00E74CA4" w:rsidP="00994832">
            <w:pPr>
              <w:spacing w:line="240" w:lineRule="auto"/>
            </w:pPr>
            <w:r>
              <w:t>238.7</w:t>
            </w:r>
          </w:p>
        </w:tc>
        <w:tc>
          <w:tcPr>
            <w:tcW w:w="1403" w:type="dxa"/>
          </w:tcPr>
          <w:p w14:paraId="7DC32383" w14:textId="3BCB738E" w:rsidR="00E70990" w:rsidRDefault="00E74CA4" w:rsidP="008C43DD">
            <w:pPr>
              <w:spacing w:line="240" w:lineRule="auto"/>
              <w:jc w:val="center"/>
            </w:pPr>
            <w:r>
              <w:t>237.1</w:t>
            </w:r>
          </w:p>
        </w:tc>
        <w:tc>
          <w:tcPr>
            <w:tcW w:w="1027" w:type="dxa"/>
          </w:tcPr>
          <w:p w14:paraId="35F0B6E2" w14:textId="75E694D9" w:rsidR="00E70990" w:rsidRDefault="00E74CA4" w:rsidP="00994832">
            <w:pPr>
              <w:spacing w:line="240" w:lineRule="auto"/>
            </w:pPr>
            <w:r>
              <w:t>222.5</w:t>
            </w:r>
          </w:p>
        </w:tc>
      </w:tr>
      <w:tr w:rsidR="00E70990" w14:paraId="5E48D74D" w14:textId="6EA4BFC2" w:rsidTr="006108C4">
        <w:trPr>
          <w:jc w:val="center"/>
        </w:trPr>
        <w:tc>
          <w:tcPr>
            <w:tcW w:w="1502" w:type="dxa"/>
            <w:gridSpan w:val="2"/>
          </w:tcPr>
          <w:p w14:paraId="7D879253" w14:textId="77777777" w:rsidR="00E70990" w:rsidRDefault="00E70990" w:rsidP="00994832">
            <w:pPr>
              <w:spacing w:line="240" w:lineRule="auto"/>
            </w:pPr>
            <w:r>
              <w:rPr>
                <w:lang w:val="en-US"/>
              </w:rPr>
              <w:t>April</w:t>
            </w:r>
          </w:p>
        </w:tc>
        <w:tc>
          <w:tcPr>
            <w:tcW w:w="1108" w:type="dxa"/>
          </w:tcPr>
          <w:p w14:paraId="55056958" w14:textId="2314C2EE" w:rsidR="00E70990" w:rsidRDefault="00E70990" w:rsidP="00994832">
            <w:pPr>
              <w:spacing w:line="240" w:lineRule="auto"/>
            </w:pPr>
            <w:r>
              <w:t>11</w:t>
            </w:r>
          </w:p>
        </w:tc>
        <w:tc>
          <w:tcPr>
            <w:tcW w:w="1350" w:type="dxa"/>
          </w:tcPr>
          <w:p w14:paraId="4BA74416" w14:textId="00AE1BE3" w:rsidR="00E70990" w:rsidRDefault="00E74CA4" w:rsidP="00994832">
            <w:pPr>
              <w:spacing w:line="240" w:lineRule="auto"/>
            </w:pPr>
            <w:r>
              <w:t>238.7</w:t>
            </w:r>
          </w:p>
        </w:tc>
        <w:tc>
          <w:tcPr>
            <w:tcW w:w="1170" w:type="dxa"/>
          </w:tcPr>
          <w:p w14:paraId="6AEBE824" w14:textId="49D0CB55" w:rsidR="00E70990" w:rsidRDefault="00E74CA4" w:rsidP="00994832">
            <w:pPr>
              <w:spacing w:line="240" w:lineRule="auto"/>
            </w:pPr>
            <w:r>
              <w:t>238.0</w:t>
            </w:r>
          </w:p>
        </w:tc>
        <w:tc>
          <w:tcPr>
            <w:tcW w:w="1080" w:type="dxa"/>
          </w:tcPr>
          <w:p w14:paraId="77359959" w14:textId="353828CD" w:rsidR="00E70990" w:rsidRDefault="00E74CA4" w:rsidP="00994832">
            <w:pPr>
              <w:spacing w:line="240" w:lineRule="auto"/>
            </w:pPr>
            <w:r>
              <w:t>238.8</w:t>
            </w:r>
          </w:p>
        </w:tc>
        <w:tc>
          <w:tcPr>
            <w:tcW w:w="1403" w:type="dxa"/>
          </w:tcPr>
          <w:p w14:paraId="395B1C88" w14:textId="6B0B9B01" w:rsidR="00E70990" w:rsidRDefault="00E74CA4" w:rsidP="008C43DD">
            <w:pPr>
              <w:spacing w:line="240" w:lineRule="auto"/>
              <w:jc w:val="center"/>
            </w:pPr>
            <w:r>
              <w:t>237.3</w:t>
            </w:r>
          </w:p>
        </w:tc>
        <w:tc>
          <w:tcPr>
            <w:tcW w:w="1027" w:type="dxa"/>
          </w:tcPr>
          <w:p w14:paraId="415D7681" w14:textId="75514392" w:rsidR="00E70990" w:rsidRDefault="00E74CA4" w:rsidP="00994832">
            <w:pPr>
              <w:spacing w:line="240" w:lineRule="auto"/>
            </w:pPr>
            <w:r>
              <w:t>224.2</w:t>
            </w:r>
          </w:p>
        </w:tc>
      </w:tr>
      <w:tr w:rsidR="00E70990" w14:paraId="2301F1D4" w14:textId="3998049C" w:rsidTr="006108C4">
        <w:trPr>
          <w:jc w:val="center"/>
        </w:trPr>
        <w:tc>
          <w:tcPr>
            <w:tcW w:w="1502" w:type="dxa"/>
            <w:gridSpan w:val="2"/>
          </w:tcPr>
          <w:p w14:paraId="2B789B70" w14:textId="77777777" w:rsidR="00E70990" w:rsidRDefault="00E70990" w:rsidP="00994832">
            <w:pPr>
              <w:spacing w:line="240" w:lineRule="auto"/>
            </w:pPr>
            <w:r>
              <w:rPr>
                <w:lang w:val="en-US"/>
              </w:rPr>
              <w:t>May</w:t>
            </w:r>
          </w:p>
        </w:tc>
        <w:tc>
          <w:tcPr>
            <w:tcW w:w="1108" w:type="dxa"/>
          </w:tcPr>
          <w:p w14:paraId="4CEFD1D5" w14:textId="14B4DAFB" w:rsidR="00E70990" w:rsidRDefault="00E70990" w:rsidP="00994832">
            <w:pPr>
              <w:spacing w:line="240" w:lineRule="auto"/>
            </w:pPr>
            <w:r>
              <w:t>11</w:t>
            </w:r>
          </w:p>
        </w:tc>
        <w:tc>
          <w:tcPr>
            <w:tcW w:w="1350" w:type="dxa"/>
          </w:tcPr>
          <w:p w14:paraId="2751B06C" w14:textId="1BA05F73" w:rsidR="00E70990" w:rsidRDefault="00E74CA4" w:rsidP="00994832">
            <w:pPr>
              <w:spacing w:line="240" w:lineRule="auto"/>
            </w:pPr>
            <w:r>
              <w:t>238.7</w:t>
            </w:r>
          </w:p>
        </w:tc>
        <w:tc>
          <w:tcPr>
            <w:tcW w:w="1170" w:type="dxa"/>
          </w:tcPr>
          <w:p w14:paraId="03E9E320" w14:textId="66FF0B16" w:rsidR="00E70990" w:rsidRDefault="00E74CA4" w:rsidP="00994832">
            <w:pPr>
              <w:spacing w:line="240" w:lineRule="auto"/>
            </w:pPr>
            <w:r>
              <w:t>238.0</w:t>
            </w:r>
          </w:p>
        </w:tc>
        <w:tc>
          <w:tcPr>
            <w:tcW w:w="1080" w:type="dxa"/>
          </w:tcPr>
          <w:p w14:paraId="3EBAE578" w14:textId="5AC8CAA9" w:rsidR="00E70990" w:rsidRDefault="00E74CA4" w:rsidP="00994832">
            <w:pPr>
              <w:spacing w:line="240" w:lineRule="auto"/>
            </w:pPr>
            <w:r>
              <w:t>238.8</w:t>
            </w:r>
          </w:p>
        </w:tc>
        <w:tc>
          <w:tcPr>
            <w:tcW w:w="1403" w:type="dxa"/>
          </w:tcPr>
          <w:p w14:paraId="1487546A" w14:textId="63A4743F" w:rsidR="00E70990" w:rsidRDefault="00E74CA4" w:rsidP="008C43DD">
            <w:pPr>
              <w:spacing w:line="240" w:lineRule="auto"/>
              <w:jc w:val="center"/>
            </w:pPr>
            <w:r>
              <w:t>237.4</w:t>
            </w:r>
          </w:p>
        </w:tc>
        <w:tc>
          <w:tcPr>
            <w:tcW w:w="1027" w:type="dxa"/>
          </w:tcPr>
          <w:p w14:paraId="17F5B508" w14:textId="4D602C8C" w:rsidR="00E70990" w:rsidRDefault="00E74CA4" w:rsidP="00994832">
            <w:pPr>
              <w:spacing w:line="240" w:lineRule="auto"/>
            </w:pPr>
            <w:r>
              <w:t>224.8</w:t>
            </w:r>
          </w:p>
        </w:tc>
      </w:tr>
      <w:tr w:rsidR="00E70990" w14:paraId="50A06E9C" w14:textId="482EBE03" w:rsidTr="006108C4">
        <w:trPr>
          <w:jc w:val="center"/>
        </w:trPr>
        <w:tc>
          <w:tcPr>
            <w:tcW w:w="1502" w:type="dxa"/>
            <w:gridSpan w:val="2"/>
          </w:tcPr>
          <w:p w14:paraId="1CA72590" w14:textId="77777777" w:rsidR="00E70990" w:rsidRDefault="00E70990" w:rsidP="00994832">
            <w:pPr>
              <w:spacing w:line="240" w:lineRule="auto"/>
            </w:pPr>
            <w:r>
              <w:rPr>
                <w:lang w:val="en-US"/>
              </w:rPr>
              <w:t>June</w:t>
            </w:r>
          </w:p>
        </w:tc>
        <w:tc>
          <w:tcPr>
            <w:tcW w:w="1108" w:type="dxa"/>
          </w:tcPr>
          <w:p w14:paraId="5358CD18" w14:textId="36313016" w:rsidR="00E70990" w:rsidRDefault="00E70990" w:rsidP="00994832">
            <w:pPr>
              <w:spacing w:line="240" w:lineRule="auto"/>
            </w:pPr>
            <w:r>
              <w:t>11</w:t>
            </w:r>
          </w:p>
        </w:tc>
        <w:tc>
          <w:tcPr>
            <w:tcW w:w="1350" w:type="dxa"/>
          </w:tcPr>
          <w:p w14:paraId="10C0EC03" w14:textId="5DB4A812" w:rsidR="00E70990" w:rsidRDefault="00C13F8F" w:rsidP="00994832">
            <w:pPr>
              <w:spacing w:line="240" w:lineRule="auto"/>
            </w:pPr>
            <w:r>
              <w:t>238.8</w:t>
            </w:r>
          </w:p>
        </w:tc>
        <w:tc>
          <w:tcPr>
            <w:tcW w:w="1170" w:type="dxa"/>
          </w:tcPr>
          <w:p w14:paraId="542ADDD8" w14:textId="5D06EE24" w:rsidR="00E70990" w:rsidRDefault="00C13F8F" w:rsidP="00994832">
            <w:pPr>
              <w:spacing w:line="240" w:lineRule="auto"/>
            </w:pPr>
            <w:r>
              <w:t>238.2</w:t>
            </w:r>
          </w:p>
        </w:tc>
        <w:tc>
          <w:tcPr>
            <w:tcW w:w="1080" w:type="dxa"/>
          </w:tcPr>
          <w:p w14:paraId="0B8D8E80" w14:textId="08D8F9AC" w:rsidR="00E70990" w:rsidRDefault="00C13F8F" w:rsidP="00994832">
            <w:pPr>
              <w:spacing w:line="240" w:lineRule="auto"/>
            </w:pPr>
            <w:r>
              <w:t>238.9</w:t>
            </w:r>
          </w:p>
        </w:tc>
        <w:tc>
          <w:tcPr>
            <w:tcW w:w="1403" w:type="dxa"/>
          </w:tcPr>
          <w:p w14:paraId="69E5BCF4" w14:textId="1CCC5038" w:rsidR="00E70990" w:rsidRDefault="00C13F8F" w:rsidP="008C43DD">
            <w:pPr>
              <w:spacing w:line="240" w:lineRule="auto"/>
              <w:jc w:val="center"/>
            </w:pPr>
            <w:r>
              <w:t>237.5</w:t>
            </w:r>
          </w:p>
        </w:tc>
        <w:tc>
          <w:tcPr>
            <w:tcW w:w="1027" w:type="dxa"/>
          </w:tcPr>
          <w:p w14:paraId="443C4538" w14:textId="1DF354CC" w:rsidR="00E70990" w:rsidRDefault="00C13F8F" w:rsidP="00994832">
            <w:pPr>
              <w:spacing w:line="240" w:lineRule="auto"/>
            </w:pPr>
            <w:r>
              <w:t>225.9</w:t>
            </w:r>
          </w:p>
        </w:tc>
      </w:tr>
      <w:tr w:rsidR="00E70990" w14:paraId="60BA0C5A" w14:textId="57383DCC" w:rsidTr="006108C4">
        <w:trPr>
          <w:jc w:val="center"/>
        </w:trPr>
        <w:tc>
          <w:tcPr>
            <w:tcW w:w="1502" w:type="dxa"/>
            <w:gridSpan w:val="2"/>
          </w:tcPr>
          <w:p w14:paraId="35C033A9" w14:textId="77777777" w:rsidR="00E70990" w:rsidRDefault="00E70990" w:rsidP="00994832">
            <w:pPr>
              <w:spacing w:line="240" w:lineRule="auto"/>
            </w:pPr>
            <w:r>
              <w:rPr>
                <w:lang w:val="en-US"/>
              </w:rPr>
              <w:t>July</w:t>
            </w:r>
          </w:p>
        </w:tc>
        <w:tc>
          <w:tcPr>
            <w:tcW w:w="1108" w:type="dxa"/>
          </w:tcPr>
          <w:p w14:paraId="298A9DD5" w14:textId="0C85CEB0" w:rsidR="00E70990" w:rsidRDefault="00E70990" w:rsidP="00994832">
            <w:pPr>
              <w:spacing w:line="240" w:lineRule="auto"/>
            </w:pPr>
            <w:r>
              <w:t>11</w:t>
            </w:r>
          </w:p>
        </w:tc>
        <w:tc>
          <w:tcPr>
            <w:tcW w:w="1350" w:type="dxa"/>
          </w:tcPr>
          <w:p w14:paraId="45D5BA23" w14:textId="15AAF1FB" w:rsidR="00E70990" w:rsidRDefault="00C13F8F" w:rsidP="00994832">
            <w:pPr>
              <w:spacing w:line="240" w:lineRule="auto"/>
            </w:pPr>
            <w:r>
              <w:t>238.7</w:t>
            </w:r>
          </w:p>
        </w:tc>
        <w:tc>
          <w:tcPr>
            <w:tcW w:w="1170" w:type="dxa"/>
          </w:tcPr>
          <w:p w14:paraId="3352AEAD" w14:textId="4DE6664D" w:rsidR="00E70990" w:rsidRDefault="00C13F8F" w:rsidP="00994832">
            <w:pPr>
              <w:spacing w:line="240" w:lineRule="auto"/>
            </w:pPr>
            <w:r>
              <w:t>238.0</w:t>
            </w:r>
          </w:p>
        </w:tc>
        <w:tc>
          <w:tcPr>
            <w:tcW w:w="1080" w:type="dxa"/>
          </w:tcPr>
          <w:p w14:paraId="0603F426" w14:textId="6416E8BE" w:rsidR="00E70990" w:rsidRDefault="00C13F8F" w:rsidP="00994832">
            <w:pPr>
              <w:spacing w:line="240" w:lineRule="auto"/>
            </w:pPr>
            <w:r>
              <w:t>238.8</w:t>
            </w:r>
          </w:p>
        </w:tc>
        <w:tc>
          <w:tcPr>
            <w:tcW w:w="1403" w:type="dxa"/>
          </w:tcPr>
          <w:p w14:paraId="593A447D" w14:textId="56935977" w:rsidR="00E70990" w:rsidRDefault="00C13F8F" w:rsidP="008C43DD">
            <w:pPr>
              <w:spacing w:line="240" w:lineRule="auto"/>
              <w:jc w:val="center"/>
            </w:pPr>
            <w:r>
              <w:t>237.3</w:t>
            </w:r>
          </w:p>
        </w:tc>
        <w:tc>
          <w:tcPr>
            <w:tcW w:w="1027" w:type="dxa"/>
          </w:tcPr>
          <w:p w14:paraId="23A7ADC0" w14:textId="66AFF541" w:rsidR="00E70990" w:rsidRDefault="00C13F8F" w:rsidP="00994832">
            <w:pPr>
              <w:spacing w:line="240" w:lineRule="auto"/>
            </w:pPr>
            <w:r>
              <w:t>224.2</w:t>
            </w:r>
          </w:p>
        </w:tc>
      </w:tr>
      <w:tr w:rsidR="00E70990" w14:paraId="2E43369C" w14:textId="72C17524" w:rsidTr="006108C4">
        <w:trPr>
          <w:jc w:val="center"/>
        </w:trPr>
        <w:tc>
          <w:tcPr>
            <w:tcW w:w="1502" w:type="dxa"/>
            <w:gridSpan w:val="2"/>
          </w:tcPr>
          <w:p w14:paraId="5C78BB86" w14:textId="77777777" w:rsidR="00E70990" w:rsidRDefault="00E70990" w:rsidP="00994832">
            <w:pPr>
              <w:spacing w:line="240" w:lineRule="auto"/>
            </w:pPr>
            <w:r>
              <w:rPr>
                <w:lang w:val="en-US"/>
              </w:rPr>
              <w:t>August</w:t>
            </w:r>
          </w:p>
        </w:tc>
        <w:tc>
          <w:tcPr>
            <w:tcW w:w="1108" w:type="dxa"/>
          </w:tcPr>
          <w:p w14:paraId="1EBEF3ED" w14:textId="41083EF2" w:rsidR="00E70990" w:rsidRDefault="00E70990" w:rsidP="00994832">
            <w:pPr>
              <w:spacing w:line="240" w:lineRule="auto"/>
            </w:pPr>
            <w:r>
              <w:t>11</w:t>
            </w:r>
          </w:p>
        </w:tc>
        <w:tc>
          <w:tcPr>
            <w:tcW w:w="1350" w:type="dxa"/>
          </w:tcPr>
          <w:p w14:paraId="1EA08252" w14:textId="255DA310" w:rsidR="00E70990" w:rsidRDefault="00C13F8F" w:rsidP="00994832">
            <w:pPr>
              <w:spacing w:line="240" w:lineRule="auto"/>
            </w:pPr>
            <w:r>
              <w:t>238.6</w:t>
            </w:r>
          </w:p>
        </w:tc>
        <w:tc>
          <w:tcPr>
            <w:tcW w:w="1170" w:type="dxa"/>
          </w:tcPr>
          <w:p w14:paraId="0EB4589C" w14:textId="39D9FD84" w:rsidR="00E70990" w:rsidRDefault="00C13F8F" w:rsidP="00994832">
            <w:pPr>
              <w:spacing w:line="240" w:lineRule="auto"/>
            </w:pPr>
            <w:r>
              <w:t>237.8</w:t>
            </w:r>
          </w:p>
        </w:tc>
        <w:tc>
          <w:tcPr>
            <w:tcW w:w="1080" w:type="dxa"/>
          </w:tcPr>
          <w:p w14:paraId="37B823D3" w14:textId="5A60A1BC" w:rsidR="00E70990" w:rsidRDefault="00C13F8F" w:rsidP="00994832">
            <w:pPr>
              <w:spacing w:line="240" w:lineRule="auto"/>
            </w:pPr>
            <w:r>
              <w:t>238.7</w:t>
            </w:r>
          </w:p>
        </w:tc>
        <w:tc>
          <w:tcPr>
            <w:tcW w:w="1403" w:type="dxa"/>
          </w:tcPr>
          <w:p w14:paraId="77868C8D" w14:textId="3D72696B" w:rsidR="00E70990" w:rsidRDefault="00C13F8F" w:rsidP="008C43DD">
            <w:pPr>
              <w:spacing w:line="240" w:lineRule="auto"/>
              <w:jc w:val="center"/>
            </w:pPr>
            <w:r>
              <w:t>237.0</w:t>
            </w:r>
          </w:p>
        </w:tc>
        <w:tc>
          <w:tcPr>
            <w:tcW w:w="1027" w:type="dxa"/>
          </w:tcPr>
          <w:p w14:paraId="02B7D07B" w14:textId="72F39F0D" w:rsidR="00E70990" w:rsidRDefault="00C13F8F" w:rsidP="00994832">
            <w:pPr>
              <w:spacing w:line="240" w:lineRule="auto"/>
            </w:pPr>
            <w:r>
              <w:t>222.1</w:t>
            </w:r>
          </w:p>
        </w:tc>
      </w:tr>
      <w:tr w:rsidR="00E70990" w14:paraId="082265B1" w14:textId="60C5AF76" w:rsidTr="006108C4">
        <w:trPr>
          <w:jc w:val="center"/>
        </w:trPr>
        <w:tc>
          <w:tcPr>
            <w:tcW w:w="1502" w:type="dxa"/>
            <w:gridSpan w:val="2"/>
          </w:tcPr>
          <w:p w14:paraId="6392DA28" w14:textId="77777777" w:rsidR="00E70990" w:rsidRDefault="00E70990" w:rsidP="00994832">
            <w:pPr>
              <w:spacing w:line="240" w:lineRule="auto"/>
            </w:pPr>
            <w:r>
              <w:rPr>
                <w:lang w:val="en-US"/>
              </w:rPr>
              <w:t>September</w:t>
            </w:r>
          </w:p>
        </w:tc>
        <w:tc>
          <w:tcPr>
            <w:tcW w:w="1108" w:type="dxa"/>
          </w:tcPr>
          <w:p w14:paraId="13C8286B" w14:textId="45744192" w:rsidR="00E70990" w:rsidRDefault="00E70990" w:rsidP="00994832">
            <w:pPr>
              <w:spacing w:line="240" w:lineRule="auto"/>
            </w:pPr>
            <w:r>
              <w:t>11</w:t>
            </w:r>
          </w:p>
        </w:tc>
        <w:tc>
          <w:tcPr>
            <w:tcW w:w="1350" w:type="dxa"/>
          </w:tcPr>
          <w:p w14:paraId="00C35C54" w14:textId="2D7CA108" w:rsidR="00E70990" w:rsidRDefault="00C13F8F" w:rsidP="00994832">
            <w:pPr>
              <w:spacing w:line="240" w:lineRule="auto"/>
            </w:pPr>
            <w:r>
              <w:t>238.7</w:t>
            </w:r>
          </w:p>
        </w:tc>
        <w:tc>
          <w:tcPr>
            <w:tcW w:w="1170" w:type="dxa"/>
          </w:tcPr>
          <w:p w14:paraId="61B9B29E" w14:textId="2DC608E1" w:rsidR="00E70990" w:rsidRDefault="00C13F8F" w:rsidP="00994832">
            <w:pPr>
              <w:spacing w:line="240" w:lineRule="auto"/>
            </w:pPr>
            <w:r>
              <w:t>237.9</w:t>
            </w:r>
          </w:p>
        </w:tc>
        <w:tc>
          <w:tcPr>
            <w:tcW w:w="1080" w:type="dxa"/>
          </w:tcPr>
          <w:p w14:paraId="2C0648C5" w14:textId="53C07E9C" w:rsidR="00E70990" w:rsidRDefault="00C13F8F" w:rsidP="00994832">
            <w:pPr>
              <w:spacing w:line="240" w:lineRule="auto"/>
            </w:pPr>
            <w:r>
              <w:t>238.8</w:t>
            </w:r>
          </w:p>
        </w:tc>
        <w:tc>
          <w:tcPr>
            <w:tcW w:w="1403" w:type="dxa"/>
          </w:tcPr>
          <w:p w14:paraId="2AFB7E3E" w14:textId="10A25393" w:rsidR="00E70990" w:rsidRDefault="00C13F8F" w:rsidP="008C43DD">
            <w:pPr>
              <w:spacing w:line="240" w:lineRule="auto"/>
              <w:jc w:val="center"/>
            </w:pPr>
            <w:r>
              <w:t>237.3</w:t>
            </w:r>
          </w:p>
        </w:tc>
        <w:tc>
          <w:tcPr>
            <w:tcW w:w="1027" w:type="dxa"/>
          </w:tcPr>
          <w:p w14:paraId="1AE9253A" w14:textId="154402E2" w:rsidR="00E70990" w:rsidRDefault="00C13F8F" w:rsidP="00994832">
            <w:pPr>
              <w:spacing w:line="240" w:lineRule="auto"/>
            </w:pPr>
            <w:r>
              <w:t>223.6</w:t>
            </w:r>
          </w:p>
        </w:tc>
      </w:tr>
      <w:tr w:rsidR="00E70990" w14:paraId="4051CFAE" w14:textId="7D45E700" w:rsidTr="006108C4">
        <w:trPr>
          <w:jc w:val="center"/>
        </w:trPr>
        <w:tc>
          <w:tcPr>
            <w:tcW w:w="1502" w:type="dxa"/>
            <w:gridSpan w:val="2"/>
          </w:tcPr>
          <w:p w14:paraId="2AA3ECA7" w14:textId="77777777" w:rsidR="00E70990" w:rsidRDefault="00E70990" w:rsidP="00994832">
            <w:pPr>
              <w:spacing w:line="240" w:lineRule="auto"/>
            </w:pPr>
            <w:r>
              <w:rPr>
                <w:lang w:val="en-US"/>
              </w:rPr>
              <w:t>October</w:t>
            </w:r>
          </w:p>
        </w:tc>
        <w:tc>
          <w:tcPr>
            <w:tcW w:w="1108" w:type="dxa"/>
          </w:tcPr>
          <w:p w14:paraId="6DBA82BB" w14:textId="7F308531" w:rsidR="00E70990" w:rsidRDefault="00E70990" w:rsidP="00994832">
            <w:pPr>
              <w:spacing w:line="240" w:lineRule="auto"/>
            </w:pPr>
            <w:r>
              <w:t>11</w:t>
            </w:r>
          </w:p>
        </w:tc>
        <w:tc>
          <w:tcPr>
            <w:tcW w:w="1350" w:type="dxa"/>
          </w:tcPr>
          <w:p w14:paraId="27362563" w14:textId="7860860D" w:rsidR="00E70990" w:rsidRDefault="00C13F8F" w:rsidP="00994832">
            <w:pPr>
              <w:spacing w:line="240" w:lineRule="auto"/>
            </w:pPr>
            <w:r>
              <w:t>238.8</w:t>
            </w:r>
          </w:p>
        </w:tc>
        <w:tc>
          <w:tcPr>
            <w:tcW w:w="1170" w:type="dxa"/>
          </w:tcPr>
          <w:p w14:paraId="63451EB4" w14:textId="47D59C60" w:rsidR="00E70990" w:rsidRDefault="00C13F8F" w:rsidP="00994832">
            <w:pPr>
              <w:spacing w:line="240" w:lineRule="auto"/>
            </w:pPr>
            <w:r>
              <w:t>238.2</w:t>
            </w:r>
          </w:p>
        </w:tc>
        <w:tc>
          <w:tcPr>
            <w:tcW w:w="1080" w:type="dxa"/>
          </w:tcPr>
          <w:p w14:paraId="6DB7D420" w14:textId="4D5D05DA" w:rsidR="00E70990" w:rsidRDefault="00C13F8F" w:rsidP="00994832">
            <w:pPr>
              <w:spacing w:line="240" w:lineRule="auto"/>
            </w:pPr>
            <w:r>
              <w:t>238.9</w:t>
            </w:r>
          </w:p>
        </w:tc>
        <w:tc>
          <w:tcPr>
            <w:tcW w:w="1403" w:type="dxa"/>
          </w:tcPr>
          <w:p w14:paraId="23FD7CE1" w14:textId="54730AB8" w:rsidR="00E70990" w:rsidRDefault="00C13F8F" w:rsidP="008C43DD">
            <w:pPr>
              <w:spacing w:line="240" w:lineRule="auto"/>
              <w:jc w:val="center"/>
            </w:pPr>
            <w:r>
              <w:t>237.5</w:t>
            </w:r>
          </w:p>
        </w:tc>
        <w:tc>
          <w:tcPr>
            <w:tcW w:w="1027" w:type="dxa"/>
          </w:tcPr>
          <w:p w14:paraId="7DBBEF65" w14:textId="41A43723" w:rsidR="00E70990" w:rsidRDefault="00C13F8F" w:rsidP="00994832">
            <w:pPr>
              <w:spacing w:line="240" w:lineRule="auto"/>
            </w:pPr>
            <w:r>
              <w:t>226.0</w:t>
            </w:r>
          </w:p>
        </w:tc>
      </w:tr>
      <w:tr w:rsidR="00E70990" w14:paraId="280D568C" w14:textId="2DDBF466" w:rsidTr="006108C4">
        <w:trPr>
          <w:jc w:val="center"/>
        </w:trPr>
        <w:tc>
          <w:tcPr>
            <w:tcW w:w="1502" w:type="dxa"/>
            <w:gridSpan w:val="2"/>
          </w:tcPr>
          <w:p w14:paraId="1D990A06" w14:textId="77777777" w:rsidR="00E70990" w:rsidRDefault="00E70990" w:rsidP="00994832">
            <w:pPr>
              <w:spacing w:line="240" w:lineRule="auto"/>
            </w:pPr>
            <w:r>
              <w:rPr>
                <w:lang w:val="en-US"/>
              </w:rPr>
              <w:t>November</w:t>
            </w:r>
          </w:p>
        </w:tc>
        <w:tc>
          <w:tcPr>
            <w:tcW w:w="1108" w:type="dxa"/>
          </w:tcPr>
          <w:p w14:paraId="13224A6B" w14:textId="7F2D3BF8" w:rsidR="00E70990" w:rsidRDefault="00E70990" w:rsidP="00994832">
            <w:pPr>
              <w:spacing w:line="240" w:lineRule="auto"/>
            </w:pPr>
            <w:r>
              <w:t>11</w:t>
            </w:r>
          </w:p>
        </w:tc>
        <w:tc>
          <w:tcPr>
            <w:tcW w:w="1350" w:type="dxa"/>
          </w:tcPr>
          <w:p w14:paraId="258DB43A" w14:textId="54045C17" w:rsidR="00E70990" w:rsidRDefault="00C13F8F" w:rsidP="00994832">
            <w:pPr>
              <w:spacing w:line="240" w:lineRule="auto"/>
            </w:pPr>
            <w:r>
              <w:t>238.7</w:t>
            </w:r>
          </w:p>
        </w:tc>
        <w:tc>
          <w:tcPr>
            <w:tcW w:w="1170" w:type="dxa"/>
          </w:tcPr>
          <w:p w14:paraId="4847E83E" w14:textId="4B7312AA" w:rsidR="00E70990" w:rsidRDefault="00C13F8F" w:rsidP="00994832">
            <w:pPr>
              <w:spacing w:line="240" w:lineRule="auto"/>
            </w:pPr>
            <w:r>
              <w:t>237.7</w:t>
            </w:r>
          </w:p>
        </w:tc>
        <w:tc>
          <w:tcPr>
            <w:tcW w:w="1080" w:type="dxa"/>
          </w:tcPr>
          <w:p w14:paraId="09A55DD4" w14:textId="78F79F23" w:rsidR="00E70990" w:rsidRDefault="00C13F8F" w:rsidP="00994832">
            <w:pPr>
              <w:spacing w:line="240" w:lineRule="auto"/>
            </w:pPr>
            <w:r>
              <w:t>238.8</w:t>
            </w:r>
          </w:p>
        </w:tc>
        <w:tc>
          <w:tcPr>
            <w:tcW w:w="1403" w:type="dxa"/>
          </w:tcPr>
          <w:p w14:paraId="4D545D63" w14:textId="6D4CE3AD" w:rsidR="00E70990" w:rsidRDefault="00C13F8F" w:rsidP="008C43DD">
            <w:pPr>
              <w:spacing w:line="240" w:lineRule="auto"/>
              <w:jc w:val="center"/>
            </w:pPr>
            <w:r>
              <w:t>237.0</w:t>
            </w:r>
          </w:p>
        </w:tc>
        <w:tc>
          <w:tcPr>
            <w:tcW w:w="1027" w:type="dxa"/>
          </w:tcPr>
          <w:p w14:paraId="6A3BA686" w14:textId="64F131C6" w:rsidR="00E70990" w:rsidRDefault="00C13F8F" w:rsidP="00994832">
            <w:pPr>
              <w:spacing w:line="240" w:lineRule="auto"/>
            </w:pPr>
            <w:r>
              <w:t>221.8</w:t>
            </w:r>
          </w:p>
        </w:tc>
      </w:tr>
      <w:tr w:rsidR="00E70990" w14:paraId="50DB02B7" w14:textId="0D7048BC" w:rsidTr="006108C4">
        <w:trPr>
          <w:jc w:val="center"/>
        </w:trPr>
        <w:tc>
          <w:tcPr>
            <w:tcW w:w="1502" w:type="dxa"/>
            <w:gridSpan w:val="2"/>
          </w:tcPr>
          <w:p w14:paraId="22BE0C1B" w14:textId="77777777" w:rsidR="00E70990" w:rsidRDefault="00E70990" w:rsidP="00994832">
            <w:pPr>
              <w:spacing w:line="240" w:lineRule="auto"/>
            </w:pPr>
            <w:r>
              <w:rPr>
                <w:lang w:val="en-US"/>
              </w:rPr>
              <w:t>December</w:t>
            </w:r>
          </w:p>
        </w:tc>
        <w:tc>
          <w:tcPr>
            <w:tcW w:w="1108" w:type="dxa"/>
          </w:tcPr>
          <w:p w14:paraId="6FE33A14" w14:textId="054F936D" w:rsidR="00E70990" w:rsidRDefault="00E70990" w:rsidP="00994832">
            <w:pPr>
              <w:spacing w:line="240" w:lineRule="auto"/>
            </w:pPr>
            <w:r>
              <w:t>11</w:t>
            </w:r>
          </w:p>
        </w:tc>
        <w:tc>
          <w:tcPr>
            <w:tcW w:w="1350" w:type="dxa"/>
          </w:tcPr>
          <w:p w14:paraId="7B37FC09" w14:textId="49713B68" w:rsidR="00E70990" w:rsidRDefault="00C13F8F" w:rsidP="00994832">
            <w:pPr>
              <w:spacing w:line="240" w:lineRule="auto"/>
            </w:pPr>
            <w:r>
              <w:t>238.7</w:t>
            </w:r>
          </w:p>
        </w:tc>
        <w:tc>
          <w:tcPr>
            <w:tcW w:w="1170" w:type="dxa"/>
          </w:tcPr>
          <w:p w14:paraId="2DCCDF54" w14:textId="55670553" w:rsidR="00E70990" w:rsidRDefault="00C13F8F" w:rsidP="00994832">
            <w:pPr>
              <w:spacing w:line="240" w:lineRule="auto"/>
            </w:pPr>
            <w:r>
              <w:t>238.0</w:t>
            </w:r>
          </w:p>
        </w:tc>
        <w:tc>
          <w:tcPr>
            <w:tcW w:w="1080" w:type="dxa"/>
          </w:tcPr>
          <w:p w14:paraId="27A06F4F" w14:textId="78BF48A1" w:rsidR="00E70990" w:rsidRDefault="00C13F8F" w:rsidP="00994832">
            <w:pPr>
              <w:spacing w:line="240" w:lineRule="auto"/>
            </w:pPr>
            <w:r>
              <w:t>237.2</w:t>
            </w:r>
          </w:p>
        </w:tc>
        <w:tc>
          <w:tcPr>
            <w:tcW w:w="1403" w:type="dxa"/>
          </w:tcPr>
          <w:p w14:paraId="75592EA4" w14:textId="20A257A0" w:rsidR="00E70990" w:rsidRDefault="00C13F8F" w:rsidP="008C43DD">
            <w:pPr>
              <w:spacing w:line="240" w:lineRule="auto"/>
              <w:jc w:val="center"/>
            </w:pPr>
            <w:r>
              <w:t>237.2</w:t>
            </w:r>
          </w:p>
        </w:tc>
        <w:tc>
          <w:tcPr>
            <w:tcW w:w="1027" w:type="dxa"/>
          </w:tcPr>
          <w:p w14:paraId="27A316E9" w14:textId="67B74D16" w:rsidR="00E70990" w:rsidRDefault="00C13F8F" w:rsidP="00994832">
            <w:pPr>
              <w:spacing w:line="240" w:lineRule="auto"/>
            </w:pPr>
            <w:r>
              <w:t>224.5</w:t>
            </w:r>
          </w:p>
        </w:tc>
      </w:tr>
    </w:tbl>
    <w:p w14:paraId="28DAABB9" w14:textId="65ACC653" w:rsidR="00D54EC7" w:rsidRDefault="00D54EC7" w:rsidP="00E70990">
      <w:pPr>
        <w:rPr>
          <w:lang w:val="en-US"/>
        </w:rPr>
      </w:pPr>
    </w:p>
    <w:p w14:paraId="68445ED7" w14:textId="2E05F811" w:rsidR="008C43DD" w:rsidRDefault="002B50AC" w:rsidP="00E85D75">
      <w:pPr>
        <w:pStyle w:val="Heading3"/>
        <w:numPr>
          <w:ilvl w:val="2"/>
          <w:numId w:val="11"/>
        </w:numPr>
        <w:rPr>
          <w:rFonts w:eastAsiaTheme="minorHAnsi"/>
        </w:rPr>
      </w:pPr>
      <w:bookmarkStart w:id="88" w:name="_Toc110502626"/>
      <w:r>
        <w:rPr>
          <w:rFonts w:eastAsiaTheme="minorHAnsi"/>
        </w:rPr>
        <w:t>Transformer Loading on the Microgrid</w:t>
      </w:r>
      <w:bookmarkEnd w:id="88"/>
    </w:p>
    <w:p w14:paraId="17914BB5" w14:textId="5FA59F6B" w:rsidR="002B50AC" w:rsidRDefault="002B50AC" w:rsidP="002B50AC">
      <w:pPr>
        <w:spacing w:line="480" w:lineRule="auto"/>
        <w:rPr>
          <w:lang w:val="en-US"/>
        </w:rPr>
      </w:pPr>
      <w:r>
        <w:rPr>
          <w:lang w:val="en-US"/>
        </w:rPr>
        <w:t>Table 4.</w:t>
      </w:r>
      <w:r w:rsidR="006B6BDE">
        <w:rPr>
          <w:lang w:val="en-US"/>
        </w:rPr>
        <w:t>13</w:t>
      </w:r>
      <w:r>
        <w:rPr>
          <w:lang w:val="en-US"/>
        </w:rPr>
        <w:t xml:space="preserve"> shows the average loading percentages for the transformers on the microgrid. As the transformers were sized with the load distribution in mind</w:t>
      </w:r>
      <w:r w:rsidR="0069417F">
        <w:rPr>
          <w:lang w:val="en-US"/>
        </w:rPr>
        <w:t xml:space="preserve"> (each being 1MVA)</w:t>
      </w:r>
      <w:r>
        <w:rPr>
          <w:lang w:val="en-US"/>
        </w:rPr>
        <w:t xml:space="preserve">, it is not surprising that the transformers, on average, are used at healthy loading levels. However, due to </w:t>
      </w:r>
      <w:r w:rsidR="008B3D06">
        <w:rPr>
          <w:lang w:val="en-US"/>
        </w:rPr>
        <w:t xml:space="preserve">the </w:t>
      </w:r>
      <w:r>
        <w:rPr>
          <w:lang w:val="en-US"/>
        </w:rPr>
        <w:t>stochasticity of the load, the transformers would sometimes have higher loadings than that reflected in the aforementioned table, however, the table information is representative of the long-term loading of the transformer.</w:t>
      </w:r>
      <w:r w:rsidR="00C61F46">
        <w:rPr>
          <w:lang w:val="en-US"/>
        </w:rPr>
        <w:t xml:space="preserve"> Also, the loadings of the transformers justif</w:t>
      </w:r>
      <w:r w:rsidR="008B3D06">
        <w:rPr>
          <w:lang w:val="en-US"/>
        </w:rPr>
        <w:t>y</w:t>
      </w:r>
      <w:r w:rsidR="00C61F46">
        <w:rPr>
          <w:lang w:val="en-US"/>
        </w:rPr>
        <w:t xml:space="preserve"> the use of multiple distribution lines even while it may appear that the distribution lines are being underutilized at first</w:t>
      </w:r>
      <w:r w:rsidR="00640DA7">
        <w:rPr>
          <w:lang w:val="en-US"/>
        </w:rPr>
        <w:t>, which is due to the improved non-radial structure of the microgrid</w:t>
      </w:r>
      <w:r w:rsidR="00C61F46">
        <w:rPr>
          <w:lang w:val="en-US"/>
        </w:rPr>
        <w:t>.</w:t>
      </w:r>
    </w:p>
    <w:p w14:paraId="16BDBBFB" w14:textId="080AA25E" w:rsidR="002B50AC" w:rsidRDefault="00852F30" w:rsidP="002B50AC">
      <w:pPr>
        <w:spacing w:line="240" w:lineRule="auto"/>
        <w:jc w:val="center"/>
      </w:pPr>
      <w:r>
        <w:rPr>
          <w:b/>
          <w:lang w:val="en-US"/>
        </w:rPr>
        <w:t>Table 4.13</w:t>
      </w:r>
      <w:r w:rsidR="002B50AC">
        <w:rPr>
          <w:b/>
          <w:lang w:val="en-US"/>
        </w:rPr>
        <w:t xml:space="preserve"> – Average loading (in %) of Transformers in the microgrid for each month of the year</w:t>
      </w:r>
      <w:r w:rsidR="000C1DA4">
        <w:rPr>
          <w:b/>
          <w:lang w:val="en-US"/>
        </w:rPr>
        <w:t xml:space="preserve"> for </w:t>
      </w:r>
      <w:r w:rsidR="008B3D06">
        <w:rPr>
          <w:b/>
          <w:lang w:val="en-US"/>
        </w:rPr>
        <w:t xml:space="preserve">the </w:t>
      </w:r>
      <w:r w:rsidR="000C1DA4">
        <w:rPr>
          <w:b/>
          <w:lang w:val="en-US"/>
        </w:rPr>
        <w:t>first Scenario</w:t>
      </w:r>
      <w:r w:rsidR="002B50AC">
        <w:rPr>
          <w:b/>
          <w:lang w:val="en-US"/>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1726"/>
      </w:tblGrid>
      <w:tr w:rsidR="002B50AC" w14:paraId="58B2B4C7" w14:textId="77777777" w:rsidTr="00905568">
        <w:tc>
          <w:tcPr>
            <w:tcW w:w="1726" w:type="dxa"/>
            <w:tcBorders>
              <w:top w:val="single" w:sz="4" w:space="0" w:color="auto"/>
              <w:bottom w:val="single" w:sz="4" w:space="0" w:color="auto"/>
            </w:tcBorders>
          </w:tcPr>
          <w:p w14:paraId="07E14103" w14:textId="77777777" w:rsidR="002B50AC" w:rsidRPr="00061CF2" w:rsidRDefault="002B50AC" w:rsidP="00905568">
            <w:pPr>
              <w:spacing w:line="240" w:lineRule="auto"/>
              <w:jc w:val="center"/>
            </w:pPr>
            <w:r>
              <w:t>Month</w:t>
            </w:r>
          </w:p>
        </w:tc>
        <w:tc>
          <w:tcPr>
            <w:tcW w:w="1726" w:type="dxa"/>
            <w:tcBorders>
              <w:top w:val="single" w:sz="4" w:space="0" w:color="auto"/>
              <w:bottom w:val="single" w:sz="4" w:space="0" w:color="auto"/>
            </w:tcBorders>
          </w:tcPr>
          <w:p w14:paraId="6787C5BD" w14:textId="795513D7" w:rsidR="002B50AC" w:rsidRDefault="002B50AC" w:rsidP="00905568">
            <w:pPr>
              <w:spacing w:line="240" w:lineRule="auto"/>
              <w:jc w:val="center"/>
            </w:pPr>
            <w:r>
              <w:t>Transformer 1</w:t>
            </w:r>
          </w:p>
        </w:tc>
        <w:tc>
          <w:tcPr>
            <w:tcW w:w="1726" w:type="dxa"/>
            <w:tcBorders>
              <w:top w:val="single" w:sz="4" w:space="0" w:color="auto"/>
              <w:bottom w:val="single" w:sz="4" w:space="0" w:color="auto"/>
            </w:tcBorders>
          </w:tcPr>
          <w:p w14:paraId="5EB9BF98" w14:textId="2985C74E" w:rsidR="002B50AC" w:rsidRDefault="002B50AC" w:rsidP="00905568">
            <w:pPr>
              <w:spacing w:line="240" w:lineRule="auto"/>
              <w:jc w:val="center"/>
            </w:pPr>
            <w:r>
              <w:t>Transformer 2</w:t>
            </w:r>
          </w:p>
        </w:tc>
        <w:tc>
          <w:tcPr>
            <w:tcW w:w="1726" w:type="dxa"/>
            <w:tcBorders>
              <w:top w:val="single" w:sz="4" w:space="0" w:color="auto"/>
              <w:bottom w:val="single" w:sz="4" w:space="0" w:color="auto"/>
            </w:tcBorders>
          </w:tcPr>
          <w:p w14:paraId="16F8258E" w14:textId="57309A1A" w:rsidR="002B50AC" w:rsidRDefault="002B50AC" w:rsidP="00905568">
            <w:pPr>
              <w:spacing w:line="240" w:lineRule="auto"/>
              <w:jc w:val="center"/>
            </w:pPr>
            <w:r>
              <w:t>Transformer 3</w:t>
            </w:r>
          </w:p>
        </w:tc>
        <w:tc>
          <w:tcPr>
            <w:tcW w:w="1726" w:type="dxa"/>
            <w:tcBorders>
              <w:top w:val="single" w:sz="4" w:space="0" w:color="auto"/>
              <w:bottom w:val="single" w:sz="4" w:space="0" w:color="auto"/>
            </w:tcBorders>
          </w:tcPr>
          <w:p w14:paraId="48C56B50" w14:textId="50547598" w:rsidR="002B50AC" w:rsidRDefault="002B50AC" w:rsidP="00905568">
            <w:pPr>
              <w:spacing w:line="240" w:lineRule="auto"/>
              <w:jc w:val="center"/>
            </w:pPr>
            <w:r>
              <w:t>Transformer 4</w:t>
            </w:r>
          </w:p>
        </w:tc>
      </w:tr>
      <w:tr w:rsidR="002B50AC" w14:paraId="67DE397C" w14:textId="77777777" w:rsidTr="00905568">
        <w:tc>
          <w:tcPr>
            <w:tcW w:w="1726" w:type="dxa"/>
            <w:tcBorders>
              <w:top w:val="single" w:sz="4" w:space="0" w:color="auto"/>
            </w:tcBorders>
          </w:tcPr>
          <w:p w14:paraId="5ACE1287" w14:textId="77777777" w:rsidR="002B50AC" w:rsidRDefault="002B50AC" w:rsidP="00905568">
            <w:pPr>
              <w:spacing w:line="240" w:lineRule="auto"/>
              <w:jc w:val="center"/>
            </w:pPr>
            <w:r>
              <w:t>January</w:t>
            </w:r>
          </w:p>
        </w:tc>
        <w:tc>
          <w:tcPr>
            <w:tcW w:w="1726" w:type="dxa"/>
            <w:tcBorders>
              <w:top w:val="single" w:sz="4" w:space="0" w:color="auto"/>
            </w:tcBorders>
          </w:tcPr>
          <w:p w14:paraId="2EA9B5E3" w14:textId="08AE6C28" w:rsidR="002B50AC" w:rsidRDefault="0078480A" w:rsidP="00905568">
            <w:pPr>
              <w:spacing w:line="240" w:lineRule="auto"/>
              <w:jc w:val="center"/>
            </w:pPr>
            <w:r>
              <w:t>32.09</w:t>
            </w:r>
          </w:p>
        </w:tc>
        <w:tc>
          <w:tcPr>
            <w:tcW w:w="1726" w:type="dxa"/>
            <w:tcBorders>
              <w:top w:val="single" w:sz="4" w:space="0" w:color="auto"/>
            </w:tcBorders>
          </w:tcPr>
          <w:p w14:paraId="3FB38E12" w14:textId="58B7A9B2" w:rsidR="002B50AC" w:rsidRDefault="0078480A" w:rsidP="00905568">
            <w:pPr>
              <w:spacing w:line="240" w:lineRule="auto"/>
              <w:jc w:val="center"/>
            </w:pPr>
            <w:r>
              <w:t>71.28</w:t>
            </w:r>
          </w:p>
        </w:tc>
        <w:tc>
          <w:tcPr>
            <w:tcW w:w="1726" w:type="dxa"/>
            <w:tcBorders>
              <w:top w:val="single" w:sz="4" w:space="0" w:color="auto"/>
            </w:tcBorders>
          </w:tcPr>
          <w:p w14:paraId="665E22C0" w14:textId="4244F569" w:rsidR="002B50AC" w:rsidRDefault="0078480A" w:rsidP="00905568">
            <w:pPr>
              <w:spacing w:line="240" w:lineRule="auto"/>
              <w:jc w:val="center"/>
            </w:pPr>
            <w:r>
              <w:t>53.89</w:t>
            </w:r>
          </w:p>
        </w:tc>
        <w:tc>
          <w:tcPr>
            <w:tcW w:w="1726" w:type="dxa"/>
            <w:tcBorders>
              <w:top w:val="single" w:sz="4" w:space="0" w:color="auto"/>
            </w:tcBorders>
          </w:tcPr>
          <w:p w14:paraId="44681443" w14:textId="70794A1C" w:rsidR="002B50AC" w:rsidRDefault="0078480A" w:rsidP="00905568">
            <w:pPr>
              <w:spacing w:line="240" w:lineRule="auto"/>
              <w:jc w:val="center"/>
            </w:pPr>
            <w:r>
              <w:t>28.95</w:t>
            </w:r>
          </w:p>
        </w:tc>
      </w:tr>
      <w:tr w:rsidR="002B50AC" w14:paraId="68C9B86A" w14:textId="77777777" w:rsidTr="00905568">
        <w:tc>
          <w:tcPr>
            <w:tcW w:w="1726" w:type="dxa"/>
          </w:tcPr>
          <w:p w14:paraId="53504082" w14:textId="77777777" w:rsidR="002B50AC" w:rsidRDefault="002B50AC" w:rsidP="00905568">
            <w:pPr>
              <w:spacing w:line="240" w:lineRule="auto"/>
              <w:jc w:val="center"/>
            </w:pPr>
            <w:r>
              <w:rPr>
                <w:lang w:val="en-US"/>
              </w:rPr>
              <w:t>February</w:t>
            </w:r>
          </w:p>
        </w:tc>
        <w:tc>
          <w:tcPr>
            <w:tcW w:w="1726" w:type="dxa"/>
          </w:tcPr>
          <w:p w14:paraId="48C79BBC" w14:textId="7147D946" w:rsidR="002B50AC" w:rsidRDefault="0078480A" w:rsidP="00905568">
            <w:pPr>
              <w:spacing w:line="240" w:lineRule="auto"/>
              <w:jc w:val="center"/>
            </w:pPr>
            <w:r>
              <w:t>24.66</w:t>
            </w:r>
          </w:p>
        </w:tc>
        <w:tc>
          <w:tcPr>
            <w:tcW w:w="1726" w:type="dxa"/>
          </w:tcPr>
          <w:p w14:paraId="2CAE5357" w14:textId="3BE828A9" w:rsidR="002B50AC" w:rsidRDefault="0078480A" w:rsidP="00905568">
            <w:pPr>
              <w:spacing w:line="240" w:lineRule="auto"/>
              <w:jc w:val="center"/>
            </w:pPr>
            <w:r>
              <w:t>54.14</w:t>
            </w:r>
          </w:p>
        </w:tc>
        <w:tc>
          <w:tcPr>
            <w:tcW w:w="1726" w:type="dxa"/>
          </w:tcPr>
          <w:p w14:paraId="36BFF47E" w14:textId="761D97E7" w:rsidR="002B50AC" w:rsidRDefault="0078480A" w:rsidP="00905568">
            <w:pPr>
              <w:spacing w:line="240" w:lineRule="auto"/>
              <w:jc w:val="center"/>
            </w:pPr>
            <w:r>
              <w:t>40.62</w:t>
            </w:r>
          </w:p>
        </w:tc>
        <w:tc>
          <w:tcPr>
            <w:tcW w:w="1726" w:type="dxa"/>
          </w:tcPr>
          <w:p w14:paraId="7D134EFA" w14:textId="3E8F8CBD" w:rsidR="002B50AC" w:rsidRDefault="0078480A" w:rsidP="00905568">
            <w:pPr>
              <w:spacing w:line="240" w:lineRule="auto"/>
              <w:jc w:val="center"/>
            </w:pPr>
            <w:r>
              <w:t>22.23</w:t>
            </w:r>
          </w:p>
        </w:tc>
      </w:tr>
      <w:tr w:rsidR="002B50AC" w14:paraId="72F0836E" w14:textId="77777777" w:rsidTr="00905568">
        <w:tc>
          <w:tcPr>
            <w:tcW w:w="1726" w:type="dxa"/>
          </w:tcPr>
          <w:p w14:paraId="1DB4B46B" w14:textId="77777777" w:rsidR="002B50AC" w:rsidRDefault="002B50AC" w:rsidP="00905568">
            <w:pPr>
              <w:spacing w:line="240" w:lineRule="auto"/>
              <w:jc w:val="center"/>
            </w:pPr>
            <w:r>
              <w:rPr>
                <w:lang w:val="en-US"/>
              </w:rPr>
              <w:t>March</w:t>
            </w:r>
          </w:p>
        </w:tc>
        <w:tc>
          <w:tcPr>
            <w:tcW w:w="1726" w:type="dxa"/>
          </w:tcPr>
          <w:p w14:paraId="387A34A7" w14:textId="5510BFDD" w:rsidR="002B50AC" w:rsidRDefault="0078480A" w:rsidP="00905568">
            <w:pPr>
              <w:spacing w:line="240" w:lineRule="auto"/>
              <w:jc w:val="center"/>
            </w:pPr>
            <w:r>
              <w:t>20.72</w:t>
            </w:r>
          </w:p>
        </w:tc>
        <w:tc>
          <w:tcPr>
            <w:tcW w:w="1726" w:type="dxa"/>
          </w:tcPr>
          <w:p w14:paraId="4342C4F5" w14:textId="71A3F4F7" w:rsidR="002B50AC" w:rsidRDefault="0078480A" w:rsidP="00905568">
            <w:pPr>
              <w:spacing w:line="240" w:lineRule="auto"/>
              <w:jc w:val="center"/>
            </w:pPr>
            <w:r>
              <w:t>51.92</w:t>
            </w:r>
          </w:p>
        </w:tc>
        <w:tc>
          <w:tcPr>
            <w:tcW w:w="1726" w:type="dxa"/>
          </w:tcPr>
          <w:p w14:paraId="738AC01F" w14:textId="798B803C" w:rsidR="002B50AC" w:rsidRDefault="0078480A" w:rsidP="00905568">
            <w:pPr>
              <w:spacing w:line="240" w:lineRule="auto"/>
              <w:jc w:val="center"/>
            </w:pPr>
            <w:r>
              <w:t>39.61</w:t>
            </w:r>
          </w:p>
        </w:tc>
        <w:tc>
          <w:tcPr>
            <w:tcW w:w="1726" w:type="dxa"/>
          </w:tcPr>
          <w:p w14:paraId="2CF94C4A" w14:textId="0F898571" w:rsidR="002B50AC" w:rsidRDefault="0078480A" w:rsidP="00905568">
            <w:pPr>
              <w:spacing w:line="240" w:lineRule="auto"/>
              <w:jc w:val="center"/>
            </w:pPr>
            <w:r>
              <w:t>21.65</w:t>
            </w:r>
          </w:p>
        </w:tc>
      </w:tr>
      <w:tr w:rsidR="002B50AC" w14:paraId="4EF8B1E6" w14:textId="77777777" w:rsidTr="00905568">
        <w:tc>
          <w:tcPr>
            <w:tcW w:w="1726" w:type="dxa"/>
          </w:tcPr>
          <w:p w14:paraId="0FEEF6EB" w14:textId="77777777" w:rsidR="002B50AC" w:rsidRDefault="002B50AC" w:rsidP="00905568">
            <w:pPr>
              <w:spacing w:line="240" w:lineRule="auto"/>
              <w:jc w:val="center"/>
            </w:pPr>
            <w:r>
              <w:rPr>
                <w:lang w:val="en-US"/>
              </w:rPr>
              <w:t>April</w:t>
            </w:r>
          </w:p>
        </w:tc>
        <w:tc>
          <w:tcPr>
            <w:tcW w:w="1726" w:type="dxa"/>
          </w:tcPr>
          <w:p w14:paraId="5D8354D5" w14:textId="1F575A82" w:rsidR="002B50AC" w:rsidRDefault="0078480A" w:rsidP="00905568">
            <w:pPr>
              <w:spacing w:line="240" w:lineRule="auto"/>
              <w:jc w:val="center"/>
            </w:pPr>
            <w:r>
              <w:t>21.83</w:t>
            </w:r>
          </w:p>
        </w:tc>
        <w:tc>
          <w:tcPr>
            <w:tcW w:w="1726" w:type="dxa"/>
          </w:tcPr>
          <w:p w14:paraId="125A69D1" w14:textId="4854B716" w:rsidR="002B50AC" w:rsidRDefault="0078480A" w:rsidP="00905568">
            <w:pPr>
              <w:spacing w:line="240" w:lineRule="auto"/>
              <w:jc w:val="center"/>
            </w:pPr>
            <w:r>
              <w:t>47.74</w:t>
            </w:r>
          </w:p>
        </w:tc>
        <w:tc>
          <w:tcPr>
            <w:tcW w:w="1726" w:type="dxa"/>
          </w:tcPr>
          <w:p w14:paraId="319A22C3" w14:textId="6B0037F3" w:rsidR="002B50AC" w:rsidRDefault="0078480A" w:rsidP="00905568">
            <w:pPr>
              <w:spacing w:line="240" w:lineRule="auto"/>
              <w:jc w:val="center"/>
            </w:pPr>
            <w:r>
              <w:t>36.05</w:t>
            </w:r>
          </w:p>
        </w:tc>
        <w:tc>
          <w:tcPr>
            <w:tcW w:w="1726" w:type="dxa"/>
          </w:tcPr>
          <w:p w14:paraId="01345049" w14:textId="23D30D6F" w:rsidR="002B50AC" w:rsidRDefault="0078480A" w:rsidP="00905568">
            <w:pPr>
              <w:spacing w:line="240" w:lineRule="auto"/>
              <w:jc w:val="center"/>
            </w:pPr>
            <w:r>
              <w:t>19.68</w:t>
            </w:r>
          </w:p>
        </w:tc>
      </w:tr>
      <w:tr w:rsidR="002B50AC" w14:paraId="2BB27F48" w14:textId="77777777" w:rsidTr="00905568">
        <w:tc>
          <w:tcPr>
            <w:tcW w:w="1726" w:type="dxa"/>
          </w:tcPr>
          <w:p w14:paraId="35CD92EF" w14:textId="77777777" w:rsidR="002B50AC" w:rsidRDefault="002B50AC" w:rsidP="00905568">
            <w:pPr>
              <w:spacing w:line="240" w:lineRule="auto"/>
              <w:jc w:val="center"/>
            </w:pPr>
            <w:r>
              <w:rPr>
                <w:lang w:val="en-US"/>
              </w:rPr>
              <w:t>May</w:t>
            </w:r>
          </w:p>
        </w:tc>
        <w:tc>
          <w:tcPr>
            <w:tcW w:w="1726" w:type="dxa"/>
          </w:tcPr>
          <w:p w14:paraId="2A8A999E" w14:textId="378F568A" w:rsidR="002B50AC" w:rsidRDefault="00BD4D54" w:rsidP="00905568">
            <w:pPr>
              <w:spacing w:line="240" w:lineRule="auto"/>
              <w:jc w:val="center"/>
            </w:pPr>
            <w:r>
              <w:t>21.16</w:t>
            </w:r>
          </w:p>
        </w:tc>
        <w:tc>
          <w:tcPr>
            <w:tcW w:w="1726" w:type="dxa"/>
          </w:tcPr>
          <w:p w14:paraId="2233FE1E" w14:textId="1E753E36" w:rsidR="002B50AC" w:rsidRDefault="00BD4D54" w:rsidP="00905568">
            <w:pPr>
              <w:spacing w:line="240" w:lineRule="auto"/>
              <w:jc w:val="center"/>
            </w:pPr>
            <w:r>
              <w:t>46.19</w:t>
            </w:r>
          </w:p>
        </w:tc>
        <w:tc>
          <w:tcPr>
            <w:tcW w:w="1726" w:type="dxa"/>
          </w:tcPr>
          <w:p w14:paraId="3FA895D2" w14:textId="6571A035" w:rsidR="002B50AC" w:rsidRDefault="00BD4D54" w:rsidP="00905568">
            <w:pPr>
              <w:spacing w:line="240" w:lineRule="auto"/>
              <w:jc w:val="center"/>
            </w:pPr>
            <w:r>
              <w:t>34.54</w:t>
            </w:r>
          </w:p>
        </w:tc>
        <w:tc>
          <w:tcPr>
            <w:tcW w:w="1726" w:type="dxa"/>
          </w:tcPr>
          <w:p w14:paraId="418879B9" w14:textId="4639BC50" w:rsidR="002B50AC" w:rsidRDefault="00BD4D54" w:rsidP="00905568">
            <w:pPr>
              <w:spacing w:line="240" w:lineRule="auto"/>
              <w:jc w:val="center"/>
            </w:pPr>
            <w:r>
              <w:t>19.08</w:t>
            </w:r>
          </w:p>
        </w:tc>
      </w:tr>
      <w:tr w:rsidR="002B50AC" w14:paraId="7C8C3F58" w14:textId="77777777" w:rsidTr="00905568">
        <w:tc>
          <w:tcPr>
            <w:tcW w:w="1726" w:type="dxa"/>
          </w:tcPr>
          <w:p w14:paraId="79C9B529" w14:textId="77777777" w:rsidR="002B50AC" w:rsidRDefault="002B50AC" w:rsidP="00905568">
            <w:pPr>
              <w:spacing w:line="240" w:lineRule="auto"/>
              <w:jc w:val="center"/>
            </w:pPr>
            <w:r>
              <w:rPr>
                <w:lang w:val="en-US"/>
              </w:rPr>
              <w:t>June</w:t>
            </w:r>
          </w:p>
        </w:tc>
        <w:tc>
          <w:tcPr>
            <w:tcW w:w="1726" w:type="dxa"/>
          </w:tcPr>
          <w:p w14:paraId="4A37D516" w14:textId="2F0A0AA8" w:rsidR="002B50AC" w:rsidRDefault="00BD4D54" w:rsidP="00905568">
            <w:pPr>
              <w:spacing w:line="240" w:lineRule="auto"/>
              <w:jc w:val="center"/>
            </w:pPr>
            <w:r>
              <w:t>19.45</w:t>
            </w:r>
          </w:p>
        </w:tc>
        <w:tc>
          <w:tcPr>
            <w:tcW w:w="1726" w:type="dxa"/>
          </w:tcPr>
          <w:p w14:paraId="5AF69C1C" w14:textId="759170FE" w:rsidR="002B50AC" w:rsidRDefault="00BD4D54" w:rsidP="00905568">
            <w:pPr>
              <w:spacing w:line="240" w:lineRule="auto"/>
              <w:jc w:val="center"/>
            </w:pPr>
            <w:r>
              <w:t>42.48</w:t>
            </w:r>
          </w:p>
        </w:tc>
        <w:tc>
          <w:tcPr>
            <w:tcW w:w="1726" w:type="dxa"/>
          </w:tcPr>
          <w:p w14:paraId="41CFC653" w14:textId="4135D743" w:rsidR="002B50AC" w:rsidRDefault="00BD4D54" w:rsidP="00905568">
            <w:pPr>
              <w:spacing w:line="240" w:lineRule="auto"/>
              <w:jc w:val="center"/>
            </w:pPr>
            <w:r>
              <w:t>31.77</w:t>
            </w:r>
          </w:p>
        </w:tc>
        <w:tc>
          <w:tcPr>
            <w:tcW w:w="1726" w:type="dxa"/>
          </w:tcPr>
          <w:p w14:paraId="5AF8240F" w14:textId="03A7E2C0" w:rsidR="002B50AC" w:rsidRDefault="00BD4D54" w:rsidP="00905568">
            <w:pPr>
              <w:spacing w:line="240" w:lineRule="auto"/>
              <w:jc w:val="center"/>
            </w:pPr>
            <w:r>
              <w:t>17.54</w:t>
            </w:r>
          </w:p>
        </w:tc>
      </w:tr>
      <w:tr w:rsidR="002B50AC" w14:paraId="1EEB5111" w14:textId="77777777" w:rsidTr="00905568">
        <w:tc>
          <w:tcPr>
            <w:tcW w:w="1726" w:type="dxa"/>
          </w:tcPr>
          <w:p w14:paraId="2B670264" w14:textId="77777777" w:rsidR="002B50AC" w:rsidRDefault="002B50AC" w:rsidP="00905568">
            <w:pPr>
              <w:spacing w:line="240" w:lineRule="auto"/>
              <w:jc w:val="center"/>
            </w:pPr>
            <w:r>
              <w:rPr>
                <w:lang w:val="en-US"/>
              </w:rPr>
              <w:t>July</w:t>
            </w:r>
          </w:p>
        </w:tc>
        <w:tc>
          <w:tcPr>
            <w:tcW w:w="1726" w:type="dxa"/>
          </w:tcPr>
          <w:p w14:paraId="29D36DB4" w14:textId="43308FAB" w:rsidR="002B50AC" w:rsidRDefault="00BD4D54" w:rsidP="00905568">
            <w:pPr>
              <w:spacing w:line="240" w:lineRule="auto"/>
              <w:jc w:val="center"/>
            </w:pPr>
            <w:r>
              <w:t>22.04</w:t>
            </w:r>
          </w:p>
        </w:tc>
        <w:tc>
          <w:tcPr>
            <w:tcW w:w="1726" w:type="dxa"/>
          </w:tcPr>
          <w:p w14:paraId="2F244EC9" w14:textId="67CF9ACF" w:rsidR="002B50AC" w:rsidRDefault="00BD4D54" w:rsidP="00905568">
            <w:pPr>
              <w:spacing w:line="240" w:lineRule="auto"/>
              <w:jc w:val="center"/>
            </w:pPr>
            <w:r>
              <w:t>48.09</w:t>
            </w:r>
          </w:p>
        </w:tc>
        <w:tc>
          <w:tcPr>
            <w:tcW w:w="1726" w:type="dxa"/>
          </w:tcPr>
          <w:p w14:paraId="1EEF37EF" w14:textId="184AB2DA" w:rsidR="002B50AC" w:rsidRDefault="00BD4D54" w:rsidP="00905568">
            <w:pPr>
              <w:spacing w:line="240" w:lineRule="auto"/>
              <w:jc w:val="center"/>
            </w:pPr>
            <w:r>
              <w:t>35.95</w:t>
            </w:r>
          </w:p>
        </w:tc>
        <w:tc>
          <w:tcPr>
            <w:tcW w:w="1726" w:type="dxa"/>
          </w:tcPr>
          <w:p w14:paraId="5A41872B" w14:textId="40872164" w:rsidR="002B50AC" w:rsidRDefault="00BD4D54" w:rsidP="00905568">
            <w:pPr>
              <w:spacing w:line="240" w:lineRule="auto"/>
              <w:jc w:val="center"/>
            </w:pPr>
            <w:r>
              <w:t>19.87</w:t>
            </w:r>
          </w:p>
        </w:tc>
      </w:tr>
      <w:tr w:rsidR="002B50AC" w14:paraId="3C864EA6" w14:textId="77777777" w:rsidTr="00905568">
        <w:tc>
          <w:tcPr>
            <w:tcW w:w="1726" w:type="dxa"/>
          </w:tcPr>
          <w:p w14:paraId="4491C7DA" w14:textId="77777777" w:rsidR="002B50AC" w:rsidRDefault="002B50AC" w:rsidP="00905568">
            <w:pPr>
              <w:spacing w:line="240" w:lineRule="auto"/>
              <w:jc w:val="center"/>
            </w:pPr>
            <w:r>
              <w:rPr>
                <w:lang w:val="en-US"/>
              </w:rPr>
              <w:t>August</w:t>
            </w:r>
          </w:p>
        </w:tc>
        <w:tc>
          <w:tcPr>
            <w:tcW w:w="1726" w:type="dxa"/>
          </w:tcPr>
          <w:p w14:paraId="27ACC565" w14:textId="3A749837" w:rsidR="002B50AC" w:rsidRDefault="00BD4D54" w:rsidP="00905568">
            <w:pPr>
              <w:spacing w:line="240" w:lineRule="auto"/>
              <w:jc w:val="center"/>
            </w:pPr>
            <w:r>
              <w:t>24.71</w:t>
            </w:r>
          </w:p>
        </w:tc>
        <w:tc>
          <w:tcPr>
            <w:tcW w:w="1726" w:type="dxa"/>
          </w:tcPr>
          <w:p w14:paraId="2A1D8D4F" w14:textId="70EFD921" w:rsidR="002B50AC" w:rsidRDefault="00BD4D54" w:rsidP="00905568">
            <w:pPr>
              <w:spacing w:line="240" w:lineRule="auto"/>
              <w:jc w:val="center"/>
            </w:pPr>
            <w:r>
              <w:t>54.17</w:t>
            </w:r>
          </w:p>
        </w:tc>
        <w:tc>
          <w:tcPr>
            <w:tcW w:w="1726" w:type="dxa"/>
          </w:tcPr>
          <w:p w14:paraId="4AC2CC77" w14:textId="43DC2CED" w:rsidR="002B50AC" w:rsidRDefault="00BD4D54" w:rsidP="00905568">
            <w:pPr>
              <w:spacing w:line="240" w:lineRule="auto"/>
              <w:jc w:val="center"/>
            </w:pPr>
            <w:r>
              <w:t>40.61</w:t>
            </w:r>
          </w:p>
        </w:tc>
        <w:tc>
          <w:tcPr>
            <w:tcW w:w="1726" w:type="dxa"/>
          </w:tcPr>
          <w:p w14:paraId="2E2AD6FC" w14:textId="4F99914E" w:rsidR="002B50AC" w:rsidRDefault="00BD4D54" w:rsidP="00905568">
            <w:pPr>
              <w:spacing w:line="240" w:lineRule="auto"/>
              <w:jc w:val="center"/>
            </w:pPr>
            <w:r>
              <w:t>22.28</w:t>
            </w:r>
          </w:p>
        </w:tc>
      </w:tr>
      <w:tr w:rsidR="002B50AC" w14:paraId="3E669E70" w14:textId="77777777" w:rsidTr="00905568">
        <w:tc>
          <w:tcPr>
            <w:tcW w:w="1726" w:type="dxa"/>
          </w:tcPr>
          <w:p w14:paraId="07840CA0" w14:textId="77777777" w:rsidR="002B50AC" w:rsidRDefault="002B50AC" w:rsidP="00905568">
            <w:pPr>
              <w:spacing w:line="240" w:lineRule="auto"/>
              <w:jc w:val="center"/>
            </w:pPr>
            <w:r>
              <w:rPr>
                <w:lang w:val="en-US"/>
              </w:rPr>
              <w:t>September</w:t>
            </w:r>
          </w:p>
        </w:tc>
        <w:tc>
          <w:tcPr>
            <w:tcW w:w="1726" w:type="dxa"/>
          </w:tcPr>
          <w:p w14:paraId="6FE51330" w14:textId="148C472C" w:rsidR="002B50AC" w:rsidRDefault="00BD4D54" w:rsidP="00905568">
            <w:pPr>
              <w:spacing w:line="240" w:lineRule="auto"/>
              <w:jc w:val="center"/>
            </w:pPr>
            <w:r>
              <w:t>19.79</w:t>
            </w:r>
          </w:p>
        </w:tc>
        <w:tc>
          <w:tcPr>
            <w:tcW w:w="1726" w:type="dxa"/>
          </w:tcPr>
          <w:p w14:paraId="421E1A10" w14:textId="6857F745" w:rsidR="002B50AC" w:rsidRDefault="00BD4D54" w:rsidP="00905568">
            <w:pPr>
              <w:spacing w:line="240" w:lineRule="auto"/>
              <w:jc w:val="center"/>
            </w:pPr>
            <w:r>
              <w:t>44.71</w:t>
            </w:r>
          </w:p>
        </w:tc>
        <w:tc>
          <w:tcPr>
            <w:tcW w:w="1726" w:type="dxa"/>
          </w:tcPr>
          <w:p w14:paraId="17DABAF2" w14:textId="61CBFA85" w:rsidR="002B50AC" w:rsidRDefault="00BD4D54" w:rsidP="00905568">
            <w:pPr>
              <w:spacing w:line="240" w:lineRule="auto"/>
              <w:jc w:val="center"/>
            </w:pPr>
            <w:r>
              <w:t>34.47</w:t>
            </w:r>
          </w:p>
        </w:tc>
        <w:tc>
          <w:tcPr>
            <w:tcW w:w="1726" w:type="dxa"/>
          </w:tcPr>
          <w:p w14:paraId="3D42954E" w14:textId="320B482B" w:rsidR="002B50AC" w:rsidRDefault="00BD4D54" w:rsidP="00905568">
            <w:pPr>
              <w:spacing w:line="240" w:lineRule="auto"/>
              <w:jc w:val="center"/>
            </w:pPr>
            <w:r>
              <w:t>17.87</w:t>
            </w:r>
          </w:p>
        </w:tc>
      </w:tr>
      <w:tr w:rsidR="002B50AC" w14:paraId="6A3F1BB4" w14:textId="77777777" w:rsidTr="00905568">
        <w:tc>
          <w:tcPr>
            <w:tcW w:w="1726" w:type="dxa"/>
          </w:tcPr>
          <w:p w14:paraId="01D90502" w14:textId="77777777" w:rsidR="002B50AC" w:rsidRDefault="002B50AC" w:rsidP="00905568">
            <w:pPr>
              <w:spacing w:line="240" w:lineRule="auto"/>
              <w:jc w:val="center"/>
            </w:pPr>
            <w:r>
              <w:rPr>
                <w:lang w:val="en-US"/>
              </w:rPr>
              <w:t>October</w:t>
            </w:r>
          </w:p>
        </w:tc>
        <w:tc>
          <w:tcPr>
            <w:tcW w:w="1726" w:type="dxa"/>
          </w:tcPr>
          <w:p w14:paraId="7DA1DACA" w14:textId="4E79FEB4" w:rsidR="002B50AC" w:rsidRDefault="00BD4D54" w:rsidP="00905568">
            <w:pPr>
              <w:spacing w:line="240" w:lineRule="auto"/>
              <w:jc w:val="center"/>
            </w:pPr>
            <w:r>
              <w:t>19.44</w:t>
            </w:r>
          </w:p>
        </w:tc>
        <w:tc>
          <w:tcPr>
            <w:tcW w:w="1726" w:type="dxa"/>
          </w:tcPr>
          <w:p w14:paraId="45537903" w14:textId="389167E0" w:rsidR="002B50AC" w:rsidRDefault="00BD4D54" w:rsidP="00905568">
            <w:pPr>
              <w:spacing w:line="240" w:lineRule="auto"/>
              <w:jc w:val="center"/>
            </w:pPr>
            <w:r>
              <w:t>42.36</w:t>
            </w:r>
          </w:p>
        </w:tc>
        <w:tc>
          <w:tcPr>
            <w:tcW w:w="1726" w:type="dxa"/>
          </w:tcPr>
          <w:p w14:paraId="2E563BC9" w14:textId="67E7FAAD" w:rsidR="002B50AC" w:rsidRDefault="00BD4D54" w:rsidP="00905568">
            <w:pPr>
              <w:spacing w:line="240" w:lineRule="auto"/>
              <w:jc w:val="center"/>
            </w:pPr>
            <w:r>
              <w:t>31.63</w:t>
            </w:r>
          </w:p>
        </w:tc>
        <w:tc>
          <w:tcPr>
            <w:tcW w:w="1726" w:type="dxa"/>
          </w:tcPr>
          <w:p w14:paraId="3D4063BD" w14:textId="28D50AA4" w:rsidR="002B50AC" w:rsidRDefault="00BD4D54" w:rsidP="00905568">
            <w:pPr>
              <w:spacing w:line="240" w:lineRule="auto"/>
              <w:jc w:val="center"/>
            </w:pPr>
            <w:r>
              <w:t>17.53</w:t>
            </w:r>
          </w:p>
        </w:tc>
      </w:tr>
      <w:tr w:rsidR="002B50AC" w14:paraId="49E76FAF" w14:textId="77777777" w:rsidTr="00905568">
        <w:tc>
          <w:tcPr>
            <w:tcW w:w="1726" w:type="dxa"/>
          </w:tcPr>
          <w:p w14:paraId="1216C4A0" w14:textId="77777777" w:rsidR="002B50AC" w:rsidRDefault="002B50AC" w:rsidP="00905568">
            <w:pPr>
              <w:spacing w:line="240" w:lineRule="auto"/>
              <w:jc w:val="center"/>
            </w:pPr>
            <w:r>
              <w:rPr>
                <w:lang w:val="en-US"/>
              </w:rPr>
              <w:t>November</w:t>
            </w:r>
          </w:p>
        </w:tc>
        <w:tc>
          <w:tcPr>
            <w:tcW w:w="1726" w:type="dxa"/>
          </w:tcPr>
          <w:p w14:paraId="0E81E7C0" w14:textId="2468A044" w:rsidR="002B50AC" w:rsidRDefault="00BD4D54" w:rsidP="00905568">
            <w:pPr>
              <w:spacing w:line="240" w:lineRule="auto"/>
              <w:jc w:val="center"/>
            </w:pPr>
            <w:r>
              <w:t>21.78</w:t>
            </w:r>
          </w:p>
        </w:tc>
        <w:tc>
          <w:tcPr>
            <w:tcW w:w="1726" w:type="dxa"/>
          </w:tcPr>
          <w:p w14:paraId="28A45804" w14:textId="47982FD3" w:rsidR="002B50AC" w:rsidRDefault="00BD4D54" w:rsidP="00905568">
            <w:pPr>
              <w:spacing w:line="240" w:lineRule="auto"/>
              <w:jc w:val="center"/>
            </w:pPr>
            <w:r>
              <w:t>49.37</w:t>
            </w:r>
          </w:p>
        </w:tc>
        <w:tc>
          <w:tcPr>
            <w:tcW w:w="1726" w:type="dxa"/>
          </w:tcPr>
          <w:p w14:paraId="43D14BD3" w14:textId="2958443D" w:rsidR="002B50AC" w:rsidRDefault="00BD4D54" w:rsidP="00905568">
            <w:pPr>
              <w:spacing w:line="240" w:lineRule="auto"/>
              <w:jc w:val="center"/>
            </w:pPr>
            <w:r>
              <w:t>38.13</w:t>
            </w:r>
          </w:p>
        </w:tc>
        <w:tc>
          <w:tcPr>
            <w:tcW w:w="1726" w:type="dxa"/>
          </w:tcPr>
          <w:p w14:paraId="4F56A43C" w14:textId="20FF1F8F" w:rsidR="002B50AC" w:rsidRDefault="00BD4D54" w:rsidP="00905568">
            <w:pPr>
              <w:spacing w:line="240" w:lineRule="auto"/>
              <w:jc w:val="center"/>
            </w:pPr>
            <w:r>
              <w:t>19.68</w:t>
            </w:r>
          </w:p>
        </w:tc>
      </w:tr>
      <w:tr w:rsidR="002B50AC" w14:paraId="0D7D574A" w14:textId="77777777" w:rsidTr="00905568">
        <w:tc>
          <w:tcPr>
            <w:tcW w:w="1726" w:type="dxa"/>
          </w:tcPr>
          <w:p w14:paraId="4EB456E7" w14:textId="77777777" w:rsidR="002B50AC" w:rsidRDefault="002B50AC" w:rsidP="00905568">
            <w:pPr>
              <w:spacing w:line="240" w:lineRule="auto"/>
              <w:jc w:val="center"/>
            </w:pPr>
            <w:r>
              <w:rPr>
                <w:lang w:val="en-US"/>
              </w:rPr>
              <w:t>December</w:t>
            </w:r>
          </w:p>
        </w:tc>
        <w:tc>
          <w:tcPr>
            <w:tcW w:w="1726" w:type="dxa"/>
          </w:tcPr>
          <w:p w14:paraId="7776BCF2" w14:textId="0E4EB8BD" w:rsidR="002B50AC" w:rsidRDefault="00BD4D54" w:rsidP="00905568">
            <w:pPr>
              <w:spacing w:line="240" w:lineRule="auto"/>
              <w:jc w:val="center"/>
            </w:pPr>
            <w:r>
              <w:t>21.65</w:t>
            </w:r>
          </w:p>
        </w:tc>
        <w:tc>
          <w:tcPr>
            <w:tcW w:w="1726" w:type="dxa"/>
          </w:tcPr>
          <w:p w14:paraId="213B98BC" w14:textId="6EBB954C" w:rsidR="002B50AC" w:rsidRDefault="00BD4D54" w:rsidP="00905568">
            <w:pPr>
              <w:spacing w:line="240" w:lineRule="auto"/>
              <w:jc w:val="center"/>
            </w:pPr>
            <w:r>
              <w:t>48.71</w:t>
            </w:r>
          </w:p>
        </w:tc>
        <w:tc>
          <w:tcPr>
            <w:tcW w:w="1726" w:type="dxa"/>
          </w:tcPr>
          <w:p w14:paraId="065F31DA" w14:textId="47D14721" w:rsidR="002B50AC" w:rsidRDefault="00BD4D54" w:rsidP="00905568">
            <w:pPr>
              <w:spacing w:line="240" w:lineRule="auto"/>
              <w:jc w:val="center"/>
            </w:pPr>
            <w:r>
              <w:t>35.11</w:t>
            </w:r>
          </w:p>
        </w:tc>
        <w:tc>
          <w:tcPr>
            <w:tcW w:w="1726" w:type="dxa"/>
          </w:tcPr>
          <w:p w14:paraId="0D082B99" w14:textId="59601B9A" w:rsidR="002B50AC" w:rsidRDefault="00BD4D54" w:rsidP="00905568">
            <w:pPr>
              <w:spacing w:line="240" w:lineRule="auto"/>
              <w:jc w:val="center"/>
            </w:pPr>
            <w:r>
              <w:t>35.79</w:t>
            </w:r>
          </w:p>
        </w:tc>
      </w:tr>
    </w:tbl>
    <w:p w14:paraId="37F51940" w14:textId="62C03797" w:rsidR="002B50AC" w:rsidRDefault="002B50AC" w:rsidP="002B50AC">
      <w:pPr>
        <w:spacing w:line="480" w:lineRule="auto"/>
        <w:rPr>
          <w:lang w:val="en-US"/>
        </w:rPr>
      </w:pPr>
      <w:r>
        <w:rPr>
          <w:lang w:val="en-US"/>
        </w:rPr>
        <w:t xml:space="preserve"> </w:t>
      </w:r>
    </w:p>
    <w:p w14:paraId="03217E3E" w14:textId="6C759040" w:rsidR="0033230F" w:rsidRDefault="0033230F" w:rsidP="002B50AC">
      <w:pPr>
        <w:spacing w:line="480" w:lineRule="auto"/>
        <w:rPr>
          <w:lang w:val="en-US"/>
        </w:rPr>
      </w:pPr>
    </w:p>
    <w:p w14:paraId="752BD46B" w14:textId="77777777" w:rsidR="0033230F" w:rsidRDefault="0033230F" w:rsidP="002B50AC">
      <w:pPr>
        <w:spacing w:line="480" w:lineRule="auto"/>
        <w:rPr>
          <w:lang w:val="en-US"/>
        </w:rPr>
      </w:pPr>
    </w:p>
    <w:p w14:paraId="59A45097" w14:textId="5512CCBE" w:rsidR="007127F4" w:rsidRDefault="00316578" w:rsidP="0099460B">
      <w:pPr>
        <w:pStyle w:val="Heading3"/>
      </w:pPr>
      <w:bookmarkStart w:id="89" w:name="_Toc110502627"/>
      <w:r>
        <w:t>4.4.5</w:t>
      </w:r>
      <w:r w:rsidR="0099460B">
        <w:tab/>
        <w:t>Results of the IVD Analysis for the Second Scenario (Dual Power Point).</w:t>
      </w:r>
      <w:bookmarkEnd w:id="89"/>
    </w:p>
    <w:p w14:paraId="4DDAA91D" w14:textId="08A24581" w:rsidR="009A4AB8" w:rsidRDefault="0099460B" w:rsidP="0099460B">
      <w:pPr>
        <w:spacing w:line="480" w:lineRule="auto"/>
        <w:rPr>
          <w:lang w:val="en-US"/>
        </w:rPr>
      </w:pPr>
      <w:r>
        <w:rPr>
          <w:lang w:val="en-US"/>
        </w:rPr>
        <w:t xml:space="preserve">Results of the IVD analysis show the average </w:t>
      </w:r>
      <w:r w:rsidR="00F04EC9">
        <w:rPr>
          <w:lang w:val="en-US"/>
        </w:rPr>
        <w:t>IVD for each month in Table</w:t>
      </w:r>
      <w:r w:rsidR="008B3D06">
        <w:rPr>
          <w:lang w:val="en-US"/>
        </w:rPr>
        <w:t>s</w:t>
      </w:r>
      <w:r w:rsidR="00F04EC9">
        <w:rPr>
          <w:lang w:val="en-US"/>
        </w:rPr>
        <w:t xml:space="preserve"> 4.14 and 4.15</w:t>
      </w:r>
      <w:r>
        <w:rPr>
          <w:lang w:val="en-US"/>
        </w:rPr>
        <w:t xml:space="preserve">. </w:t>
      </w:r>
      <w:r w:rsidR="00564580">
        <w:rPr>
          <w:lang w:val="en-US"/>
        </w:rPr>
        <w:t>The second scenario with the CSP power plant connected to a different bus than the other sources shows a major improvement in the voltage stability of the system. The average yearly IVD reduced from 1.5516 in the first scenario to 0.3511 in the second scenario which suggest</w:t>
      </w:r>
      <w:r w:rsidR="00350204">
        <w:rPr>
          <w:lang w:val="en-US"/>
        </w:rPr>
        <w:t>s</w:t>
      </w:r>
      <w:r w:rsidR="00564580">
        <w:rPr>
          <w:lang w:val="en-US"/>
        </w:rPr>
        <w:t xml:space="preserve"> that</w:t>
      </w:r>
      <w:r w:rsidR="00350204">
        <w:rPr>
          <w:lang w:val="en-US"/>
        </w:rPr>
        <w:t>,</w:t>
      </w:r>
      <w:r w:rsidR="00564580">
        <w:rPr>
          <w:lang w:val="en-US"/>
        </w:rPr>
        <w:t xml:space="preserve"> on average</w:t>
      </w:r>
      <w:r w:rsidR="00350204">
        <w:rPr>
          <w:lang w:val="en-US"/>
        </w:rPr>
        <w:t>,</w:t>
      </w:r>
      <w:r w:rsidR="00564580">
        <w:rPr>
          <w:lang w:val="en-US"/>
        </w:rPr>
        <w:t xml:space="preserve"> the system stability by IVD metric improved by 342% when the CSP was connected to the weak point in the first scenario.</w:t>
      </w:r>
      <w:r w:rsidR="00350204">
        <w:rPr>
          <w:lang w:val="en-US"/>
        </w:rPr>
        <w:t xml:space="preserve"> Qualitatively, the major observation was that, while the first scenario was prone only to undesirable voltage sags, the second scenario featured both voltage swell and voltage sags. However, on average, the magnitude of swelling and sagging in the second case was less severe on the voltage stability than the magnitude of sagging alone in the first case. </w:t>
      </w:r>
    </w:p>
    <w:p w14:paraId="0D41F379" w14:textId="751D650B" w:rsidR="00155334" w:rsidRDefault="00350204" w:rsidP="0099460B">
      <w:pPr>
        <w:spacing w:line="480" w:lineRule="auto"/>
        <w:rPr>
          <w:lang w:val="en-US"/>
        </w:rPr>
      </w:pPr>
      <w:r>
        <w:rPr>
          <w:lang w:val="en-US"/>
        </w:rPr>
        <w:t>In the second scenario, it was discovered that all buses on the microgrid exhibited individual IVD components that were always within the tolerance range</w:t>
      </w:r>
      <w:r w:rsidR="009A4AB8">
        <w:rPr>
          <w:lang w:val="en-US"/>
        </w:rPr>
        <w:t xml:space="preserve"> of 10%, with the maximum individual IVD component recorded throughout the year being 1.93%, which was recorded on bus 4 in December. However, even though all the buses performed excellently enough, bus 5 was the least stable bus on the system based on its performance throughout the year. </w:t>
      </w:r>
    </w:p>
    <w:p w14:paraId="1328F7B0" w14:textId="1E1D1414" w:rsidR="00F57D98" w:rsidRPr="00D80F93" w:rsidRDefault="00D24E78" w:rsidP="00F57D98">
      <w:pPr>
        <w:jc w:val="center"/>
        <w:rPr>
          <w:b/>
          <w:lang w:val="en-US"/>
        </w:rPr>
      </w:pPr>
      <w:r>
        <w:rPr>
          <w:b/>
          <w:lang w:val="en-US"/>
        </w:rPr>
        <w:t>Table 4.14</w:t>
      </w:r>
      <w:r w:rsidR="00F57D98">
        <w:rPr>
          <w:b/>
          <w:lang w:val="en-US"/>
        </w:rPr>
        <w:t xml:space="preserve"> – Average IVD (in %) as experienced at the loads for each month for </w:t>
      </w:r>
      <w:r w:rsidR="008B3D06">
        <w:rPr>
          <w:b/>
          <w:lang w:val="en-US"/>
        </w:rPr>
        <w:t xml:space="preserve">the </w:t>
      </w:r>
      <w:r w:rsidR="00F57D98">
        <w:rPr>
          <w:b/>
          <w:lang w:val="en-US"/>
        </w:rPr>
        <w:t>first three buses in the Second Scenario.</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41"/>
        <w:gridCol w:w="2297"/>
        <w:gridCol w:w="1664"/>
        <w:gridCol w:w="1664"/>
        <w:gridCol w:w="1664"/>
      </w:tblGrid>
      <w:tr w:rsidR="00F57D98" w14:paraId="388E0FD9" w14:textId="77777777" w:rsidTr="00D12C63">
        <w:tc>
          <w:tcPr>
            <w:tcW w:w="1341" w:type="dxa"/>
            <w:tcBorders>
              <w:top w:val="single" w:sz="4" w:space="0" w:color="auto"/>
              <w:left w:val="nil"/>
              <w:bottom w:val="single" w:sz="4" w:space="0" w:color="auto"/>
            </w:tcBorders>
          </w:tcPr>
          <w:p w14:paraId="25B2E63E" w14:textId="77777777" w:rsidR="00F57D98" w:rsidRDefault="00F57D98" w:rsidP="00D12C63">
            <w:pPr>
              <w:spacing w:line="240" w:lineRule="auto"/>
              <w:rPr>
                <w:lang w:val="en-US"/>
              </w:rPr>
            </w:pPr>
            <w:r>
              <w:rPr>
                <w:lang w:val="en-US"/>
              </w:rPr>
              <w:t xml:space="preserve">Month </w:t>
            </w:r>
          </w:p>
        </w:tc>
        <w:tc>
          <w:tcPr>
            <w:tcW w:w="2297" w:type="dxa"/>
            <w:tcBorders>
              <w:top w:val="single" w:sz="4" w:space="0" w:color="auto"/>
              <w:bottom w:val="single" w:sz="4" w:space="0" w:color="auto"/>
            </w:tcBorders>
            <w:vAlign w:val="center"/>
          </w:tcPr>
          <w:p w14:paraId="5B37A10D" w14:textId="77777777" w:rsidR="00F57D98" w:rsidRDefault="00F57D98" w:rsidP="00D12C63">
            <w:pPr>
              <w:spacing w:line="240" w:lineRule="auto"/>
            </w:pPr>
            <w:r>
              <w:t>System Average</w:t>
            </w:r>
          </w:p>
        </w:tc>
        <w:tc>
          <w:tcPr>
            <w:tcW w:w="1664" w:type="dxa"/>
            <w:tcBorders>
              <w:top w:val="single" w:sz="4" w:space="0" w:color="auto"/>
              <w:bottom w:val="single" w:sz="4" w:space="0" w:color="auto"/>
            </w:tcBorders>
          </w:tcPr>
          <w:p w14:paraId="002A6956" w14:textId="77777777" w:rsidR="00F57D98" w:rsidRDefault="00F57D98" w:rsidP="00D12C63">
            <w:pPr>
              <w:spacing w:line="240" w:lineRule="auto"/>
            </w:pPr>
            <w:r>
              <w:t>Bus 1</w:t>
            </w:r>
          </w:p>
        </w:tc>
        <w:tc>
          <w:tcPr>
            <w:tcW w:w="1664" w:type="dxa"/>
            <w:tcBorders>
              <w:top w:val="single" w:sz="4" w:space="0" w:color="auto"/>
              <w:bottom w:val="single" w:sz="4" w:space="0" w:color="auto"/>
            </w:tcBorders>
          </w:tcPr>
          <w:p w14:paraId="7617B426" w14:textId="77777777" w:rsidR="00F57D98" w:rsidRDefault="00F57D98" w:rsidP="00D12C63">
            <w:pPr>
              <w:spacing w:line="240" w:lineRule="auto"/>
            </w:pPr>
            <w:r>
              <w:t>Bus 2</w:t>
            </w:r>
          </w:p>
        </w:tc>
        <w:tc>
          <w:tcPr>
            <w:tcW w:w="1664" w:type="dxa"/>
            <w:tcBorders>
              <w:top w:val="single" w:sz="4" w:space="0" w:color="auto"/>
              <w:bottom w:val="single" w:sz="4" w:space="0" w:color="auto"/>
              <w:right w:val="nil"/>
            </w:tcBorders>
          </w:tcPr>
          <w:p w14:paraId="06670095" w14:textId="77777777" w:rsidR="00F57D98" w:rsidRDefault="00F57D98" w:rsidP="00D12C63">
            <w:pPr>
              <w:spacing w:line="240" w:lineRule="auto"/>
            </w:pPr>
            <w:r>
              <w:t>Bus 3</w:t>
            </w:r>
          </w:p>
        </w:tc>
      </w:tr>
      <w:tr w:rsidR="00F57D98" w14:paraId="7251475F" w14:textId="77777777" w:rsidTr="00D12C63">
        <w:tc>
          <w:tcPr>
            <w:tcW w:w="1341" w:type="dxa"/>
            <w:tcBorders>
              <w:top w:val="single" w:sz="4" w:space="0" w:color="auto"/>
              <w:left w:val="nil"/>
            </w:tcBorders>
          </w:tcPr>
          <w:p w14:paraId="3D02C8C1" w14:textId="77777777" w:rsidR="00F57D98" w:rsidRDefault="00F57D98" w:rsidP="00F57D98">
            <w:pPr>
              <w:spacing w:line="240" w:lineRule="auto"/>
              <w:rPr>
                <w:lang w:val="en-US"/>
              </w:rPr>
            </w:pPr>
            <w:r>
              <w:rPr>
                <w:lang w:val="en-US"/>
              </w:rPr>
              <w:t>January</w:t>
            </w:r>
          </w:p>
        </w:tc>
        <w:tc>
          <w:tcPr>
            <w:tcW w:w="2297" w:type="dxa"/>
            <w:tcBorders>
              <w:top w:val="single" w:sz="4" w:space="0" w:color="auto"/>
            </w:tcBorders>
          </w:tcPr>
          <w:p w14:paraId="2EDC748C" w14:textId="1E933101" w:rsidR="00F57D98" w:rsidRDefault="00F57D98" w:rsidP="00F57D98">
            <w:pPr>
              <w:spacing w:line="240" w:lineRule="auto"/>
              <w:rPr>
                <w:lang w:val="en-US"/>
              </w:rPr>
            </w:pPr>
            <w:r w:rsidRPr="00B81766">
              <w:t>0.4830</w:t>
            </w:r>
          </w:p>
        </w:tc>
        <w:tc>
          <w:tcPr>
            <w:tcW w:w="1664" w:type="dxa"/>
            <w:tcBorders>
              <w:top w:val="single" w:sz="4" w:space="0" w:color="auto"/>
            </w:tcBorders>
          </w:tcPr>
          <w:p w14:paraId="5A6FEFEE" w14:textId="77777777" w:rsidR="00F57D98" w:rsidRDefault="00F57D98" w:rsidP="00F57D98">
            <w:pPr>
              <w:spacing w:line="240" w:lineRule="auto"/>
            </w:pPr>
            <w:r w:rsidRPr="00FA6296">
              <w:t>0</w:t>
            </w:r>
          </w:p>
        </w:tc>
        <w:tc>
          <w:tcPr>
            <w:tcW w:w="1664" w:type="dxa"/>
            <w:tcBorders>
              <w:top w:val="single" w:sz="4" w:space="0" w:color="auto"/>
            </w:tcBorders>
          </w:tcPr>
          <w:p w14:paraId="13546BD5" w14:textId="74739DFD" w:rsidR="00F57D98" w:rsidRPr="00AA522C" w:rsidRDefault="00F57D98" w:rsidP="00F57D98">
            <w:pPr>
              <w:spacing w:line="240" w:lineRule="auto"/>
              <w:rPr>
                <w:rFonts w:cs="Times New Roman"/>
                <w:szCs w:val="24"/>
              </w:rPr>
            </w:pPr>
            <w:r w:rsidRPr="004F62D5">
              <w:t>0.5529</w:t>
            </w:r>
          </w:p>
        </w:tc>
        <w:tc>
          <w:tcPr>
            <w:tcW w:w="1664" w:type="dxa"/>
            <w:tcBorders>
              <w:top w:val="single" w:sz="4" w:space="0" w:color="auto"/>
              <w:right w:val="nil"/>
            </w:tcBorders>
          </w:tcPr>
          <w:p w14:paraId="28B99336" w14:textId="73B7226C" w:rsidR="00F57D98" w:rsidRPr="00AA522C" w:rsidRDefault="00F57D98" w:rsidP="00F57D98">
            <w:pPr>
              <w:spacing w:line="240" w:lineRule="auto"/>
              <w:rPr>
                <w:rFonts w:cs="Times New Roman"/>
                <w:szCs w:val="24"/>
              </w:rPr>
            </w:pPr>
            <w:r w:rsidRPr="004F62D5">
              <w:t>0.5788</w:t>
            </w:r>
          </w:p>
        </w:tc>
      </w:tr>
      <w:tr w:rsidR="00F57D98" w14:paraId="0D334732" w14:textId="77777777" w:rsidTr="00D12C63">
        <w:tc>
          <w:tcPr>
            <w:tcW w:w="1341" w:type="dxa"/>
            <w:tcBorders>
              <w:left w:val="nil"/>
            </w:tcBorders>
          </w:tcPr>
          <w:p w14:paraId="332BEFAA" w14:textId="77777777" w:rsidR="00F57D98" w:rsidRDefault="00F57D98" w:rsidP="00F57D98">
            <w:pPr>
              <w:spacing w:line="240" w:lineRule="auto"/>
              <w:rPr>
                <w:lang w:val="en-US"/>
              </w:rPr>
            </w:pPr>
            <w:r>
              <w:rPr>
                <w:lang w:val="en-US"/>
              </w:rPr>
              <w:t>February</w:t>
            </w:r>
          </w:p>
        </w:tc>
        <w:tc>
          <w:tcPr>
            <w:tcW w:w="2297" w:type="dxa"/>
          </w:tcPr>
          <w:p w14:paraId="379612D1" w14:textId="15057E2C" w:rsidR="00F57D98" w:rsidRDefault="00F57D98" w:rsidP="00F57D98">
            <w:pPr>
              <w:spacing w:line="240" w:lineRule="auto"/>
              <w:rPr>
                <w:lang w:val="en-US"/>
              </w:rPr>
            </w:pPr>
            <w:r w:rsidRPr="00B81766">
              <w:t>0.3840</w:t>
            </w:r>
          </w:p>
        </w:tc>
        <w:tc>
          <w:tcPr>
            <w:tcW w:w="1664" w:type="dxa"/>
          </w:tcPr>
          <w:p w14:paraId="135CAF66" w14:textId="77777777" w:rsidR="00F57D98" w:rsidRDefault="00F57D98" w:rsidP="00F57D98">
            <w:pPr>
              <w:spacing w:line="240" w:lineRule="auto"/>
            </w:pPr>
            <w:r w:rsidRPr="00FA6296">
              <w:t>0</w:t>
            </w:r>
          </w:p>
        </w:tc>
        <w:tc>
          <w:tcPr>
            <w:tcW w:w="1664" w:type="dxa"/>
          </w:tcPr>
          <w:p w14:paraId="65C19CDE" w14:textId="36870028" w:rsidR="00F57D98" w:rsidRPr="00AA522C" w:rsidRDefault="00F57D98" w:rsidP="00F57D98">
            <w:pPr>
              <w:spacing w:line="240" w:lineRule="auto"/>
              <w:rPr>
                <w:rFonts w:cs="Times New Roman"/>
                <w:szCs w:val="24"/>
              </w:rPr>
            </w:pPr>
            <w:r w:rsidRPr="004F62D5">
              <w:t>0.4295</w:t>
            </w:r>
          </w:p>
        </w:tc>
        <w:tc>
          <w:tcPr>
            <w:tcW w:w="1664" w:type="dxa"/>
            <w:tcBorders>
              <w:right w:val="nil"/>
            </w:tcBorders>
          </w:tcPr>
          <w:p w14:paraId="4FABCF0F" w14:textId="375EAD8E" w:rsidR="00F57D98" w:rsidRPr="00AA522C" w:rsidRDefault="00F57D98" w:rsidP="00F57D98">
            <w:pPr>
              <w:spacing w:line="240" w:lineRule="auto"/>
              <w:rPr>
                <w:rFonts w:cs="Times New Roman"/>
                <w:szCs w:val="24"/>
              </w:rPr>
            </w:pPr>
            <w:r w:rsidRPr="004F62D5">
              <w:t>0.4682</w:t>
            </w:r>
          </w:p>
        </w:tc>
      </w:tr>
      <w:tr w:rsidR="00F57D98" w14:paraId="4B318D67" w14:textId="77777777" w:rsidTr="00D12C63">
        <w:tc>
          <w:tcPr>
            <w:tcW w:w="1341" w:type="dxa"/>
            <w:tcBorders>
              <w:left w:val="nil"/>
            </w:tcBorders>
          </w:tcPr>
          <w:p w14:paraId="033F0D5A" w14:textId="77777777" w:rsidR="00F57D98" w:rsidRDefault="00F57D98" w:rsidP="00F57D98">
            <w:pPr>
              <w:spacing w:line="240" w:lineRule="auto"/>
              <w:rPr>
                <w:lang w:val="en-US"/>
              </w:rPr>
            </w:pPr>
            <w:r>
              <w:rPr>
                <w:lang w:val="en-US"/>
              </w:rPr>
              <w:t>March</w:t>
            </w:r>
          </w:p>
        </w:tc>
        <w:tc>
          <w:tcPr>
            <w:tcW w:w="2297" w:type="dxa"/>
          </w:tcPr>
          <w:p w14:paraId="24EFF46A" w14:textId="63BA7DF2" w:rsidR="00F57D98" w:rsidRDefault="00F57D98" w:rsidP="00F57D98">
            <w:pPr>
              <w:spacing w:line="240" w:lineRule="auto"/>
              <w:rPr>
                <w:lang w:val="en-US"/>
              </w:rPr>
            </w:pPr>
            <w:r w:rsidRPr="00B81766">
              <w:t>0.3208</w:t>
            </w:r>
          </w:p>
        </w:tc>
        <w:tc>
          <w:tcPr>
            <w:tcW w:w="1664" w:type="dxa"/>
          </w:tcPr>
          <w:p w14:paraId="24803B43" w14:textId="77777777" w:rsidR="00F57D98" w:rsidRDefault="00F57D98" w:rsidP="00F57D98">
            <w:pPr>
              <w:spacing w:line="240" w:lineRule="auto"/>
            </w:pPr>
            <w:r w:rsidRPr="00FA6296">
              <w:t>0</w:t>
            </w:r>
          </w:p>
        </w:tc>
        <w:tc>
          <w:tcPr>
            <w:tcW w:w="1664" w:type="dxa"/>
          </w:tcPr>
          <w:p w14:paraId="666E3F05" w14:textId="7A1EB1C4" w:rsidR="00F57D98" w:rsidRPr="00AA522C" w:rsidRDefault="00F57D98" w:rsidP="00F57D98">
            <w:pPr>
              <w:spacing w:line="240" w:lineRule="auto"/>
              <w:rPr>
                <w:rFonts w:cs="Times New Roman"/>
                <w:szCs w:val="24"/>
              </w:rPr>
            </w:pPr>
            <w:r w:rsidRPr="004F62D5">
              <w:t>0.0817</w:t>
            </w:r>
          </w:p>
        </w:tc>
        <w:tc>
          <w:tcPr>
            <w:tcW w:w="1664" w:type="dxa"/>
            <w:tcBorders>
              <w:right w:val="nil"/>
            </w:tcBorders>
          </w:tcPr>
          <w:p w14:paraId="2E74A02C" w14:textId="5BFC7390" w:rsidR="00F57D98" w:rsidRPr="00AA522C" w:rsidRDefault="00F57D98" w:rsidP="00F57D98">
            <w:pPr>
              <w:spacing w:line="240" w:lineRule="auto"/>
              <w:rPr>
                <w:rFonts w:cs="Times New Roman"/>
                <w:szCs w:val="24"/>
              </w:rPr>
            </w:pPr>
            <w:r w:rsidRPr="004F62D5">
              <w:t>0.4936</w:t>
            </w:r>
          </w:p>
        </w:tc>
      </w:tr>
      <w:tr w:rsidR="00F57D98" w14:paraId="4142D6A1" w14:textId="77777777" w:rsidTr="00D12C63">
        <w:tc>
          <w:tcPr>
            <w:tcW w:w="1341" w:type="dxa"/>
            <w:tcBorders>
              <w:left w:val="nil"/>
            </w:tcBorders>
          </w:tcPr>
          <w:p w14:paraId="470A84F4" w14:textId="77777777" w:rsidR="00F57D98" w:rsidRDefault="00F57D98" w:rsidP="00F57D98">
            <w:pPr>
              <w:spacing w:line="240" w:lineRule="auto"/>
              <w:rPr>
                <w:lang w:val="en-US"/>
              </w:rPr>
            </w:pPr>
            <w:r>
              <w:rPr>
                <w:lang w:val="en-US"/>
              </w:rPr>
              <w:t>April</w:t>
            </w:r>
          </w:p>
        </w:tc>
        <w:tc>
          <w:tcPr>
            <w:tcW w:w="2297" w:type="dxa"/>
          </w:tcPr>
          <w:p w14:paraId="799B6AFD" w14:textId="07A50D87" w:rsidR="00F57D98" w:rsidRDefault="00F57D98" w:rsidP="00F57D98">
            <w:pPr>
              <w:spacing w:line="240" w:lineRule="auto"/>
              <w:rPr>
                <w:lang w:val="en-US"/>
              </w:rPr>
            </w:pPr>
            <w:r w:rsidRPr="00B81766">
              <w:t>0.3732</w:t>
            </w:r>
          </w:p>
        </w:tc>
        <w:tc>
          <w:tcPr>
            <w:tcW w:w="1664" w:type="dxa"/>
          </w:tcPr>
          <w:p w14:paraId="5A6470C2" w14:textId="77777777" w:rsidR="00F57D98" w:rsidRDefault="00F57D98" w:rsidP="00F57D98">
            <w:pPr>
              <w:spacing w:line="240" w:lineRule="auto"/>
            </w:pPr>
            <w:r w:rsidRPr="00FA6296">
              <w:t>0</w:t>
            </w:r>
          </w:p>
        </w:tc>
        <w:tc>
          <w:tcPr>
            <w:tcW w:w="1664" w:type="dxa"/>
          </w:tcPr>
          <w:p w14:paraId="5A469E43" w14:textId="7CD76A60" w:rsidR="00F57D98" w:rsidRPr="00AA522C" w:rsidRDefault="00F57D98" w:rsidP="00F57D98">
            <w:pPr>
              <w:spacing w:line="240" w:lineRule="auto"/>
              <w:rPr>
                <w:rFonts w:cs="Times New Roman"/>
                <w:szCs w:val="24"/>
              </w:rPr>
            </w:pPr>
            <w:r w:rsidRPr="004F62D5">
              <w:t>0.3894</w:t>
            </w:r>
          </w:p>
        </w:tc>
        <w:tc>
          <w:tcPr>
            <w:tcW w:w="1664" w:type="dxa"/>
            <w:tcBorders>
              <w:right w:val="nil"/>
            </w:tcBorders>
          </w:tcPr>
          <w:p w14:paraId="62325DBC" w14:textId="29414034" w:rsidR="00F57D98" w:rsidRPr="00AA522C" w:rsidRDefault="00F57D98" w:rsidP="00F57D98">
            <w:pPr>
              <w:spacing w:line="240" w:lineRule="auto"/>
              <w:rPr>
                <w:rFonts w:cs="Times New Roman"/>
                <w:szCs w:val="24"/>
              </w:rPr>
            </w:pPr>
            <w:r w:rsidRPr="004F62D5">
              <w:t>0.4773</w:t>
            </w:r>
          </w:p>
        </w:tc>
      </w:tr>
      <w:tr w:rsidR="00F57D98" w14:paraId="68F2A1FA" w14:textId="77777777" w:rsidTr="00D12C63">
        <w:tc>
          <w:tcPr>
            <w:tcW w:w="1341" w:type="dxa"/>
            <w:tcBorders>
              <w:left w:val="nil"/>
            </w:tcBorders>
          </w:tcPr>
          <w:p w14:paraId="3C30B674" w14:textId="77777777" w:rsidR="00F57D98" w:rsidRDefault="00F57D98" w:rsidP="00F57D98">
            <w:pPr>
              <w:spacing w:line="240" w:lineRule="auto"/>
              <w:rPr>
                <w:lang w:val="en-US"/>
              </w:rPr>
            </w:pPr>
            <w:r>
              <w:rPr>
                <w:lang w:val="en-US"/>
              </w:rPr>
              <w:t>May</w:t>
            </w:r>
          </w:p>
        </w:tc>
        <w:tc>
          <w:tcPr>
            <w:tcW w:w="2297" w:type="dxa"/>
          </w:tcPr>
          <w:p w14:paraId="33D4636C" w14:textId="66C0F4D1" w:rsidR="00F57D98" w:rsidRDefault="00F57D98" w:rsidP="00F57D98">
            <w:pPr>
              <w:spacing w:line="240" w:lineRule="auto"/>
              <w:rPr>
                <w:lang w:val="en-US"/>
              </w:rPr>
            </w:pPr>
            <w:r w:rsidRPr="00B81766">
              <w:t>0.2536</w:t>
            </w:r>
          </w:p>
        </w:tc>
        <w:tc>
          <w:tcPr>
            <w:tcW w:w="1664" w:type="dxa"/>
          </w:tcPr>
          <w:p w14:paraId="75F6F38F" w14:textId="77777777" w:rsidR="00F57D98" w:rsidRDefault="00F57D98" w:rsidP="00F57D98">
            <w:pPr>
              <w:spacing w:line="240" w:lineRule="auto"/>
            </w:pPr>
            <w:r w:rsidRPr="00FA6296">
              <w:t>0</w:t>
            </w:r>
          </w:p>
        </w:tc>
        <w:tc>
          <w:tcPr>
            <w:tcW w:w="1664" w:type="dxa"/>
          </w:tcPr>
          <w:p w14:paraId="1DEAA02D" w14:textId="50930197" w:rsidR="00F57D98" w:rsidRPr="00AA522C" w:rsidRDefault="00F57D98" w:rsidP="00F57D98">
            <w:pPr>
              <w:spacing w:line="240" w:lineRule="auto"/>
              <w:rPr>
                <w:rFonts w:cs="Times New Roman"/>
                <w:szCs w:val="24"/>
              </w:rPr>
            </w:pPr>
            <w:r w:rsidRPr="004F62D5">
              <w:t>0.3279</w:t>
            </w:r>
          </w:p>
        </w:tc>
        <w:tc>
          <w:tcPr>
            <w:tcW w:w="1664" w:type="dxa"/>
            <w:tcBorders>
              <w:right w:val="nil"/>
            </w:tcBorders>
          </w:tcPr>
          <w:p w14:paraId="4D0F8F20" w14:textId="46BF88C8" w:rsidR="00F57D98" w:rsidRPr="00AA522C" w:rsidRDefault="00F57D98" w:rsidP="00F57D98">
            <w:pPr>
              <w:spacing w:line="240" w:lineRule="auto"/>
              <w:rPr>
                <w:rFonts w:cs="Times New Roman"/>
                <w:szCs w:val="24"/>
              </w:rPr>
            </w:pPr>
            <w:r w:rsidRPr="004F62D5">
              <w:t>0.1330</w:t>
            </w:r>
          </w:p>
        </w:tc>
      </w:tr>
      <w:tr w:rsidR="00F57D98" w14:paraId="2082EF7C" w14:textId="77777777" w:rsidTr="00D12C63">
        <w:tc>
          <w:tcPr>
            <w:tcW w:w="1341" w:type="dxa"/>
            <w:tcBorders>
              <w:left w:val="nil"/>
            </w:tcBorders>
          </w:tcPr>
          <w:p w14:paraId="3F3CEE7A" w14:textId="77777777" w:rsidR="00F57D98" w:rsidRDefault="00F57D98" w:rsidP="00F57D98">
            <w:pPr>
              <w:spacing w:line="240" w:lineRule="auto"/>
              <w:rPr>
                <w:lang w:val="en-US"/>
              </w:rPr>
            </w:pPr>
            <w:r>
              <w:rPr>
                <w:lang w:val="en-US"/>
              </w:rPr>
              <w:t>June</w:t>
            </w:r>
          </w:p>
        </w:tc>
        <w:tc>
          <w:tcPr>
            <w:tcW w:w="2297" w:type="dxa"/>
          </w:tcPr>
          <w:p w14:paraId="1F95A56D" w14:textId="371B99CA" w:rsidR="00F57D98" w:rsidRDefault="00F57D98" w:rsidP="00F57D98">
            <w:pPr>
              <w:spacing w:line="240" w:lineRule="auto"/>
              <w:rPr>
                <w:lang w:val="en-US"/>
              </w:rPr>
            </w:pPr>
            <w:r w:rsidRPr="00B81766">
              <w:t>0.2484</w:t>
            </w:r>
          </w:p>
        </w:tc>
        <w:tc>
          <w:tcPr>
            <w:tcW w:w="1664" w:type="dxa"/>
          </w:tcPr>
          <w:p w14:paraId="4AF7F7AD" w14:textId="77777777" w:rsidR="00F57D98" w:rsidRDefault="00F57D98" w:rsidP="00F57D98">
            <w:pPr>
              <w:spacing w:line="240" w:lineRule="auto"/>
            </w:pPr>
            <w:r w:rsidRPr="00FA6296">
              <w:t>0</w:t>
            </w:r>
          </w:p>
        </w:tc>
        <w:tc>
          <w:tcPr>
            <w:tcW w:w="1664" w:type="dxa"/>
          </w:tcPr>
          <w:p w14:paraId="25E580B7" w14:textId="42029C08" w:rsidR="00F57D98" w:rsidRPr="00AA522C" w:rsidRDefault="00F57D98" w:rsidP="00F57D98">
            <w:pPr>
              <w:spacing w:line="240" w:lineRule="auto"/>
              <w:rPr>
                <w:rFonts w:cs="Times New Roman"/>
                <w:szCs w:val="24"/>
              </w:rPr>
            </w:pPr>
            <w:r w:rsidRPr="004F62D5">
              <w:t>0.3092</w:t>
            </w:r>
          </w:p>
        </w:tc>
        <w:tc>
          <w:tcPr>
            <w:tcW w:w="1664" w:type="dxa"/>
            <w:tcBorders>
              <w:right w:val="nil"/>
            </w:tcBorders>
          </w:tcPr>
          <w:p w14:paraId="7087B04A" w14:textId="2997D0D2" w:rsidR="00F57D98" w:rsidRPr="00AA522C" w:rsidRDefault="00F57D98" w:rsidP="00F57D98">
            <w:pPr>
              <w:spacing w:line="240" w:lineRule="auto"/>
              <w:rPr>
                <w:rFonts w:cs="Times New Roman"/>
                <w:szCs w:val="24"/>
              </w:rPr>
            </w:pPr>
            <w:r w:rsidRPr="004F62D5">
              <w:t>0.1727</w:t>
            </w:r>
          </w:p>
        </w:tc>
      </w:tr>
      <w:tr w:rsidR="00F57D98" w14:paraId="124628BE" w14:textId="77777777" w:rsidTr="00D12C63">
        <w:tc>
          <w:tcPr>
            <w:tcW w:w="1341" w:type="dxa"/>
            <w:tcBorders>
              <w:left w:val="nil"/>
            </w:tcBorders>
          </w:tcPr>
          <w:p w14:paraId="5A2A3167" w14:textId="77777777" w:rsidR="00F57D98" w:rsidRDefault="00F57D98" w:rsidP="00F57D98">
            <w:pPr>
              <w:spacing w:line="240" w:lineRule="auto"/>
              <w:rPr>
                <w:lang w:val="en-US"/>
              </w:rPr>
            </w:pPr>
            <w:r>
              <w:rPr>
                <w:lang w:val="en-US"/>
              </w:rPr>
              <w:t>July</w:t>
            </w:r>
          </w:p>
        </w:tc>
        <w:tc>
          <w:tcPr>
            <w:tcW w:w="2297" w:type="dxa"/>
          </w:tcPr>
          <w:p w14:paraId="1FB60F97" w14:textId="29BADA3F" w:rsidR="00F57D98" w:rsidRDefault="00F57D98" w:rsidP="00F57D98">
            <w:pPr>
              <w:spacing w:line="240" w:lineRule="auto"/>
              <w:rPr>
                <w:lang w:val="en-US"/>
              </w:rPr>
            </w:pPr>
            <w:r w:rsidRPr="00B81766">
              <w:t>0.2682</w:t>
            </w:r>
          </w:p>
        </w:tc>
        <w:tc>
          <w:tcPr>
            <w:tcW w:w="1664" w:type="dxa"/>
          </w:tcPr>
          <w:p w14:paraId="2680DF29" w14:textId="77777777" w:rsidR="00F57D98" w:rsidRDefault="00F57D98" w:rsidP="00F57D98">
            <w:pPr>
              <w:spacing w:line="240" w:lineRule="auto"/>
            </w:pPr>
            <w:r w:rsidRPr="00FA6296">
              <w:t>0</w:t>
            </w:r>
          </w:p>
        </w:tc>
        <w:tc>
          <w:tcPr>
            <w:tcW w:w="1664" w:type="dxa"/>
          </w:tcPr>
          <w:p w14:paraId="38FDF06D" w14:textId="77DE02E7" w:rsidR="00F57D98" w:rsidRPr="00AA522C" w:rsidRDefault="00F57D98" w:rsidP="00F57D98">
            <w:pPr>
              <w:spacing w:line="240" w:lineRule="auto"/>
              <w:rPr>
                <w:rFonts w:cs="Times New Roman"/>
                <w:szCs w:val="24"/>
              </w:rPr>
            </w:pPr>
            <w:r w:rsidRPr="004F62D5">
              <w:t>0.3448</w:t>
            </w:r>
          </w:p>
        </w:tc>
        <w:tc>
          <w:tcPr>
            <w:tcW w:w="1664" w:type="dxa"/>
            <w:tcBorders>
              <w:right w:val="nil"/>
            </w:tcBorders>
          </w:tcPr>
          <w:p w14:paraId="00FD58D9" w14:textId="0F2E33ED" w:rsidR="00F57D98" w:rsidRPr="00AA522C" w:rsidRDefault="00F57D98" w:rsidP="00F57D98">
            <w:pPr>
              <w:spacing w:line="240" w:lineRule="auto"/>
              <w:rPr>
                <w:rFonts w:cs="Times New Roman"/>
                <w:szCs w:val="24"/>
              </w:rPr>
            </w:pPr>
            <w:r w:rsidRPr="004F62D5">
              <w:t>0.1586</w:t>
            </w:r>
          </w:p>
        </w:tc>
      </w:tr>
      <w:tr w:rsidR="00F57D98" w14:paraId="7338D390" w14:textId="77777777" w:rsidTr="00D12C63">
        <w:tc>
          <w:tcPr>
            <w:tcW w:w="1341" w:type="dxa"/>
            <w:tcBorders>
              <w:left w:val="nil"/>
            </w:tcBorders>
          </w:tcPr>
          <w:p w14:paraId="2895C570" w14:textId="77777777" w:rsidR="00F57D98" w:rsidRDefault="00F57D98" w:rsidP="00F57D98">
            <w:pPr>
              <w:spacing w:line="240" w:lineRule="auto"/>
              <w:rPr>
                <w:lang w:val="en-US"/>
              </w:rPr>
            </w:pPr>
            <w:r>
              <w:rPr>
                <w:lang w:val="en-US"/>
              </w:rPr>
              <w:t>August</w:t>
            </w:r>
          </w:p>
        </w:tc>
        <w:tc>
          <w:tcPr>
            <w:tcW w:w="2297" w:type="dxa"/>
          </w:tcPr>
          <w:p w14:paraId="14C41273" w14:textId="1ADCA02A" w:rsidR="00F57D98" w:rsidRDefault="00F57D98" w:rsidP="00F57D98">
            <w:pPr>
              <w:spacing w:line="240" w:lineRule="auto"/>
              <w:rPr>
                <w:lang w:val="en-US"/>
              </w:rPr>
            </w:pPr>
            <w:r w:rsidRPr="00B81766">
              <w:t>0.2953</w:t>
            </w:r>
          </w:p>
        </w:tc>
        <w:tc>
          <w:tcPr>
            <w:tcW w:w="1664" w:type="dxa"/>
          </w:tcPr>
          <w:p w14:paraId="41047CD0" w14:textId="77777777" w:rsidR="00F57D98" w:rsidRDefault="00F57D98" w:rsidP="00F57D98">
            <w:pPr>
              <w:spacing w:line="240" w:lineRule="auto"/>
            </w:pPr>
            <w:r w:rsidRPr="00FA6296">
              <w:t>0</w:t>
            </w:r>
          </w:p>
        </w:tc>
        <w:tc>
          <w:tcPr>
            <w:tcW w:w="1664" w:type="dxa"/>
          </w:tcPr>
          <w:p w14:paraId="64350E24" w14:textId="3930AE64" w:rsidR="00F57D98" w:rsidRPr="00AA522C" w:rsidRDefault="00F57D98" w:rsidP="00F57D98">
            <w:pPr>
              <w:spacing w:line="240" w:lineRule="auto"/>
              <w:rPr>
                <w:rFonts w:cs="Times New Roman"/>
                <w:szCs w:val="24"/>
              </w:rPr>
            </w:pPr>
            <w:r w:rsidRPr="004F62D5">
              <w:t>0.3819</w:t>
            </w:r>
          </w:p>
        </w:tc>
        <w:tc>
          <w:tcPr>
            <w:tcW w:w="1664" w:type="dxa"/>
            <w:tcBorders>
              <w:right w:val="nil"/>
            </w:tcBorders>
          </w:tcPr>
          <w:p w14:paraId="626C63AD" w14:textId="40661680" w:rsidR="00F57D98" w:rsidRPr="00AA522C" w:rsidRDefault="00F57D98" w:rsidP="00F57D98">
            <w:pPr>
              <w:spacing w:line="240" w:lineRule="auto"/>
              <w:rPr>
                <w:rFonts w:cs="Times New Roman"/>
                <w:szCs w:val="24"/>
              </w:rPr>
            </w:pPr>
            <w:r w:rsidRPr="004F62D5">
              <w:t>0.1506</w:t>
            </w:r>
          </w:p>
        </w:tc>
      </w:tr>
      <w:tr w:rsidR="00F57D98" w14:paraId="20663E35" w14:textId="77777777" w:rsidTr="00D12C63">
        <w:tc>
          <w:tcPr>
            <w:tcW w:w="1341" w:type="dxa"/>
            <w:tcBorders>
              <w:left w:val="nil"/>
            </w:tcBorders>
          </w:tcPr>
          <w:p w14:paraId="661934D8" w14:textId="77777777" w:rsidR="00F57D98" w:rsidRDefault="00F57D98" w:rsidP="00F57D98">
            <w:pPr>
              <w:spacing w:line="240" w:lineRule="auto"/>
              <w:rPr>
                <w:lang w:val="en-US"/>
              </w:rPr>
            </w:pPr>
            <w:r>
              <w:rPr>
                <w:lang w:val="en-US"/>
              </w:rPr>
              <w:t>September</w:t>
            </w:r>
          </w:p>
        </w:tc>
        <w:tc>
          <w:tcPr>
            <w:tcW w:w="2297" w:type="dxa"/>
          </w:tcPr>
          <w:p w14:paraId="700D3448" w14:textId="1C1172E0" w:rsidR="00F57D98" w:rsidRDefault="00F57D98" w:rsidP="00F57D98">
            <w:pPr>
              <w:spacing w:line="240" w:lineRule="auto"/>
              <w:rPr>
                <w:lang w:val="en-US"/>
              </w:rPr>
            </w:pPr>
            <w:r w:rsidRPr="00B81766">
              <w:t>0.2586</w:t>
            </w:r>
          </w:p>
        </w:tc>
        <w:tc>
          <w:tcPr>
            <w:tcW w:w="1664" w:type="dxa"/>
          </w:tcPr>
          <w:p w14:paraId="459BAAFD" w14:textId="77777777" w:rsidR="00F57D98" w:rsidRDefault="00F57D98" w:rsidP="00F57D98">
            <w:pPr>
              <w:spacing w:line="240" w:lineRule="auto"/>
            </w:pPr>
            <w:r w:rsidRPr="00FA6296">
              <w:t>0</w:t>
            </w:r>
          </w:p>
        </w:tc>
        <w:tc>
          <w:tcPr>
            <w:tcW w:w="1664" w:type="dxa"/>
          </w:tcPr>
          <w:p w14:paraId="7FFB770F" w14:textId="0D805E3B" w:rsidR="00F57D98" w:rsidRPr="00AA522C" w:rsidRDefault="00F57D98" w:rsidP="00F57D98">
            <w:pPr>
              <w:spacing w:line="240" w:lineRule="auto"/>
              <w:rPr>
                <w:rFonts w:cs="Times New Roman"/>
                <w:szCs w:val="24"/>
              </w:rPr>
            </w:pPr>
            <w:r w:rsidRPr="004F62D5">
              <w:t>0.3079</w:t>
            </w:r>
          </w:p>
        </w:tc>
        <w:tc>
          <w:tcPr>
            <w:tcW w:w="1664" w:type="dxa"/>
            <w:tcBorders>
              <w:right w:val="nil"/>
            </w:tcBorders>
          </w:tcPr>
          <w:p w14:paraId="6D1381C4" w14:textId="27ED9274" w:rsidR="00F57D98" w:rsidRPr="00AA522C" w:rsidRDefault="00F57D98" w:rsidP="00F57D98">
            <w:pPr>
              <w:spacing w:line="240" w:lineRule="auto"/>
              <w:rPr>
                <w:rFonts w:cs="Times New Roman"/>
                <w:szCs w:val="24"/>
              </w:rPr>
            </w:pPr>
            <w:r w:rsidRPr="004F62D5">
              <w:t>0.1677</w:t>
            </w:r>
          </w:p>
        </w:tc>
      </w:tr>
      <w:tr w:rsidR="00F57D98" w14:paraId="7B43B503" w14:textId="77777777" w:rsidTr="00D12C63">
        <w:tc>
          <w:tcPr>
            <w:tcW w:w="1341" w:type="dxa"/>
            <w:tcBorders>
              <w:left w:val="nil"/>
            </w:tcBorders>
          </w:tcPr>
          <w:p w14:paraId="0D6D306D" w14:textId="77777777" w:rsidR="00F57D98" w:rsidRDefault="00F57D98" w:rsidP="00F57D98">
            <w:pPr>
              <w:spacing w:line="240" w:lineRule="auto"/>
              <w:rPr>
                <w:lang w:val="en-US"/>
              </w:rPr>
            </w:pPr>
            <w:r>
              <w:rPr>
                <w:lang w:val="en-US"/>
              </w:rPr>
              <w:t>October</w:t>
            </w:r>
          </w:p>
        </w:tc>
        <w:tc>
          <w:tcPr>
            <w:tcW w:w="2297" w:type="dxa"/>
          </w:tcPr>
          <w:p w14:paraId="30E78FC7" w14:textId="539FDF78" w:rsidR="00F57D98" w:rsidRDefault="00F57D98" w:rsidP="00F57D98">
            <w:pPr>
              <w:spacing w:line="240" w:lineRule="auto"/>
              <w:rPr>
                <w:lang w:val="en-US"/>
              </w:rPr>
            </w:pPr>
            <w:r w:rsidRPr="00B81766">
              <w:t>0.3861</w:t>
            </w:r>
          </w:p>
        </w:tc>
        <w:tc>
          <w:tcPr>
            <w:tcW w:w="1664" w:type="dxa"/>
          </w:tcPr>
          <w:p w14:paraId="3E839864" w14:textId="77777777" w:rsidR="00F57D98" w:rsidRDefault="00F57D98" w:rsidP="00F57D98">
            <w:pPr>
              <w:spacing w:line="240" w:lineRule="auto"/>
            </w:pPr>
            <w:r w:rsidRPr="00FA6296">
              <w:t>0</w:t>
            </w:r>
          </w:p>
        </w:tc>
        <w:tc>
          <w:tcPr>
            <w:tcW w:w="1664" w:type="dxa"/>
          </w:tcPr>
          <w:p w14:paraId="5979F8A9" w14:textId="1B6760B5" w:rsidR="00F57D98" w:rsidRPr="00AA522C" w:rsidRDefault="00F57D98" w:rsidP="00F57D98">
            <w:pPr>
              <w:spacing w:line="240" w:lineRule="auto"/>
              <w:rPr>
                <w:rFonts w:cs="Times New Roman"/>
                <w:szCs w:val="24"/>
              </w:rPr>
            </w:pPr>
            <w:r w:rsidRPr="004F62D5">
              <w:t>0.3783</w:t>
            </w:r>
          </w:p>
        </w:tc>
        <w:tc>
          <w:tcPr>
            <w:tcW w:w="1664" w:type="dxa"/>
            <w:tcBorders>
              <w:right w:val="nil"/>
            </w:tcBorders>
          </w:tcPr>
          <w:p w14:paraId="37455E69" w14:textId="597C1E00" w:rsidR="00F57D98" w:rsidRPr="00AA522C" w:rsidRDefault="00F57D98" w:rsidP="00F57D98">
            <w:pPr>
              <w:spacing w:line="240" w:lineRule="auto"/>
              <w:rPr>
                <w:rFonts w:cs="Times New Roman"/>
                <w:szCs w:val="24"/>
              </w:rPr>
            </w:pPr>
            <w:r w:rsidRPr="004F62D5">
              <w:t>0.6340</w:t>
            </w:r>
          </w:p>
        </w:tc>
      </w:tr>
      <w:tr w:rsidR="00F57D98" w14:paraId="0B7C7D11" w14:textId="77777777" w:rsidTr="00D12C63">
        <w:tc>
          <w:tcPr>
            <w:tcW w:w="1341" w:type="dxa"/>
            <w:tcBorders>
              <w:left w:val="nil"/>
            </w:tcBorders>
          </w:tcPr>
          <w:p w14:paraId="6F84303E" w14:textId="77777777" w:rsidR="00F57D98" w:rsidRDefault="00F57D98" w:rsidP="00F57D98">
            <w:pPr>
              <w:spacing w:line="240" w:lineRule="auto"/>
              <w:rPr>
                <w:lang w:val="en-US"/>
              </w:rPr>
            </w:pPr>
            <w:r>
              <w:rPr>
                <w:lang w:val="en-US"/>
              </w:rPr>
              <w:t>November</w:t>
            </w:r>
          </w:p>
        </w:tc>
        <w:tc>
          <w:tcPr>
            <w:tcW w:w="2297" w:type="dxa"/>
          </w:tcPr>
          <w:p w14:paraId="3D3BB9FA" w14:textId="195FF447" w:rsidR="00F57D98" w:rsidRDefault="00F57D98" w:rsidP="00F57D98">
            <w:pPr>
              <w:spacing w:line="240" w:lineRule="auto"/>
              <w:rPr>
                <w:lang w:val="en-US"/>
              </w:rPr>
            </w:pPr>
            <w:r w:rsidRPr="00B81766">
              <w:t>0.4132</w:t>
            </w:r>
          </w:p>
        </w:tc>
        <w:tc>
          <w:tcPr>
            <w:tcW w:w="1664" w:type="dxa"/>
          </w:tcPr>
          <w:p w14:paraId="375A849C" w14:textId="77777777" w:rsidR="00F57D98" w:rsidRDefault="00F57D98" w:rsidP="00F57D98">
            <w:pPr>
              <w:spacing w:line="240" w:lineRule="auto"/>
            </w:pPr>
            <w:r w:rsidRPr="00FA6296">
              <w:t>0</w:t>
            </w:r>
          </w:p>
        </w:tc>
        <w:tc>
          <w:tcPr>
            <w:tcW w:w="1664" w:type="dxa"/>
          </w:tcPr>
          <w:p w14:paraId="269E37E1" w14:textId="1D5CB024" w:rsidR="00F57D98" w:rsidRPr="00AA522C" w:rsidRDefault="00F57D98" w:rsidP="00F57D98">
            <w:pPr>
              <w:spacing w:line="240" w:lineRule="auto"/>
              <w:rPr>
                <w:rFonts w:cs="Times New Roman"/>
                <w:szCs w:val="24"/>
              </w:rPr>
            </w:pPr>
            <w:r w:rsidRPr="004F62D5">
              <w:t>0.4096</w:t>
            </w:r>
          </w:p>
        </w:tc>
        <w:tc>
          <w:tcPr>
            <w:tcW w:w="1664" w:type="dxa"/>
            <w:tcBorders>
              <w:right w:val="nil"/>
            </w:tcBorders>
          </w:tcPr>
          <w:p w14:paraId="1ED27919" w14:textId="7078CD86" w:rsidR="00F57D98" w:rsidRPr="00AA522C" w:rsidRDefault="00F57D98" w:rsidP="00F57D98">
            <w:pPr>
              <w:spacing w:line="240" w:lineRule="auto"/>
              <w:rPr>
                <w:rFonts w:cs="Times New Roman"/>
                <w:szCs w:val="24"/>
              </w:rPr>
            </w:pPr>
            <w:r w:rsidRPr="004F62D5">
              <w:t>0.6578</w:t>
            </w:r>
          </w:p>
        </w:tc>
      </w:tr>
      <w:tr w:rsidR="00F57D98" w14:paraId="1CABD88C" w14:textId="77777777" w:rsidTr="00D12C63">
        <w:tc>
          <w:tcPr>
            <w:tcW w:w="1341" w:type="dxa"/>
            <w:tcBorders>
              <w:left w:val="nil"/>
              <w:bottom w:val="single" w:sz="4" w:space="0" w:color="auto"/>
            </w:tcBorders>
          </w:tcPr>
          <w:p w14:paraId="41D6A581" w14:textId="77777777" w:rsidR="00F57D98" w:rsidRDefault="00F57D98" w:rsidP="00F57D98">
            <w:pPr>
              <w:spacing w:line="240" w:lineRule="auto"/>
              <w:rPr>
                <w:lang w:val="en-US"/>
              </w:rPr>
            </w:pPr>
            <w:r>
              <w:rPr>
                <w:lang w:val="en-US"/>
              </w:rPr>
              <w:t>December</w:t>
            </w:r>
          </w:p>
        </w:tc>
        <w:tc>
          <w:tcPr>
            <w:tcW w:w="2297" w:type="dxa"/>
            <w:tcBorders>
              <w:bottom w:val="single" w:sz="4" w:space="0" w:color="auto"/>
            </w:tcBorders>
          </w:tcPr>
          <w:p w14:paraId="629825C5" w14:textId="382D20CB" w:rsidR="00F57D98" w:rsidRDefault="00F57D98" w:rsidP="00F57D98">
            <w:pPr>
              <w:spacing w:line="240" w:lineRule="auto"/>
              <w:rPr>
                <w:lang w:val="en-US"/>
              </w:rPr>
            </w:pPr>
            <w:r w:rsidRPr="00B81766">
              <w:t>0.5296</w:t>
            </w:r>
          </w:p>
        </w:tc>
        <w:tc>
          <w:tcPr>
            <w:tcW w:w="1664" w:type="dxa"/>
            <w:tcBorders>
              <w:bottom w:val="single" w:sz="4" w:space="0" w:color="auto"/>
            </w:tcBorders>
          </w:tcPr>
          <w:p w14:paraId="01EDE397" w14:textId="77777777" w:rsidR="00F57D98" w:rsidRDefault="00F57D98" w:rsidP="00F57D98">
            <w:pPr>
              <w:spacing w:line="240" w:lineRule="auto"/>
            </w:pPr>
            <w:r w:rsidRPr="00FA6296">
              <w:t>0</w:t>
            </w:r>
          </w:p>
        </w:tc>
        <w:tc>
          <w:tcPr>
            <w:tcW w:w="1664" w:type="dxa"/>
            <w:tcBorders>
              <w:bottom w:val="single" w:sz="4" w:space="0" w:color="auto"/>
            </w:tcBorders>
          </w:tcPr>
          <w:p w14:paraId="1E40D659" w14:textId="5079A78E" w:rsidR="00F57D98" w:rsidRPr="00AA522C" w:rsidRDefault="00F57D98" w:rsidP="00F57D98">
            <w:pPr>
              <w:spacing w:line="240" w:lineRule="auto"/>
              <w:rPr>
                <w:rFonts w:cs="Times New Roman"/>
                <w:szCs w:val="24"/>
              </w:rPr>
            </w:pPr>
            <w:r w:rsidRPr="004F62D5">
              <w:t>0.4139</w:t>
            </w:r>
          </w:p>
        </w:tc>
        <w:tc>
          <w:tcPr>
            <w:tcW w:w="1664" w:type="dxa"/>
            <w:tcBorders>
              <w:bottom w:val="single" w:sz="4" w:space="0" w:color="auto"/>
              <w:right w:val="nil"/>
            </w:tcBorders>
          </w:tcPr>
          <w:p w14:paraId="386BDA8B" w14:textId="20C51CEF" w:rsidR="00F57D98" w:rsidRPr="00AA522C" w:rsidRDefault="00F57D98" w:rsidP="00F57D98">
            <w:pPr>
              <w:spacing w:line="240" w:lineRule="auto"/>
              <w:rPr>
                <w:rFonts w:cs="Times New Roman"/>
                <w:szCs w:val="24"/>
              </w:rPr>
            </w:pPr>
            <w:r w:rsidRPr="004F62D5">
              <w:t>0.6547</w:t>
            </w:r>
          </w:p>
        </w:tc>
      </w:tr>
    </w:tbl>
    <w:p w14:paraId="079F225E" w14:textId="77777777" w:rsidR="00F57D98" w:rsidRDefault="00F57D98" w:rsidP="00F57D98">
      <w:pPr>
        <w:rPr>
          <w:lang w:val="en-US"/>
        </w:rPr>
      </w:pPr>
    </w:p>
    <w:p w14:paraId="693DB24B" w14:textId="77777777" w:rsidR="009312E6" w:rsidRDefault="009312E6" w:rsidP="00F57D98">
      <w:pPr>
        <w:jc w:val="center"/>
        <w:rPr>
          <w:b/>
          <w:lang w:val="en-US"/>
        </w:rPr>
      </w:pPr>
    </w:p>
    <w:p w14:paraId="40C4A80A" w14:textId="77777777" w:rsidR="009312E6" w:rsidRDefault="009312E6" w:rsidP="00F57D98">
      <w:pPr>
        <w:jc w:val="center"/>
        <w:rPr>
          <w:b/>
          <w:lang w:val="en-US"/>
        </w:rPr>
      </w:pPr>
    </w:p>
    <w:p w14:paraId="734BB869" w14:textId="77777777" w:rsidR="009312E6" w:rsidRDefault="009312E6" w:rsidP="00F57D98">
      <w:pPr>
        <w:jc w:val="center"/>
        <w:rPr>
          <w:b/>
          <w:lang w:val="en-US"/>
        </w:rPr>
      </w:pPr>
    </w:p>
    <w:p w14:paraId="7EF629C4" w14:textId="27237B60" w:rsidR="00F57D98" w:rsidRPr="00565960" w:rsidRDefault="00D24E78" w:rsidP="00F57D98">
      <w:pPr>
        <w:jc w:val="center"/>
        <w:rPr>
          <w:lang w:val="en-US"/>
        </w:rPr>
      </w:pPr>
      <w:r>
        <w:rPr>
          <w:b/>
          <w:lang w:val="en-US"/>
        </w:rPr>
        <w:t>Table 4.15</w:t>
      </w:r>
      <w:r w:rsidR="00F57D98">
        <w:rPr>
          <w:b/>
          <w:lang w:val="en-US"/>
        </w:rPr>
        <w:t xml:space="preserve"> – Average IVD (in %) as experienced at the loads for each month for </w:t>
      </w:r>
      <w:r w:rsidR="008B3D06">
        <w:rPr>
          <w:b/>
          <w:lang w:val="en-US"/>
        </w:rPr>
        <w:t xml:space="preserve">the </w:t>
      </w:r>
      <w:r w:rsidR="00F57D98">
        <w:rPr>
          <w:b/>
          <w:lang w:val="en-US"/>
        </w:rPr>
        <w:t>last three buses in the Second Scenario.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2297"/>
        <w:gridCol w:w="1664"/>
        <w:gridCol w:w="1664"/>
        <w:gridCol w:w="1664"/>
      </w:tblGrid>
      <w:tr w:rsidR="00F57D98" w14:paraId="7D940F88" w14:textId="77777777" w:rsidTr="00D12C63">
        <w:tc>
          <w:tcPr>
            <w:tcW w:w="1341" w:type="dxa"/>
            <w:tcBorders>
              <w:top w:val="single" w:sz="4" w:space="0" w:color="auto"/>
              <w:bottom w:val="single" w:sz="4" w:space="0" w:color="auto"/>
            </w:tcBorders>
          </w:tcPr>
          <w:p w14:paraId="44AD3831" w14:textId="77777777" w:rsidR="00F57D98" w:rsidRDefault="00F57D98" w:rsidP="00D12C63">
            <w:pPr>
              <w:spacing w:line="240" w:lineRule="auto"/>
              <w:rPr>
                <w:lang w:val="en-US"/>
              </w:rPr>
            </w:pPr>
            <w:r>
              <w:rPr>
                <w:lang w:val="en-US"/>
              </w:rPr>
              <w:t xml:space="preserve">Month </w:t>
            </w:r>
          </w:p>
        </w:tc>
        <w:tc>
          <w:tcPr>
            <w:tcW w:w="2297" w:type="dxa"/>
            <w:tcBorders>
              <w:top w:val="single" w:sz="4" w:space="0" w:color="auto"/>
              <w:bottom w:val="single" w:sz="4" w:space="0" w:color="auto"/>
            </w:tcBorders>
            <w:vAlign w:val="center"/>
          </w:tcPr>
          <w:p w14:paraId="44519089" w14:textId="77777777" w:rsidR="00F57D98" w:rsidRDefault="00F57D98" w:rsidP="00D12C63">
            <w:pPr>
              <w:spacing w:line="240" w:lineRule="auto"/>
            </w:pPr>
            <w:r>
              <w:t>System Average</w:t>
            </w:r>
          </w:p>
        </w:tc>
        <w:tc>
          <w:tcPr>
            <w:tcW w:w="1664" w:type="dxa"/>
            <w:tcBorders>
              <w:top w:val="single" w:sz="4" w:space="0" w:color="auto"/>
              <w:bottom w:val="single" w:sz="4" w:space="0" w:color="auto"/>
            </w:tcBorders>
          </w:tcPr>
          <w:p w14:paraId="08229E5B" w14:textId="77777777" w:rsidR="00F57D98" w:rsidRDefault="00F57D98" w:rsidP="00D12C63">
            <w:pPr>
              <w:spacing w:line="240" w:lineRule="auto"/>
            </w:pPr>
            <w:r>
              <w:t>Bus 4</w:t>
            </w:r>
          </w:p>
        </w:tc>
        <w:tc>
          <w:tcPr>
            <w:tcW w:w="1664" w:type="dxa"/>
            <w:tcBorders>
              <w:top w:val="single" w:sz="4" w:space="0" w:color="auto"/>
              <w:bottom w:val="single" w:sz="4" w:space="0" w:color="auto"/>
            </w:tcBorders>
          </w:tcPr>
          <w:p w14:paraId="3321C095" w14:textId="77777777" w:rsidR="00F57D98" w:rsidRDefault="00F57D98" w:rsidP="00D12C63">
            <w:pPr>
              <w:spacing w:line="240" w:lineRule="auto"/>
            </w:pPr>
            <w:r>
              <w:t>Bus 5</w:t>
            </w:r>
          </w:p>
        </w:tc>
        <w:tc>
          <w:tcPr>
            <w:tcW w:w="1664" w:type="dxa"/>
            <w:tcBorders>
              <w:top w:val="single" w:sz="4" w:space="0" w:color="auto"/>
              <w:bottom w:val="single" w:sz="4" w:space="0" w:color="auto"/>
            </w:tcBorders>
          </w:tcPr>
          <w:p w14:paraId="30E5DE76" w14:textId="77777777" w:rsidR="00F57D98" w:rsidRDefault="00F57D98" w:rsidP="00D12C63">
            <w:pPr>
              <w:spacing w:line="240" w:lineRule="auto"/>
            </w:pPr>
            <w:r>
              <w:t>Bus 6</w:t>
            </w:r>
          </w:p>
        </w:tc>
      </w:tr>
      <w:tr w:rsidR="00F57D98" w14:paraId="60D11667" w14:textId="77777777" w:rsidTr="00D12C63">
        <w:tc>
          <w:tcPr>
            <w:tcW w:w="1341" w:type="dxa"/>
            <w:tcBorders>
              <w:top w:val="single" w:sz="4" w:space="0" w:color="auto"/>
            </w:tcBorders>
          </w:tcPr>
          <w:p w14:paraId="3424DD3A" w14:textId="77777777" w:rsidR="00F57D98" w:rsidRDefault="00F57D98" w:rsidP="00F57D98">
            <w:pPr>
              <w:spacing w:line="240" w:lineRule="auto"/>
              <w:rPr>
                <w:lang w:val="en-US"/>
              </w:rPr>
            </w:pPr>
            <w:r>
              <w:rPr>
                <w:lang w:val="en-US"/>
              </w:rPr>
              <w:t>January</w:t>
            </w:r>
          </w:p>
        </w:tc>
        <w:tc>
          <w:tcPr>
            <w:tcW w:w="2297" w:type="dxa"/>
            <w:tcBorders>
              <w:top w:val="single" w:sz="4" w:space="0" w:color="auto"/>
            </w:tcBorders>
          </w:tcPr>
          <w:p w14:paraId="0547C7A0" w14:textId="1005AAEA" w:rsidR="00F57D98" w:rsidRDefault="00F57D98" w:rsidP="00F57D98">
            <w:pPr>
              <w:spacing w:line="240" w:lineRule="auto"/>
              <w:rPr>
                <w:lang w:val="en-US"/>
              </w:rPr>
            </w:pPr>
            <w:r w:rsidRPr="00047D0D">
              <w:t>0.4830</w:t>
            </w:r>
          </w:p>
        </w:tc>
        <w:tc>
          <w:tcPr>
            <w:tcW w:w="1664" w:type="dxa"/>
            <w:tcBorders>
              <w:top w:val="single" w:sz="4" w:space="0" w:color="auto"/>
            </w:tcBorders>
          </w:tcPr>
          <w:p w14:paraId="2DC1F887" w14:textId="093DDA4C" w:rsidR="00F57D98" w:rsidRDefault="00F57D98" w:rsidP="00F57D98">
            <w:pPr>
              <w:spacing w:line="240" w:lineRule="auto"/>
            </w:pPr>
            <w:r w:rsidRPr="003F4FEA">
              <w:t>0.4909</w:t>
            </w:r>
          </w:p>
        </w:tc>
        <w:tc>
          <w:tcPr>
            <w:tcW w:w="1664" w:type="dxa"/>
            <w:tcBorders>
              <w:top w:val="single" w:sz="4" w:space="0" w:color="auto"/>
            </w:tcBorders>
          </w:tcPr>
          <w:p w14:paraId="05681DC0" w14:textId="1A5784AA" w:rsidR="00F57D98" w:rsidRPr="00AA522C" w:rsidRDefault="00F57D98" w:rsidP="00F57D98">
            <w:pPr>
              <w:spacing w:line="240" w:lineRule="auto"/>
              <w:rPr>
                <w:rFonts w:cs="Times New Roman"/>
                <w:szCs w:val="24"/>
              </w:rPr>
            </w:pPr>
            <w:r w:rsidRPr="003F4FEA">
              <w:t>0.9798</w:t>
            </w:r>
          </w:p>
        </w:tc>
        <w:tc>
          <w:tcPr>
            <w:tcW w:w="1664" w:type="dxa"/>
            <w:tcBorders>
              <w:top w:val="single" w:sz="4" w:space="0" w:color="auto"/>
            </w:tcBorders>
          </w:tcPr>
          <w:p w14:paraId="064A05E7" w14:textId="6A2E8812" w:rsidR="00F57D98" w:rsidRPr="00AA522C" w:rsidRDefault="00F57D98" w:rsidP="00F57D98">
            <w:pPr>
              <w:spacing w:line="240" w:lineRule="auto"/>
              <w:rPr>
                <w:rFonts w:cs="Times New Roman"/>
                <w:szCs w:val="24"/>
              </w:rPr>
            </w:pPr>
            <w:r w:rsidRPr="003F4FEA">
              <w:t>0.2954</w:t>
            </w:r>
          </w:p>
        </w:tc>
      </w:tr>
      <w:tr w:rsidR="00F57D98" w14:paraId="79B25B64" w14:textId="77777777" w:rsidTr="00D12C63">
        <w:tc>
          <w:tcPr>
            <w:tcW w:w="1341" w:type="dxa"/>
          </w:tcPr>
          <w:p w14:paraId="5055630E" w14:textId="77777777" w:rsidR="00F57D98" w:rsidRDefault="00F57D98" w:rsidP="00F57D98">
            <w:pPr>
              <w:spacing w:line="240" w:lineRule="auto"/>
              <w:rPr>
                <w:lang w:val="en-US"/>
              </w:rPr>
            </w:pPr>
            <w:r>
              <w:rPr>
                <w:lang w:val="en-US"/>
              </w:rPr>
              <w:t>February</w:t>
            </w:r>
          </w:p>
        </w:tc>
        <w:tc>
          <w:tcPr>
            <w:tcW w:w="2297" w:type="dxa"/>
          </w:tcPr>
          <w:p w14:paraId="76C5F0AA" w14:textId="2A0D85A9" w:rsidR="00F57D98" w:rsidRDefault="00F57D98" w:rsidP="00F57D98">
            <w:pPr>
              <w:spacing w:line="240" w:lineRule="auto"/>
              <w:rPr>
                <w:lang w:val="en-US"/>
              </w:rPr>
            </w:pPr>
            <w:r w:rsidRPr="00047D0D">
              <w:t>0.3840</w:t>
            </w:r>
          </w:p>
        </w:tc>
        <w:tc>
          <w:tcPr>
            <w:tcW w:w="1664" w:type="dxa"/>
          </w:tcPr>
          <w:p w14:paraId="22AEAF22" w14:textId="716868AA" w:rsidR="00F57D98" w:rsidRDefault="00F57D98" w:rsidP="00F57D98">
            <w:pPr>
              <w:spacing w:line="240" w:lineRule="auto"/>
            </w:pPr>
            <w:r w:rsidRPr="003F4FEA">
              <w:t>0.3818</w:t>
            </w:r>
          </w:p>
        </w:tc>
        <w:tc>
          <w:tcPr>
            <w:tcW w:w="1664" w:type="dxa"/>
          </w:tcPr>
          <w:p w14:paraId="22816B1E" w14:textId="6314AC72" w:rsidR="00F57D98" w:rsidRPr="00AA522C" w:rsidRDefault="00F57D98" w:rsidP="00F57D98">
            <w:pPr>
              <w:spacing w:line="240" w:lineRule="auto"/>
              <w:rPr>
                <w:rFonts w:cs="Times New Roman"/>
                <w:szCs w:val="24"/>
              </w:rPr>
            </w:pPr>
            <w:r w:rsidRPr="003F4FEA">
              <w:t>0.7705</w:t>
            </w:r>
          </w:p>
        </w:tc>
        <w:tc>
          <w:tcPr>
            <w:tcW w:w="1664" w:type="dxa"/>
          </w:tcPr>
          <w:p w14:paraId="59F7277A" w14:textId="48CCCC9B" w:rsidR="00F57D98" w:rsidRPr="00AA522C" w:rsidRDefault="00F57D98" w:rsidP="00F57D98">
            <w:pPr>
              <w:spacing w:line="240" w:lineRule="auto"/>
              <w:rPr>
                <w:rFonts w:cs="Times New Roman"/>
                <w:szCs w:val="24"/>
              </w:rPr>
            </w:pPr>
            <w:r w:rsidRPr="003F4FEA">
              <w:t>0.2539</w:t>
            </w:r>
          </w:p>
        </w:tc>
      </w:tr>
      <w:tr w:rsidR="00F57D98" w14:paraId="08A45E78" w14:textId="77777777" w:rsidTr="00D12C63">
        <w:tc>
          <w:tcPr>
            <w:tcW w:w="1341" w:type="dxa"/>
          </w:tcPr>
          <w:p w14:paraId="4A6916FF" w14:textId="77777777" w:rsidR="00F57D98" w:rsidRDefault="00F57D98" w:rsidP="00F57D98">
            <w:pPr>
              <w:spacing w:line="240" w:lineRule="auto"/>
              <w:rPr>
                <w:lang w:val="en-US"/>
              </w:rPr>
            </w:pPr>
            <w:r>
              <w:rPr>
                <w:lang w:val="en-US"/>
              </w:rPr>
              <w:t>March</w:t>
            </w:r>
          </w:p>
        </w:tc>
        <w:tc>
          <w:tcPr>
            <w:tcW w:w="2297" w:type="dxa"/>
          </w:tcPr>
          <w:p w14:paraId="3CA3FE4B" w14:textId="5DC9B175" w:rsidR="00F57D98" w:rsidRDefault="00F57D98" w:rsidP="00F57D98">
            <w:pPr>
              <w:spacing w:line="240" w:lineRule="auto"/>
              <w:rPr>
                <w:lang w:val="en-US"/>
              </w:rPr>
            </w:pPr>
            <w:r w:rsidRPr="00047D0D">
              <w:t>0.3208</w:t>
            </w:r>
          </w:p>
        </w:tc>
        <w:tc>
          <w:tcPr>
            <w:tcW w:w="1664" w:type="dxa"/>
          </w:tcPr>
          <w:p w14:paraId="7A5F4BEC" w14:textId="5F352E81" w:rsidR="00F57D98" w:rsidRDefault="00F57D98" w:rsidP="00F57D98">
            <w:pPr>
              <w:spacing w:line="240" w:lineRule="auto"/>
            </w:pPr>
            <w:r w:rsidRPr="003F4FEA">
              <w:t>0.3773</w:t>
            </w:r>
          </w:p>
        </w:tc>
        <w:tc>
          <w:tcPr>
            <w:tcW w:w="1664" w:type="dxa"/>
          </w:tcPr>
          <w:p w14:paraId="34F0A448" w14:textId="14ED41D6" w:rsidR="00F57D98" w:rsidRPr="00AA522C" w:rsidRDefault="00F57D98" w:rsidP="00F57D98">
            <w:pPr>
              <w:spacing w:line="240" w:lineRule="auto"/>
              <w:rPr>
                <w:rFonts w:cs="Times New Roman"/>
                <w:szCs w:val="24"/>
              </w:rPr>
            </w:pPr>
            <w:r w:rsidRPr="003F4FEA">
              <w:t>0.7516</w:t>
            </w:r>
          </w:p>
        </w:tc>
        <w:tc>
          <w:tcPr>
            <w:tcW w:w="1664" w:type="dxa"/>
          </w:tcPr>
          <w:p w14:paraId="0EDB2843" w14:textId="39F220F1" w:rsidR="00F57D98" w:rsidRPr="00AA522C" w:rsidRDefault="00F57D98" w:rsidP="00F57D98">
            <w:pPr>
              <w:spacing w:line="240" w:lineRule="auto"/>
              <w:rPr>
                <w:rFonts w:cs="Times New Roman"/>
                <w:szCs w:val="24"/>
              </w:rPr>
            </w:pPr>
            <w:r w:rsidRPr="003F4FEA">
              <w:t>0.2204</w:t>
            </w:r>
          </w:p>
        </w:tc>
      </w:tr>
      <w:tr w:rsidR="00F57D98" w14:paraId="7BD79C78" w14:textId="77777777" w:rsidTr="00D12C63">
        <w:tc>
          <w:tcPr>
            <w:tcW w:w="1341" w:type="dxa"/>
          </w:tcPr>
          <w:p w14:paraId="24C8EA0D" w14:textId="77777777" w:rsidR="00F57D98" w:rsidRDefault="00F57D98" w:rsidP="00F57D98">
            <w:pPr>
              <w:spacing w:line="240" w:lineRule="auto"/>
              <w:rPr>
                <w:lang w:val="en-US"/>
              </w:rPr>
            </w:pPr>
            <w:r>
              <w:rPr>
                <w:lang w:val="en-US"/>
              </w:rPr>
              <w:t>April</w:t>
            </w:r>
          </w:p>
        </w:tc>
        <w:tc>
          <w:tcPr>
            <w:tcW w:w="2297" w:type="dxa"/>
          </w:tcPr>
          <w:p w14:paraId="4AC7C100" w14:textId="15814910" w:rsidR="00F57D98" w:rsidRDefault="00F57D98" w:rsidP="00F57D98">
            <w:pPr>
              <w:spacing w:line="240" w:lineRule="auto"/>
              <w:rPr>
                <w:lang w:val="en-US"/>
              </w:rPr>
            </w:pPr>
            <w:r w:rsidRPr="00047D0D">
              <w:t>0.3732</w:t>
            </w:r>
          </w:p>
        </w:tc>
        <w:tc>
          <w:tcPr>
            <w:tcW w:w="1664" w:type="dxa"/>
          </w:tcPr>
          <w:p w14:paraId="6C43F364" w14:textId="60A9B03E" w:rsidR="00F57D98" w:rsidRDefault="00F57D98" w:rsidP="00F57D98">
            <w:pPr>
              <w:spacing w:line="240" w:lineRule="auto"/>
            </w:pPr>
            <w:r w:rsidRPr="003F4FEA">
              <w:t>0.4379</w:t>
            </w:r>
          </w:p>
        </w:tc>
        <w:tc>
          <w:tcPr>
            <w:tcW w:w="1664" w:type="dxa"/>
          </w:tcPr>
          <w:p w14:paraId="05DD2DBB" w14:textId="37AEC533" w:rsidR="00F57D98" w:rsidRPr="00AA522C" w:rsidRDefault="00F57D98" w:rsidP="00F57D98">
            <w:pPr>
              <w:spacing w:line="240" w:lineRule="auto"/>
              <w:rPr>
                <w:rFonts w:cs="Times New Roman"/>
                <w:szCs w:val="24"/>
              </w:rPr>
            </w:pPr>
            <w:r w:rsidRPr="003F4FEA">
              <w:t>0.7311</w:t>
            </w:r>
          </w:p>
        </w:tc>
        <w:tc>
          <w:tcPr>
            <w:tcW w:w="1664" w:type="dxa"/>
          </w:tcPr>
          <w:p w14:paraId="11300FB7" w14:textId="359CE9D3" w:rsidR="00F57D98" w:rsidRPr="00AA522C" w:rsidRDefault="00F57D98" w:rsidP="00F57D98">
            <w:pPr>
              <w:spacing w:line="240" w:lineRule="auto"/>
              <w:rPr>
                <w:rFonts w:cs="Times New Roman"/>
                <w:szCs w:val="24"/>
              </w:rPr>
            </w:pPr>
            <w:r w:rsidRPr="003F4FEA">
              <w:t>0.2033</w:t>
            </w:r>
          </w:p>
        </w:tc>
      </w:tr>
      <w:tr w:rsidR="00F57D98" w14:paraId="167F7D08" w14:textId="77777777" w:rsidTr="00D12C63">
        <w:tc>
          <w:tcPr>
            <w:tcW w:w="1341" w:type="dxa"/>
          </w:tcPr>
          <w:p w14:paraId="199AA241" w14:textId="77777777" w:rsidR="00F57D98" w:rsidRDefault="00F57D98" w:rsidP="00F57D98">
            <w:pPr>
              <w:spacing w:line="240" w:lineRule="auto"/>
              <w:rPr>
                <w:lang w:val="en-US"/>
              </w:rPr>
            </w:pPr>
            <w:r>
              <w:rPr>
                <w:lang w:val="en-US"/>
              </w:rPr>
              <w:t>May</w:t>
            </w:r>
          </w:p>
        </w:tc>
        <w:tc>
          <w:tcPr>
            <w:tcW w:w="2297" w:type="dxa"/>
          </w:tcPr>
          <w:p w14:paraId="5C4F586D" w14:textId="7877FCA6" w:rsidR="00F57D98" w:rsidRDefault="00F57D98" w:rsidP="00F57D98">
            <w:pPr>
              <w:spacing w:line="240" w:lineRule="auto"/>
              <w:rPr>
                <w:lang w:val="en-US"/>
              </w:rPr>
            </w:pPr>
            <w:r w:rsidRPr="00047D0D">
              <w:t>0.2536</w:t>
            </w:r>
          </w:p>
        </w:tc>
        <w:tc>
          <w:tcPr>
            <w:tcW w:w="1664" w:type="dxa"/>
          </w:tcPr>
          <w:p w14:paraId="6B002C01" w14:textId="5824A0EA" w:rsidR="00F57D98" w:rsidRDefault="00F57D98" w:rsidP="00F57D98">
            <w:pPr>
              <w:spacing w:line="240" w:lineRule="auto"/>
            </w:pPr>
            <w:r w:rsidRPr="003F4FEA">
              <w:t>0.2869</w:t>
            </w:r>
          </w:p>
        </w:tc>
        <w:tc>
          <w:tcPr>
            <w:tcW w:w="1664" w:type="dxa"/>
          </w:tcPr>
          <w:p w14:paraId="00A51D7A" w14:textId="38D0E5E2" w:rsidR="00F57D98" w:rsidRPr="00AA522C" w:rsidRDefault="00F57D98" w:rsidP="00F57D98">
            <w:pPr>
              <w:spacing w:line="240" w:lineRule="auto"/>
              <w:rPr>
                <w:rFonts w:cs="Times New Roman"/>
                <w:szCs w:val="24"/>
              </w:rPr>
            </w:pPr>
            <w:r w:rsidRPr="003F4FEA">
              <w:t>0.4636</w:t>
            </w:r>
          </w:p>
        </w:tc>
        <w:tc>
          <w:tcPr>
            <w:tcW w:w="1664" w:type="dxa"/>
          </w:tcPr>
          <w:p w14:paraId="59686F37" w14:textId="17A5170A" w:rsidR="00F57D98" w:rsidRPr="00AA522C" w:rsidRDefault="00F57D98" w:rsidP="00F57D98">
            <w:pPr>
              <w:spacing w:line="240" w:lineRule="auto"/>
              <w:rPr>
                <w:rFonts w:cs="Times New Roman"/>
                <w:szCs w:val="24"/>
              </w:rPr>
            </w:pPr>
            <w:r w:rsidRPr="003F4FEA">
              <w:t>0.3101</w:t>
            </w:r>
          </w:p>
        </w:tc>
      </w:tr>
      <w:tr w:rsidR="00F57D98" w14:paraId="55F9791F" w14:textId="77777777" w:rsidTr="00D12C63">
        <w:tc>
          <w:tcPr>
            <w:tcW w:w="1341" w:type="dxa"/>
          </w:tcPr>
          <w:p w14:paraId="33EC5800" w14:textId="77777777" w:rsidR="00F57D98" w:rsidRDefault="00F57D98" w:rsidP="00F57D98">
            <w:pPr>
              <w:spacing w:line="240" w:lineRule="auto"/>
              <w:rPr>
                <w:lang w:val="en-US"/>
              </w:rPr>
            </w:pPr>
            <w:r>
              <w:rPr>
                <w:lang w:val="en-US"/>
              </w:rPr>
              <w:t>June</w:t>
            </w:r>
          </w:p>
        </w:tc>
        <w:tc>
          <w:tcPr>
            <w:tcW w:w="2297" w:type="dxa"/>
          </w:tcPr>
          <w:p w14:paraId="0CF8C568" w14:textId="44A5FCF2" w:rsidR="00F57D98" w:rsidRDefault="00F57D98" w:rsidP="00F57D98">
            <w:pPr>
              <w:spacing w:line="240" w:lineRule="auto"/>
              <w:rPr>
                <w:lang w:val="en-US"/>
              </w:rPr>
            </w:pPr>
            <w:r w:rsidRPr="00047D0D">
              <w:t>0.2484</w:t>
            </w:r>
          </w:p>
        </w:tc>
        <w:tc>
          <w:tcPr>
            <w:tcW w:w="1664" w:type="dxa"/>
          </w:tcPr>
          <w:p w14:paraId="3EB9CC3F" w14:textId="28C6FE6E" w:rsidR="00F57D98" w:rsidRDefault="00F57D98" w:rsidP="00F57D98">
            <w:pPr>
              <w:spacing w:line="240" w:lineRule="auto"/>
            </w:pPr>
            <w:r w:rsidRPr="003F4FEA">
              <w:t>0.2715</w:t>
            </w:r>
          </w:p>
        </w:tc>
        <w:tc>
          <w:tcPr>
            <w:tcW w:w="1664" w:type="dxa"/>
          </w:tcPr>
          <w:p w14:paraId="78DD5FD4" w14:textId="3AB14D22" w:rsidR="00F57D98" w:rsidRPr="00AA522C" w:rsidRDefault="00F57D98" w:rsidP="00F57D98">
            <w:pPr>
              <w:spacing w:line="240" w:lineRule="auto"/>
              <w:rPr>
                <w:rFonts w:cs="Times New Roman"/>
                <w:szCs w:val="24"/>
              </w:rPr>
            </w:pPr>
            <w:r w:rsidRPr="003F4FEA">
              <w:t>0.4630</w:t>
            </w:r>
          </w:p>
        </w:tc>
        <w:tc>
          <w:tcPr>
            <w:tcW w:w="1664" w:type="dxa"/>
          </w:tcPr>
          <w:p w14:paraId="5FB24B23" w14:textId="09907D18" w:rsidR="00F57D98" w:rsidRPr="00AA522C" w:rsidRDefault="00F57D98" w:rsidP="00F57D98">
            <w:pPr>
              <w:spacing w:line="240" w:lineRule="auto"/>
              <w:rPr>
                <w:rFonts w:cs="Times New Roman"/>
                <w:szCs w:val="24"/>
              </w:rPr>
            </w:pPr>
            <w:r w:rsidRPr="003F4FEA">
              <w:t>0.2738</w:t>
            </w:r>
          </w:p>
        </w:tc>
      </w:tr>
      <w:tr w:rsidR="00F57D98" w14:paraId="338E217B" w14:textId="77777777" w:rsidTr="00D12C63">
        <w:tc>
          <w:tcPr>
            <w:tcW w:w="1341" w:type="dxa"/>
          </w:tcPr>
          <w:p w14:paraId="5EA87A51" w14:textId="77777777" w:rsidR="00F57D98" w:rsidRDefault="00F57D98" w:rsidP="00F57D98">
            <w:pPr>
              <w:spacing w:line="240" w:lineRule="auto"/>
              <w:rPr>
                <w:lang w:val="en-US"/>
              </w:rPr>
            </w:pPr>
            <w:r>
              <w:rPr>
                <w:lang w:val="en-US"/>
              </w:rPr>
              <w:t>July</w:t>
            </w:r>
          </w:p>
        </w:tc>
        <w:tc>
          <w:tcPr>
            <w:tcW w:w="2297" w:type="dxa"/>
          </w:tcPr>
          <w:p w14:paraId="00697063" w14:textId="399A5AB6" w:rsidR="00F57D98" w:rsidRDefault="00F57D98" w:rsidP="00F57D98">
            <w:pPr>
              <w:spacing w:line="240" w:lineRule="auto"/>
              <w:rPr>
                <w:lang w:val="en-US"/>
              </w:rPr>
            </w:pPr>
            <w:r w:rsidRPr="00047D0D">
              <w:t>0.2682</w:t>
            </w:r>
          </w:p>
        </w:tc>
        <w:tc>
          <w:tcPr>
            <w:tcW w:w="1664" w:type="dxa"/>
          </w:tcPr>
          <w:p w14:paraId="68093C36" w14:textId="5016AD66" w:rsidR="00F57D98" w:rsidRDefault="00F57D98" w:rsidP="00F57D98">
            <w:pPr>
              <w:spacing w:line="240" w:lineRule="auto"/>
            </w:pPr>
            <w:r w:rsidRPr="003F4FEA">
              <w:t>0.3021</w:t>
            </w:r>
          </w:p>
        </w:tc>
        <w:tc>
          <w:tcPr>
            <w:tcW w:w="1664" w:type="dxa"/>
          </w:tcPr>
          <w:p w14:paraId="4557D0F0" w14:textId="572AAD22" w:rsidR="00F57D98" w:rsidRPr="00AA522C" w:rsidRDefault="00F57D98" w:rsidP="00F57D98">
            <w:pPr>
              <w:spacing w:line="240" w:lineRule="auto"/>
              <w:rPr>
                <w:rFonts w:cs="Times New Roman"/>
                <w:szCs w:val="24"/>
              </w:rPr>
            </w:pPr>
            <w:r w:rsidRPr="003F4FEA">
              <w:t>0.4974</w:t>
            </w:r>
          </w:p>
        </w:tc>
        <w:tc>
          <w:tcPr>
            <w:tcW w:w="1664" w:type="dxa"/>
          </w:tcPr>
          <w:p w14:paraId="54F76FF0" w14:textId="228308A9" w:rsidR="00F57D98" w:rsidRPr="00AA522C" w:rsidRDefault="00F57D98" w:rsidP="00F57D98">
            <w:pPr>
              <w:spacing w:line="240" w:lineRule="auto"/>
              <w:rPr>
                <w:rFonts w:cs="Times New Roman"/>
                <w:szCs w:val="24"/>
              </w:rPr>
            </w:pPr>
            <w:r w:rsidRPr="003F4FEA">
              <w:t>0.3062</w:t>
            </w:r>
          </w:p>
        </w:tc>
      </w:tr>
      <w:tr w:rsidR="00F57D98" w14:paraId="282DC7A0" w14:textId="77777777" w:rsidTr="00D12C63">
        <w:tc>
          <w:tcPr>
            <w:tcW w:w="1341" w:type="dxa"/>
          </w:tcPr>
          <w:p w14:paraId="6EA7369C" w14:textId="77777777" w:rsidR="00F57D98" w:rsidRDefault="00F57D98" w:rsidP="00F57D98">
            <w:pPr>
              <w:spacing w:line="240" w:lineRule="auto"/>
              <w:rPr>
                <w:lang w:val="en-US"/>
              </w:rPr>
            </w:pPr>
            <w:r>
              <w:rPr>
                <w:lang w:val="en-US"/>
              </w:rPr>
              <w:t>August</w:t>
            </w:r>
          </w:p>
        </w:tc>
        <w:tc>
          <w:tcPr>
            <w:tcW w:w="2297" w:type="dxa"/>
          </w:tcPr>
          <w:p w14:paraId="1FE6F117" w14:textId="41355EDC" w:rsidR="00F57D98" w:rsidRDefault="00F57D98" w:rsidP="00F57D98">
            <w:pPr>
              <w:spacing w:line="240" w:lineRule="auto"/>
              <w:rPr>
                <w:lang w:val="en-US"/>
              </w:rPr>
            </w:pPr>
            <w:r w:rsidRPr="00047D0D">
              <w:t>0.2953</w:t>
            </w:r>
          </w:p>
        </w:tc>
        <w:tc>
          <w:tcPr>
            <w:tcW w:w="1664" w:type="dxa"/>
          </w:tcPr>
          <w:p w14:paraId="79BBC0EA" w14:textId="6DE78D6F" w:rsidR="00F57D98" w:rsidRDefault="00F57D98" w:rsidP="00F57D98">
            <w:pPr>
              <w:spacing w:line="240" w:lineRule="auto"/>
            </w:pPr>
            <w:r w:rsidRPr="003F4FEA">
              <w:t>0.3341</w:t>
            </w:r>
          </w:p>
        </w:tc>
        <w:tc>
          <w:tcPr>
            <w:tcW w:w="1664" w:type="dxa"/>
          </w:tcPr>
          <w:p w14:paraId="32E4CEBD" w14:textId="4C22586D" w:rsidR="00F57D98" w:rsidRPr="00AA522C" w:rsidRDefault="00F57D98" w:rsidP="00F57D98">
            <w:pPr>
              <w:spacing w:line="240" w:lineRule="auto"/>
              <w:rPr>
                <w:rFonts w:cs="Times New Roman"/>
                <w:szCs w:val="24"/>
              </w:rPr>
            </w:pPr>
            <w:r w:rsidRPr="003F4FEA">
              <w:t>0.5379</w:t>
            </w:r>
          </w:p>
        </w:tc>
        <w:tc>
          <w:tcPr>
            <w:tcW w:w="1664" w:type="dxa"/>
          </w:tcPr>
          <w:p w14:paraId="0EDBFAB6" w14:textId="15CB8C67" w:rsidR="00F57D98" w:rsidRPr="00AA522C" w:rsidRDefault="00F57D98" w:rsidP="00F57D98">
            <w:pPr>
              <w:spacing w:line="240" w:lineRule="auto"/>
              <w:rPr>
                <w:rFonts w:cs="Times New Roman"/>
                <w:szCs w:val="24"/>
              </w:rPr>
            </w:pPr>
            <w:r w:rsidRPr="003F4FEA">
              <w:t>0.3673</w:t>
            </w:r>
          </w:p>
        </w:tc>
      </w:tr>
      <w:tr w:rsidR="00F57D98" w14:paraId="3863A1FB" w14:textId="77777777" w:rsidTr="00D12C63">
        <w:tc>
          <w:tcPr>
            <w:tcW w:w="1341" w:type="dxa"/>
          </w:tcPr>
          <w:p w14:paraId="7F4FFEBE" w14:textId="77777777" w:rsidR="00F57D98" w:rsidRDefault="00F57D98" w:rsidP="00F57D98">
            <w:pPr>
              <w:spacing w:line="240" w:lineRule="auto"/>
              <w:rPr>
                <w:lang w:val="en-US"/>
              </w:rPr>
            </w:pPr>
            <w:r>
              <w:rPr>
                <w:lang w:val="en-US"/>
              </w:rPr>
              <w:t>September</w:t>
            </w:r>
          </w:p>
        </w:tc>
        <w:tc>
          <w:tcPr>
            <w:tcW w:w="2297" w:type="dxa"/>
          </w:tcPr>
          <w:p w14:paraId="3AECB303" w14:textId="00EE5EDD" w:rsidR="00F57D98" w:rsidRDefault="00F57D98" w:rsidP="00F57D98">
            <w:pPr>
              <w:spacing w:line="240" w:lineRule="auto"/>
              <w:rPr>
                <w:lang w:val="en-US"/>
              </w:rPr>
            </w:pPr>
            <w:r w:rsidRPr="00047D0D">
              <w:t>0.2586</w:t>
            </w:r>
          </w:p>
        </w:tc>
        <w:tc>
          <w:tcPr>
            <w:tcW w:w="1664" w:type="dxa"/>
          </w:tcPr>
          <w:p w14:paraId="259C5AD3" w14:textId="7A18F7EB" w:rsidR="00F57D98" w:rsidRDefault="00F57D98" w:rsidP="00F57D98">
            <w:pPr>
              <w:spacing w:line="240" w:lineRule="auto"/>
            </w:pPr>
            <w:r w:rsidRPr="003F4FEA">
              <w:t>0.2703</w:t>
            </w:r>
          </w:p>
        </w:tc>
        <w:tc>
          <w:tcPr>
            <w:tcW w:w="1664" w:type="dxa"/>
          </w:tcPr>
          <w:p w14:paraId="7A55173B" w14:textId="384A28A3" w:rsidR="00F57D98" w:rsidRPr="00AA522C" w:rsidRDefault="00F57D98" w:rsidP="00F57D98">
            <w:pPr>
              <w:spacing w:line="240" w:lineRule="auto"/>
              <w:rPr>
                <w:rFonts w:cs="Times New Roman"/>
                <w:szCs w:val="24"/>
              </w:rPr>
            </w:pPr>
            <w:r w:rsidRPr="003F4FEA">
              <w:t>0.4601</w:t>
            </w:r>
          </w:p>
        </w:tc>
        <w:tc>
          <w:tcPr>
            <w:tcW w:w="1664" w:type="dxa"/>
          </w:tcPr>
          <w:p w14:paraId="2D6936AF" w14:textId="47A357C1" w:rsidR="00F57D98" w:rsidRPr="00AA522C" w:rsidRDefault="00F57D98" w:rsidP="00F57D98">
            <w:pPr>
              <w:spacing w:line="240" w:lineRule="auto"/>
              <w:rPr>
                <w:rFonts w:cs="Times New Roman"/>
                <w:szCs w:val="24"/>
              </w:rPr>
            </w:pPr>
            <w:r w:rsidRPr="003F4FEA">
              <w:t>0.3454</w:t>
            </w:r>
          </w:p>
        </w:tc>
      </w:tr>
      <w:tr w:rsidR="00F57D98" w14:paraId="4714DBC7" w14:textId="77777777" w:rsidTr="00D12C63">
        <w:tc>
          <w:tcPr>
            <w:tcW w:w="1341" w:type="dxa"/>
          </w:tcPr>
          <w:p w14:paraId="6149DBD2" w14:textId="77777777" w:rsidR="00F57D98" w:rsidRDefault="00F57D98" w:rsidP="00F57D98">
            <w:pPr>
              <w:spacing w:line="240" w:lineRule="auto"/>
              <w:rPr>
                <w:lang w:val="en-US"/>
              </w:rPr>
            </w:pPr>
            <w:r>
              <w:rPr>
                <w:lang w:val="en-US"/>
              </w:rPr>
              <w:t>October</w:t>
            </w:r>
          </w:p>
        </w:tc>
        <w:tc>
          <w:tcPr>
            <w:tcW w:w="2297" w:type="dxa"/>
          </w:tcPr>
          <w:p w14:paraId="6982E59F" w14:textId="20A202AB" w:rsidR="00F57D98" w:rsidRDefault="00F57D98" w:rsidP="00F57D98">
            <w:pPr>
              <w:spacing w:line="240" w:lineRule="auto"/>
              <w:rPr>
                <w:lang w:val="en-US"/>
              </w:rPr>
            </w:pPr>
            <w:r w:rsidRPr="00047D0D">
              <w:t>0.3861</w:t>
            </w:r>
          </w:p>
        </w:tc>
        <w:tc>
          <w:tcPr>
            <w:tcW w:w="1664" w:type="dxa"/>
          </w:tcPr>
          <w:p w14:paraId="5DAFF8E6" w14:textId="69AC3E1E" w:rsidR="00F57D98" w:rsidRDefault="00F57D98" w:rsidP="00F57D98">
            <w:pPr>
              <w:spacing w:line="240" w:lineRule="auto"/>
            </w:pPr>
            <w:r w:rsidRPr="003F4FEA">
              <w:t>0.3406</w:t>
            </w:r>
          </w:p>
        </w:tc>
        <w:tc>
          <w:tcPr>
            <w:tcW w:w="1664" w:type="dxa"/>
          </w:tcPr>
          <w:p w14:paraId="42EC7E39" w14:textId="680464C5" w:rsidR="00F57D98" w:rsidRPr="00AA522C" w:rsidRDefault="00F57D98" w:rsidP="00F57D98">
            <w:pPr>
              <w:spacing w:line="240" w:lineRule="auto"/>
              <w:rPr>
                <w:rFonts w:cs="Times New Roman"/>
                <w:szCs w:val="24"/>
              </w:rPr>
            </w:pPr>
            <w:r w:rsidRPr="003F4FEA">
              <w:t>0.8051</w:t>
            </w:r>
          </w:p>
        </w:tc>
        <w:tc>
          <w:tcPr>
            <w:tcW w:w="1664" w:type="dxa"/>
          </w:tcPr>
          <w:p w14:paraId="05B3356A" w14:textId="4B00B603" w:rsidR="00F57D98" w:rsidRPr="00AA522C" w:rsidRDefault="00F57D98" w:rsidP="00F57D98">
            <w:pPr>
              <w:spacing w:line="240" w:lineRule="auto"/>
              <w:rPr>
                <w:rFonts w:cs="Times New Roman"/>
                <w:szCs w:val="24"/>
              </w:rPr>
            </w:pPr>
            <w:r w:rsidRPr="003F4FEA">
              <w:t>0.1584</w:t>
            </w:r>
          </w:p>
        </w:tc>
      </w:tr>
      <w:tr w:rsidR="00F57D98" w14:paraId="51A4D0BD" w14:textId="77777777" w:rsidTr="00D12C63">
        <w:tc>
          <w:tcPr>
            <w:tcW w:w="1341" w:type="dxa"/>
          </w:tcPr>
          <w:p w14:paraId="06404AF2" w14:textId="77777777" w:rsidR="00F57D98" w:rsidRDefault="00F57D98" w:rsidP="00F57D98">
            <w:pPr>
              <w:spacing w:line="240" w:lineRule="auto"/>
              <w:rPr>
                <w:lang w:val="en-US"/>
              </w:rPr>
            </w:pPr>
            <w:r>
              <w:rPr>
                <w:lang w:val="en-US"/>
              </w:rPr>
              <w:t>November</w:t>
            </w:r>
          </w:p>
        </w:tc>
        <w:tc>
          <w:tcPr>
            <w:tcW w:w="2297" w:type="dxa"/>
          </w:tcPr>
          <w:p w14:paraId="6B87DDBC" w14:textId="665F1B15" w:rsidR="00F57D98" w:rsidRDefault="00F57D98" w:rsidP="00F57D98">
            <w:pPr>
              <w:spacing w:line="240" w:lineRule="auto"/>
              <w:rPr>
                <w:lang w:val="en-US"/>
              </w:rPr>
            </w:pPr>
            <w:r w:rsidRPr="00047D0D">
              <w:t>0.4132</w:t>
            </w:r>
          </w:p>
        </w:tc>
        <w:tc>
          <w:tcPr>
            <w:tcW w:w="1664" w:type="dxa"/>
          </w:tcPr>
          <w:p w14:paraId="56525B7F" w14:textId="1A6B32F5" w:rsidR="00F57D98" w:rsidRDefault="00F57D98" w:rsidP="00F57D98">
            <w:pPr>
              <w:spacing w:line="240" w:lineRule="auto"/>
            </w:pPr>
            <w:r w:rsidRPr="003F4FEA">
              <w:t>0.3682</w:t>
            </w:r>
          </w:p>
        </w:tc>
        <w:tc>
          <w:tcPr>
            <w:tcW w:w="1664" w:type="dxa"/>
          </w:tcPr>
          <w:p w14:paraId="308D0E0D" w14:textId="0386B17A" w:rsidR="00F57D98" w:rsidRPr="00AA522C" w:rsidRDefault="00F57D98" w:rsidP="00F57D98">
            <w:pPr>
              <w:spacing w:line="240" w:lineRule="auto"/>
              <w:rPr>
                <w:rFonts w:cs="Times New Roman"/>
                <w:szCs w:val="24"/>
              </w:rPr>
            </w:pPr>
            <w:r w:rsidRPr="003F4FEA">
              <w:t>0.8575</w:t>
            </w:r>
          </w:p>
        </w:tc>
        <w:tc>
          <w:tcPr>
            <w:tcW w:w="1664" w:type="dxa"/>
          </w:tcPr>
          <w:p w14:paraId="2E60C651" w14:textId="54DCF79B" w:rsidR="00F57D98" w:rsidRPr="00AA522C" w:rsidRDefault="00F57D98" w:rsidP="00F57D98">
            <w:pPr>
              <w:spacing w:line="240" w:lineRule="auto"/>
              <w:rPr>
                <w:rFonts w:cs="Times New Roman"/>
                <w:szCs w:val="24"/>
              </w:rPr>
            </w:pPr>
            <w:r w:rsidRPr="003F4FEA">
              <w:t>0.1860</w:t>
            </w:r>
          </w:p>
        </w:tc>
      </w:tr>
      <w:tr w:rsidR="00F57D98" w14:paraId="5BB78B35" w14:textId="77777777" w:rsidTr="00D12C63">
        <w:tc>
          <w:tcPr>
            <w:tcW w:w="1341" w:type="dxa"/>
          </w:tcPr>
          <w:p w14:paraId="3AE8CF28" w14:textId="77777777" w:rsidR="00F57D98" w:rsidRDefault="00F57D98" w:rsidP="00F57D98">
            <w:pPr>
              <w:spacing w:line="240" w:lineRule="auto"/>
              <w:rPr>
                <w:lang w:val="en-US"/>
              </w:rPr>
            </w:pPr>
            <w:r>
              <w:rPr>
                <w:lang w:val="en-US"/>
              </w:rPr>
              <w:t>December</w:t>
            </w:r>
          </w:p>
        </w:tc>
        <w:tc>
          <w:tcPr>
            <w:tcW w:w="2297" w:type="dxa"/>
          </w:tcPr>
          <w:p w14:paraId="10600BF9" w14:textId="0D694E81" w:rsidR="00F57D98" w:rsidRDefault="00F57D98" w:rsidP="00F57D98">
            <w:pPr>
              <w:spacing w:line="240" w:lineRule="auto"/>
              <w:rPr>
                <w:lang w:val="en-US"/>
              </w:rPr>
            </w:pPr>
            <w:r w:rsidRPr="00047D0D">
              <w:t>0.5296</w:t>
            </w:r>
          </w:p>
        </w:tc>
        <w:tc>
          <w:tcPr>
            <w:tcW w:w="1664" w:type="dxa"/>
          </w:tcPr>
          <w:p w14:paraId="4FB80C26" w14:textId="6051E737" w:rsidR="00F57D98" w:rsidRDefault="00F57D98" w:rsidP="00F57D98">
            <w:pPr>
              <w:spacing w:line="240" w:lineRule="auto"/>
            </w:pPr>
            <w:r w:rsidRPr="003F4FEA">
              <w:t>1.0263</w:t>
            </w:r>
          </w:p>
        </w:tc>
        <w:tc>
          <w:tcPr>
            <w:tcW w:w="1664" w:type="dxa"/>
          </w:tcPr>
          <w:p w14:paraId="62B6EC96" w14:textId="05E4EF46" w:rsidR="00F57D98" w:rsidRPr="00AA522C" w:rsidRDefault="00F57D98" w:rsidP="00F57D98">
            <w:pPr>
              <w:spacing w:line="240" w:lineRule="auto"/>
              <w:rPr>
                <w:rFonts w:cs="Times New Roman"/>
                <w:szCs w:val="24"/>
              </w:rPr>
            </w:pPr>
            <w:r w:rsidRPr="003F4FEA">
              <w:t>0.9100</w:t>
            </w:r>
          </w:p>
        </w:tc>
        <w:tc>
          <w:tcPr>
            <w:tcW w:w="1664" w:type="dxa"/>
          </w:tcPr>
          <w:p w14:paraId="1E9F2E15" w14:textId="58C97A25" w:rsidR="00F57D98" w:rsidRPr="00AA522C" w:rsidRDefault="00F57D98" w:rsidP="00F57D98">
            <w:pPr>
              <w:spacing w:line="240" w:lineRule="auto"/>
              <w:rPr>
                <w:rFonts w:cs="Times New Roman"/>
                <w:szCs w:val="24"/>
              </w:rPr>
            </w:pPr>
            <w:r w:rsidRPr="003F4FEA">
              <w:t>0.1725</w:t>
            </w:r>
          </w:p>
        </w:tc>
      </w:tr>
    </w:tbl>
    <w:p w14:paraId="03BA50D5" w14:textId="3A803907" w:rsidR="00F57D98" w:rsidRDefault="00F57D98" w:rsidP="0099460B">
      <w:pPr>
        <w:spacing w:line="480" w:lineRule="auto"/>
        <w:rPr>
          <w:lang w:val="en-US"/>
        </w:rPr>
      </w:pPr>
    </w:p>
    <w:p w14:paraId="52CAB252" w14:textId="77777777" w:rsidR="00DB4184" w:rsidRDefault="009A4AB8" w:rsidP="0099460B">
      <w:pPr>
        <w:spacing w:line="480" w:lineRule="auto"/>
        <w:rPr>
          <w:lang w:val="en-US"/>
        </w:rPr>
      </w:pPr>
      <w:r>
        <w:rPr>
          <w:lang w:val="en-US"/>
        </w:rPr>
        <w:t>Numerical analysis of simulation results in MATLAB showed that</w:t>
      </w:r>
      <w:r w:rsidR="008924D8">
        <w:rPr>
          <w:lang w:val="en-US"/>
        </w:rPr>
        <w:t xml:space="preserve"> bus 5 had its instantaneous IVD exceeding 1% for 7 months of the year. This means that for the other 5 months, the IVD for this worst-performing bus never crossed 1%, which is still very satisfactory.</w:t>
      </w:r>
      <w:r>
        <w:rPr>
          <w:lang w:val="en-US"/>
        </w:rPr>
        <w:t xml:space="preserve"> </w:t>
      </w:r>
      <w:r w:rsidR="008924D8">
        <w:rPr>
          <w:lang w:val="en-US"/>
        </w:rPr>
        <w:t xml:space="preserve">Furthermore, the relative worse performance of this bus </w:t>
      </w:r>
      <w:r>
        <w:rPr>
          <w:lang w:val="en-US"/>
        </w:rPr>
        <w:t xml:space="preserve">is not unexplainable, as the tap changing for voltage control on bus 6 (which has only one transformer </w:t>
      </w:r>
      <w:r w:rsidR="008924D8">
        <w:rPr>
          <w:lang w:val="en-US"/>
        </w:rPr>
        <w:t xml:space="preserve">and generator </w:t>
      </w:r>
      <w:r>
        <w:rPr>
          <w:lang w:val="en-US"/>
        </w:rPr>
        <w:t xml:space="preserve">directly connected to it) immediately made it competitive, while bus 5 has </w:t>
      </w:r>
      <w:r w:rsidR="008924D8">
        <w:rPr>
          <w:lang w:val="en-US"/>
        </w:rPr>
        <w:t xml:space="preserve">two </w:t>
      </w:r>
      <w:r>
        <w:rPr>
          <w:lang w:val="en-US"/>
        </w:rPr>
        <w:t>lines</w:t>
      </w:r>
      <w:r w:rsidR="008924D8">
        <w:rPr>
          <w:lang w:val="en-US"/>
        </w:rPr>
        <w:t xml:space="preserve"> and two transformers</w:t>
      </w:r>
      <w:r>
        <w:rPr>
          <w:lang w:val="en-US"/>
        </w:rPr>
        <w:t xml:space="preserve"> connected to it</w:t>
      </w:r>
      <w:r w:rsidR="008924D8">
        <w:rPr>
          <w:lang w:val="en-US"/>
        </w:rPr>
        <w:t>, combined</w:t>
      </w:r>
      <w:r>
        <w:rPr>
          <w:lang w:val="en-US"/>
        </w:rPr>
        <w:t xml:space="preserve"> with ripple</w:t>
      </w:r>
      <w:r w:rsidR="008924D8">
        <w:rPr>
          <w:lang w:val="en-US"/>
        </w:rPr>
        <w:t xml:space="preserve"> effects from other transformers’ actions</w:t>
      </w:r>
      <w:r>
        <w:rPr>
          <w:lang w:val="en-US"/>
        </w:rPr>
        <w:t>.</w:t>
      </w:r>
      <w:r w:rsidR="00155334">
        <w:rPr>
          <w:lang w:val="en-US"/>
        </w:rPr>
        <w:t xml:space="preserve"> </w:t>
      </w:r>
    </w:p>
    <w:p w14:paraId="3EB0FA4A" w14:textId="1379F066" w:rsidR="00673C4E" w:rsidRDefault="00155334" w:rsidP="0099460B">
      <w:pPr>
        <w:spacing w:line="480" w:lineRule="auto"/>
        <w:rPr>
          <w:lang w:val="en-US"/>
        </w:rPr>
      </w:pPr>
      <w:r>
        <w:rPr>
          <w:lang w:val="en-US"/>
        </w:rPr>
        <w:t>On the other hand, bu</w:t>
      </w:r>
      <w:r w:rsidR="00DB4184">
        <w:rPr>
          <w:lang w:val="en-US"/>
        </w:rPr>
        <w:t>s 1</w:t>
      </w:r>
      <w:r>
        <w:rPr>
          <w:lang w:val="en-US"/>
        </w:rPr>
        <w:t xml:space="preserve"> </w:t>
      </w:r>
      <w:r w:rsidR="00DB4184">
        <w:rPr>
          <w:lang w:val="en-US"/>
        </w:rPr>
        <w:t>remained</w:t>
      </w:r>
      <w:r>
        <w:rPr>
          <w:lang w:val="en-US"/>
        </w:rPr>
        <w:t xml:space="preserve"> the most stable bus in this scenario with IVD of </w:t>
      </w:r>
      <w:r w:rsidR="00DB4184">
        <w:rPr>
          <w:lang w:val="en-US"/>
        </w:rPr>
        <w:t xml:space="preserve">0% at all times due to being unloaded and droop-controlled, while among the loaded buses, bus 3 emerged </w:t>
      </w:r>
      <w:r w:rsidR="008B3D06">
        <w:rPr>
          <w:lang w:val="en-US"/>
        </w:rPr>
        <w:t xml:space="preserve">at </w:t>
      </w:r>
      <w:r w:rsidR="00DB4184">
        <w:rPr>
          <w:lang w:val="en-US"/>
        </w:rPr>
        <w:t>0.75% or less at all times, while bus 6 came a close second and had the least yearly variation in its IVD than bus 3 while having higher peak values of IVD, which can be attributed to the tap changing of the transformer.</w:t>
      </w:r>
    </w:p>
    <w:p w14:paraId="2AE028E4" w14:textId="71144B3F" w:rsidR="00DB4184" w:rsidRDefault="00257D56" w:rsidP="0099460B">
      <w:pPr>
        <w:spacing w:line="480" w:lineRule="auto"/>
        <w:rPr>
          <w:lang w:val="en-US"/>
        </w:rPr>
      </w:pPr>
      <w:r>
        <w:rPr>
          <w:lang w:val="en-US"/>
        </w:rPr>
        <w:t>The figures from Figure 4.29 to Figure 4.40</w:t>
      </w:r>
      <w:r w:rsidR="00F4685F">
        <w:rPr>
          <w:lang w:val="en-US"/>
        </w:rPr>
        <w:t xml:space="preserve"> show the quasi-dynamic results of the average IVD for each hour of each month, from January to December for this scenario. In January, the average</w:t>
      </w:r>
      <w:r w:rsidR="008757BE">
        <w:rPr>
          <w:lang w:val="en-US"/>
        </w:rPr>
        <w:t xml:space="preserve"> (considering all buses) hourly (i.e instantaneous</w:t>
      </w:r>
      <w:r w:rsidR="00B91BB0">
        <w:rPr>
          <w:lang w:val="en-US"/>
        </w:rPr>
        <w:t xml:space="preserve"> in quasi-dynamic simulation</w:t>
      </w:r>
      <w:r w:rsidR="008757BE">
        <w:rPr>
          <w:lang w:val="en-US"/>
        </w:rPr>
        <w:t>)</w:t>
      </w:r>
      <w:r w:rsidR="00F4685F">
        <w:rPr>
          <w:lang w:val="en-US"/>
        </w:rPr>
        <w:t xml:space="preserve"> IVD</w:t>
      </w:r>
      <w:r w:rsidR="00620053">
        <w:rPr>
          <w:lang w:val="en-US"/>
        </w:rPr>
        <w:t xml:space="preserve"> of the system</w:t>
      </w:r>
      <w:r w:rsidR="00F4685F">
        <w:rPr>
          <w:lang w:val="en-US"/>
        </w:rPr>
        <w:t xml:space="preserve"> mostly stayed under </w:t>
      </w:r>
      <w:r w:rsidR="00620053">
        <w:rPr>
          <w:lang w:val="en-US"/>
        </w:rPr>
        <w:t>0.6%</w:t>
      </w:r>
      <w:r w:rsidR="00F4685F">
        <w:rPr>
          <w:lang w:val="en-US"/>
        </w:rPr>
        <w:t xml:space="preserve"> but went up to </w:t>
      </w:r>
      <w:r w:rsidR="00A54E9E">
        <w:rPr>
          <w:lang w:val="en-US"/>
        </w:rPr>
        <w:t xml:space="preserve">0.8137% </w:t>
      </w:r>
      <w:r w:rsidR="00F4685F">
        <w:rPr>
          <w:lang w:val="en-US"/>
        </w:rPr>
        <w:t>occasionally.</w:t>
      </w:r>
      <w:r w:rsidR="00620053">
        <w:rPr>
          <w:lang w:val="en-US"/>
        </w:rPr>
        <w:t xml:space="preserve"> For the first scenario, Bus 6 in January showed the worst IVD recorded with up to 23% being obtained. However, in this scenario, the worst</w:t>
      </w:r>
      <w:r w:rsidR="008757BE">
        <w:rPr>
          <w:lang w:val="en-US"/>
        </w:rPr>
        <w:t xml:space="preserve"> </w:t>
      </w:r>
      <w:r w:rsidR="00B91BB0">
        <w:rPr>
          <w:lang w:val="en-US"/>
        </w:rPr>
        <w:t xml:space="preserve">individual bus </w:t>
      </w:r>
      <w:r w:rsidR="008757BE">
        <w:rPr>
          <w:lang w:val="en-US"/>
        </w:rPr>
        <w:t>instantaneous</w:t>
      </w:r>
      <w:r w:rsidR="00620053">
        <w:rPr>
          <w:lang w:val="en-US"/>
        </w:rPr>
        <w:t xml:space="preserve"> IVD recorded in January was 1.5% which was on bus 5. Compared to the tolerable range of 10% and the desirable range of 5%, this IVD is excellent for the microgrid and the magnitude of the improvement can be seen.</w:t>
      </w:r>
      <w:r w:rsidR="008757BE">
        <w:rPr>
          <w:lang w:val="en-US"/>
        </w:rPr>
        <w:t xml:space="preserve"> Also, January became the second least voltage-stable month in the year after December, which supports the deduction that the voltage stability of a standalone microgrid is impacted by the holiday season and first-month-of-the-year activities in the community.</w:t>
      </w:r>
      <w:r w:rsidR="00B91BB0">
        <w:rPr>
          <w:lang w:val="en-US"/>
        </w:rPr>
        <w:t xml:space="preserve"> The average monthly system IVD was</w:t>
      </w:r>
      <w:r w:rsidR="00A54E9E">
        <w:rPr>
          <w:lang w:val="en-US"/>
        </w:rPr>
        <w:t xml:space="preserve"> 0.4830%</w:t>
      </w:r>
      <w:r w:rsidR="00B91BB0">
        <w:rPr>
          <w:lang w:val="en-US"/>
        </w:rPr>
        <w:t xml:space="preserve"> for 744 hours.</w:t>
      </w:r>
    </w:p>
    <w:p w14:paraId="3DCE48EB" w14:textId="39493319" w:rsidR="00DB4184" w:rsidRDefault="00F4685F" w:rsidP="00F535A1">
      <w:pPr>
        <w:spacing w:line="240" w:lineRule="auto"/>
        <w:jc w:val="center"/>
        <w:rPr>
          <w:lang w:val="en-US"/>
        </w:rPr>
      </w:pPr>
      <w:r>
        <w:rPr>
          <w:rFonts w:ascii="Consolas" w:eastAsia="Times New Roman" w:hAnsi="Consolas"/>
          <w:noProof/>
          <w:color w:val="404040"/>
          <w:lang w:val="en-US"/>
        </w:rPr>
        <w:drawing>
          <wp:inline distT="0" distB="0" distL="0" distR="0" wp14:anchorId="6502B2A6" wp14:editId="338C8171">
            <wp:extent cx="4457700" cy="3345180"/>
            <wp:effectExtent l="0" t="0" r="0" b="7620"/>
            <wp:docPr id="80" name="uniqName_162_36" descr="https://www.mathworks.com/fil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36" descr="https://www.mathworks.com/file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83A1774" w14:textId="40547AF5" w:rsidR="0078165F" w:rsidRDefault="00257D56" w:rsidP="00F535A1">
      <w:pPr>
        <w:spacing w:line="240" w:lineRule="auto"/>
        <w:jc w:val="center"/>
        <w:rPr>
          <w:lang w:val="en-US"/>
        </w:rPr>
      </w:pPr>
      <w:r>
        <w:rPr>
          <w:b/>
          <w:sz w:val="20"/>
          <w:szCs w:val="20"/>
          <w:lang w:val="en-US"/>
        </w:rPr>
        <w:t>Figure 4.29</w:t>
      </w:r>
      <w:r w:rsidR="0078165F">
        <w:rPr>
          <w:b/>
          <w:sz w:val="20"/>
          <w:szCs w:val="20"/>
          <w:lang w:val="en-US"/>
        </w:rPr>
        <w:t xml:space="preserve"> – Average IVD in the microgrid in January (Scenario 2).</w:t>
      </w:r>
    </w:p>
    <w:p w14:paraId="5AB1831B" w14:textId="6D9B21BA" w:rsidR="008757BE" w:rsidRDefault="008757BE" w:rsidP="008757BE">
      <w:pPr>
        <w:spacing w:line="480" w:lineRule="auto"/>
        <w:rPr>
          <w:lang w:val="en-US"/>
        </w:rPr>
      </w:pPr>
      <w:r>
        <w:rPr>
          <w:lang w:val="en-US"/>
        </w:rPr>
        <w:t xml:space="preserve">In February, the performance of the microgrid improved from January, with the maximum </w:t>
      </w:r>
      <w:r w:rsidR="00B91BB0">
        <w:rPr>
          <w:lang w:val="en-US"/>
        </w:rPr>
        <w:t xml:space="preserve">instantaneous individual bus </w:t>
      </w:r>
      <w:r>
        <w:rPr>
          <w:lang w:val="en-US"/>
        </w:rPr>
        <w:t>IVD of 1.14% being recorded on bus 5. The system average (considering all 6 buses) hourly (instantaneous) IVDs stayed under 0.5% for the most part, however, they occasionally rose to 0.6</w:t>
      </w:r>
      <w:r w:rsidR="00A54E9E">
        <w:rPr>
          <w:lang w:val="en-US"/>
        </w:rPr>
        <w:t>104</w:t>
      </w:r>
      <w:r>
        <w:rPr>
          <w:lang w:val="en-US"/>
        </w:rPr>
        <w:t>%</w:t>
      </w:r>
      <w:r w:rsidR="004E1594">
        <w:rPr>
          <w:lang w:val="en-US"/>
        </w:rPr>
        <w:t xml:space="preserve"> while going as low as 0.27</w:t>
      </w:r>
      <w:r>
        <w:rPr>
          <w:lang w:val="en-US"/>
        </w:rPr>
        <w:t>%.</w:t>
      </w:r>
      <w:r w:rsidR="00B91BB0">
        <w:rPr>
          <w:lang w:val="en-US"/>
        </w:rPr>
        <w:t xml:space="preserve"> The average </w:t>
      </w:r>
      <w:r w:rsidR="00290753">
        <w:rPr>
          <w:lang w:val="en-US"/>
        </w:rPr>
        <w:t>monthly</w:t>
      </w:r>
      <w:r w:rsidR="00B91BB0">
        <w:rPr>
          <w:lang w:val="en-US"/>
        </w:rPr>
        <w:t xml:space="preserve"> system IVD for 672 hours was </w:t>
      </w:r>
      <w:r w:rsidR="00A54E9E">
        <w:rPr>
          <w:lang w:val="en-US"/>
        </w:rPr>
        <w:t>0.3840</w:t>
      </w:r>
      <w:r w:rsidR="00B91BB0">
        <w:rPr>
          <w:lang w:val="en-US"/>
        </w:rPr>
        <w:t>%.</w:t>
      </w:r>
    </w:p>
    <w:p w14:paraId="0247C1E7" w14:textId="1435A0B5" w:rsidR="00F4685F" w:rsidRDefault="00F4685F" w:rsidP="00F535A1">
      <w:pPr>
        <w:spacing w:line="240" w:lineRule="auto"/>
        <w:jc w:val="center"/>
        <w:rPr>
          <w:lang w:val="en-US"/>
        </w:rPr>
      </w:pPr>
      <w:r>
        <w:rPr>
          <w:rFonts w:ascii="Consolas" w:eastAsia="Times New Roman" w:hAnsi="Consolas"/>
          <w:noProof/>
          <w:color w:val="404040"/>
          <w:lang w:val="en-US"/>
        </w:rPr>
        <w:drawing>
          <wp:inline distT="0" distB="0" distL="0" distR="0" wp14:anchorId="6E87A1B6" wp14:editId="6453ACC4">
            <wp:extent cx="4457700" cy="3345180"/>
            <wp:effectExtent l="0" t="0" r="0" b="7620"/>
            <wp:docPr id="81" name="uniqName_162_40" descr="https://www.mathworks.com/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40" descr="https://www.mathworks.com/file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6863061C" w14:textId="578CA95D" w:rsidR="0078165F" w:rsidRDefault="00257D56" w:rsidP="00F535A1">
      <w:pPr>
        <w:spacing w:line="240" w:lineRule="auto"/>
        <w:jc w:val="center"/>
        <w:rPr>
          <w:lang w:val="en-US"/>
        </w:rPr>
      </w:pPr>
      <w:r>
        <w:rPr>
          <w:b/>
          <w:sz w:val="20"/>
          <w:szCs w:val="20"/>
          <w:lang w:val="en-US"/>
        </w:rPr>
        <w:t>Figure 4.30</w:t>
      </w:r>
      <w:r w:rsidR="0078165F">
        <w:rPr>
          <w:b/>
          <w:sz w:val="20"/>
          <w:szCs w:val="20"/>
          <w:lang w:val="en-US"/>
        </w:rPr>
        <w:t xml:space="preserve"> – Average IVD in the microgrid in February (Scenario 2).</w:t>
      </w:r>
    </w:p>
    <w:p w14:paraId="0421A623" w14:textId="48DB8D13" w:rsidR="00B91BB0" w:rsidRDefault="00B91BB0" w:rsidP="00B91BB0">
      <w:pPr>
        <w:spacing w:line="480" w:lineRule="auto"/>
        <w:rPr>
          <w:lang w:val="en-US"/>
        </w:rPr>
      </w:pPr>
      <w:r>
        <w:rPr>
          <w:lang w:val="en-US"/>
        </w:rPr>
        <w:t>In March, the performance of the microgrid improved from February, with the maximum instantaneous individual bus IVD of 1.05% being recorded on bus 5. The system average (considering all 6 buses) hourly (instantaneous) IVD</w:t>
      </w:r>
      <w:r w:rsidR="004E1594">
        <w:rPr>
          <w:lang w:val="en-US"/>
        </w:rPr>
        <w:t>s stayed under 0.4</w:t>
      </w:r>
      <w:r>
        <w:rPr>
          <w:lang w:val="en-US"/>
        </w:rPr>
        <w:t xml:space="preserve">% for the most part, however, they occasionally rose up to </w:t>
      </w:r>
      <w:r w:rsidR="00A54E9E">
        <w:rPr>
          <w:lang w:val="en-US"/>
        </w:rPr>
        <w:t>0.4616</w:t>
      </w:r>
      <w:r>
        <w:rPr>
          <w:lang w:val="en-US"/>
        </w:rPr>
        <w:t>%</w:t>
      </w:r>
      <w:r w:rsidR="004E1594">
        <w:rPr>
          <w:lang w:val="en-US"/>
        </w:rPr>
        <w:t xml:space="preserve"> while going as low as 0.26</w:t>
      </w:r>
      <w:r>
        <w:rPr>
          <w:lang w:val="en-US"/>
        </w:rPr>
        <w:t xml:space="preserve">%. The average </w:t>
      </w:r>
      <w:r w:rsidR="00290753">
        <w:rPr>
          <w:lang w:val="en-US"/>
        </w:rPr>
        <w:t>monthly</w:t>
      </w:r>
      <w:r>
        <w:rPr>
          <w:lang w:val="en-US"/>
        </w:rPr>
        <w:t xml:space="preserve"> system IVD for </w:t>
      </w:r>
      <w:r w:rsidR="00290753">
        <w:rPr>
          <w:lang w:val="en-US"/>
        </w:rPr>
        <w:t xml:space="preserve">March’s 744 </w:t>
      </w:r>
      <w:r>
        <w:rPr>
          <w:lang w:val="en-US"/>
        </w:rPr>
        <w:t xml:space="preserve">hours was </w:t>
      </w:r>
      <w:r w:rsidR="00A54E9E">
        <w:rPr>
          <w:lang w:val="en-US"/>
        </w:rPr>
        <w:t>0.3028</w:t>
      </w:r>
      <w:r>
        <w:rPr>
          <w:lang w:val="en-US"/>
        </w:rPr>
        <w:t>%.</w:t>
      </w:r>
    </w:p>
    <w:p w14:paraId="0846F416" w14:textId="77777777" w:rsidR="0033230F" w:rsidRDefault="0033230F" w:rsidP="0033230F">
      <w:pPr>
        <w:spacing w:line="480" w:lineRule="auto"/>
        <w:rPr>
          <w:lang w:val="en-US"/>
        </w:rPr>
      </w:pPr>
      <w:r>
        <w:rPr>
          <w:lang w:val="en-US"/>
        </w:rPr>
        <w:t>In April, the voltage stability of the microgrid decreased slightly from March, with the maximum instantaneous individual bus IVD of 1.15% being recorded on bus 5. The system average (considering all 6 buses) hourly (instantaneous) IVDs stayed under 0.55% for the most part, however, they occasionally rose up to 0.6076% while also going as low as 0.27%. The average monthly system IVD for the 720 considered hours of April was 0.3732%.</w:t>
      </w:r>
    </w:p>
    <w:p w14:paraId="29BFFE07" w14:textId="77777777" w:rsidR="0033230F" w:rsidRDefault="0033230F" w:rsidP="00B91BB0">
      <w:pPr>
        <w:spacing w:line="480" w:lineRule="auto"/>
        <w:rPr>
          <w:lang w:val="en-US"/>
        </w:rPr>
      </w:pPr>
    </w:p>
    <w:p w14:paraId="16A07193" w14:textId="741697EF" w:rsidR="00F4685F" w:rsidRDefault="00F4685F" w:rsidP="00F535A1">
      <w:pPr>
        <w:spacing w:line="240" w:lineRule="auto"/>
        <w:jc w:val="center"/>
        <w:rPr>
          <w:lang w:val="en-US"/>
        </w:rPr>
      </w:pPr>
      <w:r>
        <w:rPr>
          <w:rFonts w:ascii="Consolas" w:eastAsia="Times New Roman" w:hAnsi="Consolas"/>
          <w:noProof/>
          <w:color w:val="404040"/>
          <w:lang w:val="en-US"/>
        </w:rPr>
        <w:drawing>
          <wp:inline distT="0" distB="0" distL="0" distR="0" wp14:anchorId="3C90672A" wp14:editId="0AD29053">
            <wp:extent cx="4457700" cy="3345180"/>
            <wp:effectExtent l="0" t="0" r="0" b="7620"/>
            <wp:docPr id="82" name="uniqName_162_42" descr="https://www.mathworks.com/f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42" descr="https://www.mathworks.com/file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21CF9613" w14:textId="65F6153C" w:rsidR="0078165F" w:rsidRDefault="00257D56" w:rsidP="00F535A1">
      <w:pPr>
        <w:spacing w:line="240" w:lineRule="auto"/>
        <w:jc w:val="center"/>
        <w:rPr>
          <w:lang w:val="en-US"/>
        </w:rPr>
      </w:pPr>
      <w:r>
        <w:rPr>
          <w:b/>
          <w:sz w:val="20"/>
          <w:szCs w:val="20"/>
          <w:lang w:val="en-US"/>
        </w:rPr>
        <w:t>Figure 4.31</w:t>
      </w:r>
      <w:r w:rsidR="0078165F">
        <w:rPr>
          <w:b/>
          <w:sz w:val="20"/>
          <w:szCs w:val="20"/>
          <w:lang w:val="en-US"/>
        </w:rPr>
        <w:t xml:space="preserve"> – Average IVD in the microgrid in March (Scenario 2).</w:t>
      </w:r>
    </w:p>
    <w:p w14:paraId="007E2BC4" w14:textId="19F19390" w:rsidR="00F535A1" w:rsidRDefault="00F535A1" w:rsidP="00290753">
      <w:pPr>
        <w:spacing w:line="480" w:lineRule="auto"/>
        <w:rPr>
          <w:lang w:val="en-US"/>
        </w:rPr>
      </w:pPr>
      <w:r>
        <w:rPr>
          <w:lang w:val="en-US"/>
        </w:rPr>
        <w:t>In May, the voltage stability of the microgrid improved significantly from April except for bus 6 which showed worse performance than April, due to the increasing uncertainty of the connected CSP as the rainy season crept in, with the maximum instantaneous individual bus IVD of 0.8279 % being recorded on bus 5. Still, bus 6 was close behind with up to 0.8166% being recorded on it.  The system average (considering all 6 buses) hourly (instantaneous) IVDs stayed under 0.41% for the most part, however, they occasionally rose up to 0.4904% while also going as low as 0.11%. The average monthly system IVD for the 744 considered hours of May was 0.2536%.</w:t>
      </w:r>
    </w:p>
    <w:p w14:paraId="275591B4" w14:textId="254C1809" w:rsidR="00F4685F" w:rsidRDefault="00F4685F" w:rsidP="00F535A1">
      <w:pPr>
        <w:spacing w:line="240" w:lineRule="auto"/>
        <w:jc w:val="center"/>
        <w:rPr>
          <w:lang w:val="en-US"/>
        </w:rPr>
      </w:pPr>
      <w:r>
        <w:rPr>
          <w:rFonts w:ascii="Consolas" w:eastAsia="Times New Roman" w:hAnsi="Consolas"/>
          <w:noProof/>
          <w:color w:val="404040"/>
          <w:lang w:val="en-US"/>
        </w:rPr>
        <w:drawing>
          <wp:inline distT="0" distB="0" distL="0" distR="0" wp14:anchorId="3CA7EFEF" wp14:editId="11AC7606">
            <wp:extent cx="4457700" cy="3345180"/>
            <wp:effectExtent l="0" t="0" r="0" b="7620"/>
            <wp:docPr id="83" name="uniqName_162_44" descr="https://www.mathworks.com/f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44" descr="https://www.mathworks.com/file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7342DD3E" w14:textId="5FC84CE2" w:rsidR="00293E6B" w:rsidRDefault="00257D56" w:rsidP="00F535A1">
      <w:pPr>
        <w:spacing w:line="240" w:lineRule="auto"/>
        <w:jc w:val="center"/>
        <w:rPr>
          <w:lang w:val="en-US"/>
        </w:rPr>
      </w:pPr>
      <w:r>
        <w:rPr>
          <w:b/>
          <w:sz w:val="20"/>
          <w:szCs w:val="20"/>
          <w:lang w:val="en-US"/>
        </w:rPr>
        <w:t>Figure 4.32</w:t>
      </w:r>
      <w:r w:rsidR="00293E6B">
        <w:rPr>
          <w:b/>
          <w:sz w:val="20"/>
          <w:szCs w:val="20"/>
          <w:lang w:val="en-US"/>
        </w:rPr>
        <w:t xml:space="preserve"> – Average IVD in the microgrid in April (Scenario 2).</w:t>
      </w:r>
    </w:p>
    <w:p w14:paraId="2DB116EC" w14:textId="2D372A9F" w:rsidR="00E524FA" w:rsidRDefault="00F535A1" w:rsidP="00D74C78">
      <w:pPr>
        <w:spacing w:line="480" w:lineRule="auto"/>
        <w:rPr>
          <w:lang w:val="en-US"/>
        </w:rPr>
      </w:pPr>
      <w:r>
        <w:rPr>
          <w:lang w:val="en-US"/>
        </w:rPr>
        <w:t>In June, the voltage stability of the microgrid improved slightly from May except for bus 3 which showed worse performance than May due to increased loading and load variations, with the maximum instantaneous individual bus IVD of 0.8268% being recorded on bus 5. Still, bus 6 was close behind with up to 0.7554% being recorded on it.  The system average (considering all 6 buses) hourly (instantaneous) IVDs stayed under 0.3% for the most part, however, they occasionally rose up to 0.4812% while also going as low as 0.12%. The average monthly system IVD for the 720 considered hours of June was 0.2484%. June emerged as the month with the best voltage stability in this regard, which can be attributed to the peaking of the hydropower generation and the effect of the battery bank as well as the loading conditions for the month of June.</w:t>
      </w:r>
    </w:p>
    <w:p w14:paraId="2CBACD15" w14:textId="241EB995" w:rsidR="00F4685F" w:rsidRDefault="00F4685F" w:rsidP="00F535A1">
      <w:pPr>
        <w:spacing w:line="240" w:lineRule="auto"/>
        <w:jc w:val="center"/>
        <w:rPr>
          <w:lang w:val="en-US"/>
        </w:rPr>
      </w:pPr>
      <w:r>
        <w:rPr>
          <w:rFonts w:ascii="Consolas" w:eastAsia="Times New Roman" w:hAnsi="Consolas"/>
          <w:noProof/>
          <w:color w:val="404040"/>
          <w:lang w:val="en-US"/>
        </w:rPr>
        <w:drawing>
          <wp:inline distT="0" distB="0" distL="0" distR="0" wp14:anchorId="2E2A5EB0" wp14:editId="2A7F42B5">
            <wp:extent cx="4457700" cy="3345180"/>
            <wp:effectExtent l="0" t="0" r="0" b="7620"/>
            <wp:docPr id="84" name="uniqName_162_47" descr="https://www.mathworks.com/fi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47" descr="https://www.mathworks.com/file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9C251CF" w14:textId="6BC2092F" w:rsidR="00787206" w:rsidRDefault="00257D56" w:rsidP="00F535A1">
      <w:pPr>
        <w:spacing w:line="240" w:lineRule="auto"/>
        <w:jc w:val="center"/>
        <w:rPr>
          <w:lang w:val="en-US"/>
        </w:rPr>
      </w:pPr>
      <w:r>
        <w:rPr>
          <w:b/>
          <w:sz w:val="20"/>
          <w:szCs w:val="20"/>
          <w:lang w:val="en-US"/>
        </w:rPr>
        <w:t>Figure 4.33</w:t>
      </w:r>
      <w:r w:rsidR="00787206">
        <w:rPr>
          <w:b/>
          <w:sz w:val="20"/>
          <w:szCs w:val="20"/>
          <w:lang w:val="en-US"/>
        </w:rPr>
        <w:t xml:space="preserve"> – Average IVD in the microgrid in May (Scenario 2).</w:t>
      </w:r>
    </w:p>
    <w:p w14:paraId="4CEFAFAE" w14:textId="5FF5E162" w:rsidR="00724AA3" w:rsidRDefault="00724AA3" w:rsidP="00724AA3">
      <w:pPr>
        <w:spacing w:line="480" w:lineRule="auto"/>
        <w:rPr>
          <w:lang w:val="en-US"/>
        </w:rPr>
      </w:pPr>
    </w:p>
    <w:p w14:paraId="738A2BE1" w14:textId="2B943385" w:rsidR="00F4685F" w:rsidRDefault="00F4685F" w:rsidP="00F535A1">
      <w:pPr>
        <w:spacing w:line="240" w:lineRule="auto"/>
        <w:jc w:val="center"/>
        <w:rPr>
          <w:lang w:val="en-US"/>
        </w:rPr>
      </w:pPr>
      <w:r>
        <w:rPr>
          <w:rFonts w:ascii="Consolas" w:eastAsia="Times New Roman" w:hAnsi="Consolas"/>
          <w:noProof/>
          <w:color w:val="404040"/>
          <w:lang w:val="en-US"/>
        </w:rPr>
        <w:drawing>
          <wp:inline distT="0" distB="0" distL="0" distR="0" wp14:anchorId="427AAC14" wp14:editId="7728443E">
            <wp:extent cx="4457700" cy="3345180"/>
            <wp:effectExtent l="0" t="0" r="0" b="7620"/>
            <wp:docPr id="85" name="uniqName_162_50" descr="https://www.mathworks.com/fi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50" descr="https://www.mathworks.com/file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6F89408B" w14:textId="577DDD0C" w:rsidR="009675F1" w:rsidRDefault="00257D56" w:rsidP="00F535A1">
      <w:pPr>
        <w:spacing w:line="240" w:lineRule="auto"/>
        <w:jc w:val="center"/>
        <w:rPr>
          <w:lang w:val="en-US"/>
        </w:rPr>
      </w:pPr>
      <w:r>
        <w:rPr>
          <w:b/>
          <w:sz w:val="20"/>
          <w:szCs w:val="20"/>
          <w:lang w:val="en-US"/>
        </w:rPr>
        <w:t>Figure 4.34</w:t>
      </w:r>
      <w:r w:rsidR="009675F1">
        <w:rPr>
          <w:b/>
          <w:sz w:val="20"/>
          <w:szCs w:val="20"/>
          <w:lang w:val="en-US"/>
        </w:rPr>
        <w:t xml:space="preserve"> – Average IVD in the microgrid in June (Scenario 2).</w:t>
      </w:r>
    </w:p>
    <w:p w14:paraId="32AADCE7" w14:textId="16A4F338" w:rsidR="005A66CF" w:rsidRDefault="005A66CF" w:rsidP="005A66CF">
      <w:pPr>
        <w:spacing w:line="480" w:lineRule="auto"/>
        <w:rPr>
          <w:lang w:val="en-US"/>
        </w:rPr>
      </w:pPr>
      <w:r>
        <w:rPr>
          <w:lang w:val="en-US"/>
        </w:rPr>
        <w:t>July showed a slight decline in the voltage stability of the microgrid</w:t>
      </w:r>
      <w:r w:rsidR="009332AB">
        <w:rPr>
          <w:lang w:val="en-US"/>
        </w:rPr>
        <w:t xml:space="preserve"> from June</w:t>
      </w:r>
      <w:r>
        <w:rPr>
          <w:lang w:val="en-US"/>
        </w:rPr>
        <w:t>, with the maximum instantaneous individual bus IVD of 0.7795% being recorded on bus 5. The system average (considering all 6 buses) hourly (instantaneous) IVDs stayed under 0.4% for the most part, however, they occasionally rose up to 0.4520% while also going as low as 0.13%. The average monthly system IVD for the 744 considered hours of July was 0.2682%.</w:t>
      </w:r>
    </w:p>
    <w:p w14:paraId="61929FAC" w14:textId="7FA5D439" w:rsidR="00F4685F" w:rsidRDefault="00F4685F" w:rsidP="00F4685F">
      <w:pPr>
        <w:spacing w:line="480" w:lineRule="auto"/>
        <w:jc w:val="center"/>
        <w:rPr>
          <w:lang w:val="en-US"/>
        </w:rPr>
      </w:pPr>
      <w:r>
        <w:rPr>
          <w:rFonts w:ascii="Consolas" w:eastAsia="Times New Roman" w:hAnsi="Consolas"/>
          <w:noProof/>
          <w:color w:val="404040"/>
          <w:lang w:val="en-US"/>
        </w:rPr>
        <w:drawing>
          <wp:inline distT="0" distB="0" distL="0" distR="0" wp14:anchorId="6BA30E8E" wp14:editId="69723F97">
            <wp:extent cx="4457700" cy="3345180"/>
            <wp:effectExtent l="0" t="0" r="0" b="7620"/>
            <wp:docPr id="86" name="uniqName_162_61" descr="https://www.mathworks.com/fil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61" descr="https://www.mathworks.com/file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17CB925C" w14:textId="75CBB426" w:rsidR="009675F1" w:rsidRDefault="00257D56" w:rsidP="009675F1">
      <w:pPr>
        <w:spacing w:line="480" w:lineRule="auto"/>
        <w:jc w:val="center"/>
        <w:rPr>
          <w:lang w:val="en-US"/>
        </w:rPr>
      </w:pPr>
      <w:r>
        <w:rPr>
          <w:b/>
          <w:sz w:val="20"/>
          <w:szCs w:val="20"/>
          <w:lang w:val="en-US"/>
        </w:rPr>
        <w:t>Figure 4.35</w:t>
      </w:r>
      <w:r w:rsidR="009675F1">
        <w:rPr>
          <w:b/>
          <w:sz w:val="20"/>
          <w:szCs w:val="20"/>
          <w:lang w:val="en-US"/>
        </w:rPr>
        <w:t xml:space="preserve"> – Average IVD in the microgrid in July (Scenario 2).</w:t>
      </w:r>
    </w:p>
    <w:p w14:paraId="5915A4DE" w14:textId="7C55791A" w:rsidR="00656BE8" w:rsidRDefault="00656BE8" w:rsidP="00656BE8">
      <w:pPr>
        <w:spacing w:line="480" w:lineRule="auto"/>
        <w:rPr>
          <w:lang w:val="en-US"/>
        </w:rPr>
      </w:pPr>
      <w:r>
        <w:rPr>
          <w:lang w:val="en-US"/>
        </w:rPr>
        <w:t xml:space="preserve">August continued the trend of July, showing a slight decline in the voltage stability of the microgrid that started </w:t>
      </w:r>
      <w:r w:rsidR="008B3D06">
        <w:rPr>
          <w:lang w:val="en-US"/>
        </w:rPr>
        <w:t>in</w:t>
      </w:r>
      <w:r>
        <w:rPr>
          <w:lang w:val="en-US"/>
        </w:rPr>
        <w:t xml:space="preserve"> June, with the maximum instantaneous individual bus IVD of 0.9108% being recorded on bus 5. The system average (considering all 6 buses) hourly (instantaneous) IVDs stayed under 0.5% for the most part, however, they occasionally rose up to 0.5369% while also going as low as 0.13%. The average monthly system IVD for the 744 considered hours of August was 0.2953%. At this time of the year, the rainy season is in full flow, yet, due to the low hydro capacity of 200kVA, the hydro peaking cannot fully compensate </w:t>
      </w:r>
      <w:r w:rsidR="008B3D06">
        <w:rPr>
          <w:lang w:val="en-US"/>
        </w:rPr>
        <w:t xml:space="preserve">for </w:t>
      </w:r>
      <w:r>
        <w:rPr>
          <w:lang w:val="en-US"/>
        </w:rPr>
        <w:t>the shortfall from CSP and PV, which forces the reliance on the batteries and inverter system for significant periods, which contributes to lowering stability of the system.</w:t>
      </w:r>
    </w:p>
    <w:p w14:paraId="31C235A1" w14:textId="4EB47DF0" w:rsidR="00F4685F" w:rsidRDefault="00F4685F" w:rsidP="00F4685F">
      <w:pPr>
        <w:spacing w:line="480" w:lineRule="auto"/>
        <w:jc w:val="center"/>
        <w:rPr>
          <w:lang w:val="en-US"/>
        </w:rPr>
      </w:pPr>
      <w:r>
        <w:rPr>
          <w:rFonts w:ascii="Consolas" w:eastAsia="Times New Roman" w:hAnsi="Consolas"/>
          <w:noProof/>
          <w:color w:val="404040"/>
          <w:lang w:val="en-US"/>
        </w:rPr>
        <w:drawing>
          <wp:inline distT="0" distB="0" distL="0" distR="0" wp14:anchorId="2AFAAA5B" wp14:editId="6D663A06">
            <wp:extent cx="4457700" cy="3345180"/>
            <wp:effectExtent l="0" t="0" r="0" b="7620"/>
            <wp:docPr id="87" name="uniqName_162_63" descr="https://www.mathworks.com/fil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63" descr="https://www.mathworks.com/file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7D503C6C" w14:textId="5CD54B4D" w:rsidR="009675F1" w:rsidRDefault="00257D56" w:rsidP="009675F1">
      <w:pPr>
        <w:spacing w:line="480" w:lineRule="auto"/>
        <w:jc w:val="center"/>
        <w:rPr>
          <w:lang w:val="en-US"/>
        </w:rPr>
      </w:pPr>
      <w:r>
        <w:rPr>
          <w:b/>
          <w:sz w:val="20"/>
          <w:szCs w:val="20"/>
          <w:lang w:val="en-US"/>
        </w:rPr>
        <w:t>Figure 4.36</w:t>
      </w:r>
      <w:r w:rsidR="009675F1">
        <w:rPr>
          <w:b/>
          <w:sz w:val="20"/>
          <w:szCs w:val="20"/>
          <w:lang w:val="en-US"/>
        </w:rPr>
        <w:t xml:space="preserve"> – Average IVD in the microgrid in August (Scenario 2).</w:t>
      </w:r>
    </w:p>
    <w:p w14:paraId="6754C526" w14:textId="25680C89" w:rsidR="004228B1" w:rsidRDefault="004228B1" w:rsidP="004228B1">
      <w:pPr>
        <w:spacing w:line="480" w:lineRule="auto"/>
        <w:rPr>
          <w:lang w:val="en-US"/>
        </w:rPr>
      </w:pPr>
      <w:r>
        <w:rPr>
          <w:lang w:val="en-US"/>
        </w:rPr>
        <w:t>By September, the incipient abatement</w:t>
      </w:r>
      <w:r w:rsidR="00423369">
        <w:rPr>
          <w:lang w:val="en-US"/>
        </w:rPr>
        <w:t xml:space="preserve"> of the rainy season enables more PV generation. However, the CSP generation had yet to rise, which lead to continued reliance on battery energy storage, PV, and hydro, to take the slack of the load. Nevertheless, there was a slight improvement from August, with the maximum instantaneous individual bus IVD of 0.9512% being recorded on bus 6, due to the relatively less abundance of CSP generation. The system average (considering all 6 buses) hourly (insta</w:t>
      </w:r>
      <w:r w:rsidR="00B03C5F">
        <w:rPr>
          <w:lang w:val="en-US"/>
        </w:rPr>
        <w:t>ntaneous) IVDs stayed under 0.4</w:t>
      </w:r>
      <w:r w:rsidR="00423369">
        <w:rPr>
          <w:lang w:val="en-US"/>
        </w:rPr>
        <w:t>% for the most part, however, they occasionally rose up to 0</w:t>
      </w:r>
      <w:r w:rsidR="00B03C5F">
        <w:rPr>
          <w:lang w:val="en-US"/>
        </w:rPr>
        <w:t>.5238</w:t>
      </w:r>
      <w:r w:rsidR="00423369">
        <w:rPr>
          <w:lang w:val="en-US"/>
        </w:rPr>
        <w:t>% w</w:t>
      </w:r>
      <w:r w:rsidR="00B80A22">
        <w:rPr>
          <w:lang w:val="en-US"/>
        </w:rPr>
        <w:t>hile also going as low as 0.11</w:t>
      </w:r>
      <w:r w:rsidR="00423369">
        <w:rPr>
          <w:lang w:val="en-US"/>
        </w:rPr>
        <w:t>%. The average monthly system IVD for the 720 considered hours of September was 0.2586%.</w:t>
      </w:r>
    </w:p>
    <w:p w14:paraId="13C790AB" w14:textId="780BE7C7" w:rsidR="00F4685F" w:rsidRDefault="00F4685F" w:rsidP="00F535A1">
      <w:pPr>
        <w:spacing w:line="240" w:lineRule="auto"/>
        <w:jc w:val="center"/>
        <w:rPr>
          <w:lang w:val="en-US"/>
        </w:rPr>
      </w:pPr>
      <w:r>
        <w:rPr>
          <w:rFonts w:ascii="Consolas" w:eastAsia="Times New Roman" w:hAnsi="Consolas"/>
          <w:noProof/>
          <w:color w:val="404040"/>
          <w:lang w:val="en-US"/>
        </w:rPr>
        <w:drawing>
          <wp:inline distT="0" distB="0" distL="0" distR="0" wp14:anchorId="18493DBE" wp14:editId="4CD2617D">
            <wp:extent cx="4457700" cy="3345180"/>
            <wp:effectExtent l="0" t="0" r="0" b="7620"/>
            <wp:docPr id="88" name="uniqName_162_65" descr="https://www.mathworks.com/fil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65" descr="https://www.mathworks.com/file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7BC7B327" w14:textId="790947C2" w:rsidR="009675F1" w:rsidRDefault="00257D56" w:rsidP="00F535A1">
      <w:pPr>
        <w:spacing w:line="240" w:lineRule="auto"/>
        <w:jc w:val="center"/>
        <w:rPr>
          <w:lang w:val="en-US"/>
        </w:rPr>
      </w:pPr>
      <w:r>
        <w:rPr>
          <w:b/>
          <w:sz w:val="20"/>
          <w:szCs w:val="20"/>
          <w:lang w:val="en-US"/>
        </w:rPr>
        <w:t>Figure 4.37</w:t>
      </w:r>
      <w:r w:rsidR="009675F1">
        <w:rPr>
          <w:b/>
          <w:sz w:val="20"/>
          <w:szCs w:val="20"/>
          <w:lang w:val="en-US"/>
        </w:rPr>
        <w:t xml:space="preserve"> – Average IVD in the microgrid in September (Scenario 2).</w:t>
      </w:r>
    </w:p>
    <w:p w14:paraId="21DC66E2" w14:textId="646A1FB8" w:rsidR="00456FF5" w:rsidRDefault="00192BD4" w:rsidP="005B51AA">
      <w:pPr>
        <w:spacing w:line="480" w:lineRule="auto"/>
        <w:rPr>
          <w:lang w:val="en-US"/>
        </w:rPr>
      </w:pPr>
      <w:r>
        <w:rPr>
          <w:lang w:val="en-US"/>
        </w:rPr>
        <w:t xml:space="preserve">In October, the loaded buses all showed </w:t>
      </w:r>
      <w:r w:rsidR="00F3159E">
        <w:rPr>
          <w:lang w:val="en-US"/>
        </w:rPr>
        <w:t xml:space="preserve">marginally </w:t>
      </w:r>
      <w:r w:rsidR="003C00F2">
        <w:rPr>
          <w:lang w:val="en-US"/>
        </w:rPr>
        <w:t>increasing</w:t>
      </w:r>
      <w:r>
        <w:rPr>
          <w:lang w:val="en-US"/>
        </w:rPr>
        <w:t xml:space="preserve"> IVD compared to September e</w:t>
      </w:r>
      <w:r w:rsidR="00F3159E">
        <w:rPr>
          <w:lang w:val="en-US"/>
        </w:rPr>
        <w:t>xcept bus 6. The different behavio</w:t>
      </w:r>
      <w:r w:rsidR="008B3D06">
        <w:rPr>
          <w:lang w:val="en-US"/>
        </w:rPr>
        <w:t>u</w:t>
      </w:r>
      <w:r w:rsidR="00F3159E">
        <w:rPr>
          <w:lang w:val="en-US"/>
        </w:rPr>
        <w:t xml:space="preserve">r of bus 6 can be attributed to the rise in CSP generation at this time of the year. The maximum instantaneous individual bus IVD of 1.1123% </w:t>
      </w:r>
      <w:r w:rsidR="008B3D06">
        <w:rPr>
          <w:lang w:val="en-US"/>
        </w:rPr>
        <w:t>was</w:t>
      </w:r>
      <w:r w:rsidR="00F3159E">
        <w:rPr>
          <w:lang w:val="en-US"/>
        </w:rPr>
        <w:t xml:space="preserve"> recorded on bus 5. The system average (considering all 6 buses) hourly (instantaneous) IVDs stayed under 0.55% for the most part, however, they occasionally rose up to 0.5573% while also going as low as 0.32%. The average monthly system IVD for the 744 considered hours of October was 0.3861%.</w:t>
      </w:r>
      <w:r w:rsidR="00456FF5">
        <w:rPr>
          <w:lang w:val="en-US"/>
        </w:rPr>
        <w:t xml:space="preserve"> </w:t>
      </w:r>
    </w:p>
    <w:p w14:paraId="06EABE8A" w14:textId="0691BB34" w:rsidR="00192BD4" w:rsidRDefault="00456FF5" w:rsidP="005B51AA">
      <w:pPr>
        <w:spacing w:line="480" w:lineRule="auto"/>
        <w:rPr>
          <w:lang w:val="en-US"/>
        </w:rPr>
      </w:pPr>
      <w:r>
        <w:rPr>
          <w:lang w:val="en-US"/>
        </w:rPr>
        <w:t>It is noteworthy that in the first scenario, October produced the best average IVD chiefly for the reason that bus 6 (which was the weak spot dragging down the rest of the system) was relatively stronger in that month, and in this scenario as well, bus 6 is the only bus that has an improved IVD relative to the September operating state, which shows that not only the increase in generation but also the loading conditions in October play a role in the improved performance</w:t>
      </w:r>
      <w:r w:rsidR="003A342F">
        <w:rPr>
          <w:lang w:val="en-US"/>
        </w:rPr>
        <w:t xml:space="preserve"> in that period</w:t>
      </w:r>
      <w:r>
        <w:rPr>
          <w:lang w:val="en-US"/>
        </w:rPr>
        <w:t>.</w:t>
      </w:r>
    </w:p>
    <w:p w14:paraId="14BAA2A3" w14:textId="15CE4050" w:rsidR="00F3159E" w:rsidRDefault="00F3159E" w:rsidP="005B51AA">
      <w:pPr>
        <w:spacing w:line="480" w:lineRule="auto"/>
        <w:rPr>
          <w:lang w:val="en-US"/>
        </w:rPr>
      </w:pPr>
      <w:r>
        <w:rPr>
          <w:lang w:val="en-US"/>
        </w:rPr>
        <w:t xml:space="preserve">In November, the system continued to show </w:t>
      </w:r>
      <w:r w:rsidR="008B3D06">
        <w:rPr>
          <w:lang w:val="en-US"/>
        </w:rPr>
        <w:t xml:space="preserve">a </w:t>
      </w:r>
      <w:r>
        <w:rPr>
          <w:lang w:val="en-US"/>
        </w:rPr>
        <w:t>slight increase in IVD on all buses</w:t>
      </w:r>
      <w:r w:rsidR="003C00F2">
        <w:rPr>
          <w:lang w:val="en-US"/>
        </w:rPr>
        <w:t>, with the maxim</w:t>
      </w:r>
      <w:r w:rsidR="008F0415">
        <w:rPr>
          <w:lang w:val="en-US"/>
        </w:rPr>
        <w:t xml:space="preserve">um </w:t>
      </w:r>
      <w:r w:rsidR="003C00F2">
        <w:rPr>
          <w:lang w:val="en-US"/>
        </w:rPr>
        <w:t>instantaneous individual bus IVD of 1.1351% being recorded on bus 5. The system average (considering all 6 buses) hourly (instantaneous) IVDs stayed under 0.47% for the most part, however, they occasionally rose up to 0.5872% while also going as low as 0.33%. The average monthly system IVD for the 720 considered hours of November was 0.4132%.</w:t>
      </w:r>
    </w:p>
    <w:p w14:paraId="0C1E88EF" w14:textId="2E3846D6" w:rsidR="00F4685F" w:rsidRDefault="00F4685F" w:rsidP="00F535A1">
      <w:pPr>
        <w:spacing w:line="240" w:lineRule="auto"/>
        <w:jc w:val="center"/>
        <w:rPr>
          <w:lang w:val="en-US"/>
        </w:rPr>
      </w:pPr>
      <w:r>
        <w:rPr>
          <w:rFonts w:ascii="Consolas" w:eastAsia="Times New Roman" w:hAnsi="Consolas"/>
          <w:noProof/>
          <w:color w:val="404040"/>
          <w:lang w:val="en-US"/>
        </w:rPr>
        <w:drawing>
          <wp:inline distT="0" distB="0" distL="0" distR="0" wp14:anchorId="25E5ADE6" wp14:editId="774D1CE7">
            <wp:extent cx="4457700" cy="3345180"/>
            <wp:effectExtent l="0" t="0" r="0" b="7620"/>
            <wp:docPr id="89" name="uniqName_162_67" descr="https://www.mathworks.com/fil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67" descr="https://www.mathworks.com/file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00244D4" w14:textId="137474F6" w:rsidR="009675F1" w:rsidRDefault="00257D56" w:rsidP="00F535A1">
      <w:pPr>
        <w:spacing w:line="240" w:lineRule="auto"/>
        <w:jc w:val="center"/>
        <w:rPr>
          <w:lang w:val="en-US"/>
        </w:rPr>
      </w:pPr>
      <w:r>
        <w:rPr>
          <w:b/>
          <w:sz w:val="20"/>
          <w:szCs w:val="20"/>
          <w:lang w:val="en-US"/>
        </w:rPr>
        <w:t>Figure 4.38</w:t>
      </w:r>
      <w:r w:rsidR="009675F1">
        <w:rPr>
          <w:b/>
          <w:sz w:val="20"/>
          <w:szCs w:val="20"/>
          <w:lang w:val="en-US"/>
        </w:rPr>
        <w:t xml:space="preserve"> – Average IVD in the microgrid in October (Scenario 2).</w:t>
      </w:r>
    </w:p>
    <w:p w14:paraId="4A5B6B8F" w14:textId="4F22DF17" w:rsidR="003C00F2" w:rsidRDefault="003C00F2" w:rsidP="003C00F2">
      <w:pPr>
        <w:spacing w:line="480" w:lineRule="auto"/>
        <w:rPr>
          <w:lang w:val="en-US"/>
        </w:rPr>
      </w:pPr>
      <w:r>
        <w:rPr>
          <w:lang w:val="en-US"/>
        </w:rPr>
        <w:t xml:space="preserve">In December, the </w:t>
      </w:r>
      <w:r w:rsidR="00456FF5">
        <w:rPr>
          <w:lang w:val="en-US"/>
        </w:rPr>
        <w:t xml:space="preserve">microgrid voltage stability had its worst average performance compared to other months. However, this was also excellent performance as it stayed firmly in the desirable </w:t>
      </w:r>
      <w:r w:rsidR="008F0415">
        <w:rPr>
          <w:lang w:val="en-US"/>
        </w:rPr>
        <w:t xml:space="preserve">5% </w:t>
      </w:r>
      <w:r w:rsidR="00456FF5">
        <w:rPr>
          <w:lang w:val="en-US"/>
        </w:rPr>
        <w:t>IVD range for all buses during this time.</w:t>
      </w:r>
      <w:r w:rsidR="008F0415">
        <w:rPr>
          <w:lang w:val="en-US"/>
        </w:rPr>
        <w:t xml:space="preserve"> The maximum instantaneous individual bus IVD of 1.9255%, which was the worst value seen on any bus at any time of the year in this second scenario, was recorded on bus 4. This does not follow the usual trend in which bus 5 is the least stable bus on the microgrid, and this is explained by increased load stochasticity in December such that the load conditions on bus 4 caused this uncharacteristic behavio</w:t>
      </w:r>
      <w:r w:rsidR="008B3D06">
        <w:rPr>
          <w:lang w:val="en-US"/>
        </w:rPr>
        <w:t>u</w:t>
      </w:r>
      <w:r w:rsidR="008F0415">
        <w:rPr>
          <w:lang w:val="en-US"/>
        </w:rPr>
        <w:t>r. Such unexpected results are a reflection of the fact that uncertainty has been factored into the simulation.</w:t>
      </w:r>
      <w:r w:rsidR="00DD262B">
        <w:rPr>
          <w:lang w:val="en-US"/>
        </w:rPr>
        <w:t xml:space="preserve"> This is also evident when it is seen that bus 5 also had a relatively large maximum instantaneous IVD of 1.2565% in December. The system average (considering all 6 buses) hourly (instantaneous) IVDs stayed under 0.7% for the most part, however, they occasionally rose up to 0.8106% while also going as low as 0.36%. The average monthly system IVD for the 720 considered hours of November was 0.5296%. Thus, December emerged as the month with the least voltage stability on the microgrid, even after shifting the CSP plant to bus 6, and this is explained by increased load stochasticity in this period.</w:t>
      </w:r>
    </w:p>
    <w:p w14:paraId="50073AC6" w14:textId="31591FD5" w:rsidR="00F4685F" w:rsidRDefault="00F4685F" w:rsidP="009675F1">
      <w:pPr>
        <w:spacing w:line="276" w:lineRule="auto"/>
        <w:jc w:val="center"/>
        <w:rPr>
          <w:lang w:val="en-US"/>
        </w:rPr>
      </w:pPr>
      <w:r>
        <w:rPr>
          <w:rFonts w:ascii="Consolas" w:eastAsia="Times New Roman" w:hAnsi="Consolas"/>
          <w:noProof/>
          <w:color w:val="404040"/>
          <w:lang w:val="en-US"/>
        </w:rPr>
        <w:drawing>
          <wp:inline distT="0" distB="0" distL="0" distR="0" wp14:anchorId="2287824E" wp14:editId="75F5F385">
            <wp:extent cx="4457700" cy="3169920"/>
            <wp:effectExtent l="0" t="0" r="0" b="0"/>
            <wp:docPr id="90" name="uniqName_162_69" descr="https://www.mathworks.com/fil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69" descr="https://www.mathworks.com/file10.png"/>
                    <pic:cNvPicPr>
                      <a:picLocks noChangeAspect="1" noChangeArrowheads="1"/>
                    </pic:cNvPicPr>
                  </pic:nvPicPr>
                  <pic:blipFill rotWithShape="1">
                    <a:blip r:embed="rId69">
                      <a:extLst>
                        <a:ext uri="{28A0092B-C50C-407E-A947-70E740481C1C}">
                          <a14:useLocalDpi xmlns:a14="http://schemas.microsoft.com/office/drawing/2010/main" val="0"/>
                        </a:ext>
                      </a:extLst>
                    </a:blip>
                    <a:srcRect t="5239"/>
                    <a:stretch/>
                  </pic:blipFill>
                  <pic:spPr bwMode="auto">
                    <a:xfrm>
                      <a:off x="0" y="0"/>
                      <a:ext cx="4457700"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326FBB4" w14:textId="222044A4" w:rsidR="009675F1" w:rsidRDefault="00257D56" w:rsidP="009675F1">
      <w:pPr>
        <w:spacing w:line="276" w:lineRule="auto"/>
        <w:jc w:val="center"/>
        <w:rPr>
          <w:lang w:val="en-US"/>
        </w:rPr>
      </w:pPr>
      <w:r>
        <w:rPr>
          <w:b/>
          <w:sz w:val="20"/>
          <w:szCs w:val="20"/>
          <w:lang w:val="en-US"/>
        </w:rPr>
        <w:t>Figure 4.39</w:t>
      </w:r>
      <w:r w:rsidR="009675F1">
        <w:rPr>
          <w:b/>
          <w:sz w:val="20"/>
          <w:szCs w:val="20"/>
          <w:lang w:val="en-US"/>
        </w:rPr>
        <w:t xml:space="preserve"> – Average IVD in the microgrid in November (Scenario 2).</w:t>
      </w:r>
    </w:p>
    <w:p w14:paraId="5E5296E8" w14:textId="53A5BB2B" w:rsidR="00F4685F" w:rsidRDefault="00F4685F" w:rsidP="0061402A">
      <w:pPr>
        <w:spacing w:line="240" w:lineRule="auto"/>
        <w:jc w:val="center"/>
        <w:rPr>
          <w:lang w:val="en-US"/>
        </w:rPr>
      </w:pPr>
      <w:r>
        <w:rPr>
          <w:rFonts w:ascii="Consolas" w:eastAsia="Times New Roman" w:hAnsi="Consolas"/>
          <w:noProof/>
          <w:color w:val="404040"/>
          <w:lang w:val="en-US"/>
        </w:rPr>
        <w:drawing>
          <wp:inline distT="0" distB="0" distL="0" distR="0" wp14:anchorId="18F51007" wp14:editId="75824ECC">
            <wp:extent cx="4457700" cy="3169920"/>
            <wp:effectExtent l="0" t="0" r="0" b="0"/>
            <wp:docPr id="91" name="uniqName_162_71" descr="https://www.mathworks.com/fil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71" descr="https://www.mathworks.com/file11.png"/>
                    <pic:cNvPicPr>
                      <a:picLocks noChangeAspect="1" noChangeArrowheads="1"/>
                    </pic:cNvPicPr>
                  </pic:nvPicPr>
                  <pic:blipFill rotWithShape="1">
                    <a:blip r:embed="rId70">
                      <a:extLst>
                        <a:ext uri="{28A0092B-C50C-407E-A947-70E740481C1C}">
                          <a14:useLocalDpi xmlns:a14="http://schemas.microsoft.com/office/drawing/2010/main" val="0"/>
                        </a:ext>
                      </a:extLst>
                    </a:blip>
                    <a:srcRect t="5239"/>
                    <a:stretch/>
                  </pic:blipFill>
                  <pic:spPr bwMode="auto">
                    <a:xfrm>
                      <a:off x="0" y="0"/>
                      <a:ext cx="4457700"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5953274C" w14:textId="203E336A" w:rsidR="00D12C63" w:rsidRDefault="00257D56" w:rsidP="00257D56">
      <w:pPr>
        <w:spacing w:line="480" w:lineRule="auto"/>
        <w:jc w:val="center"/>
        <w:rPr>
          <w:b/>
          <w:sz w:val="20"/>
          <w:szCs w:val="20"/>
          <w:lang w:val="en-US"/>
        </w:rPr>
      </w:pPr>
      <w:r>
        <w:rPr>
          <w:b/>
          <w:sz w:val="20"/>
          <w:szCs w:val="20"/>
          <w:lang w:val="en-US"/>
        </w:rPr>
        <w:t>Figure 4.40</w:t>
      </w:r>
      <w:r w:rsidR="009675F1">
        <w:rPr>
          <w:b/>
          <w:sz w:val="20"/>
          <w:szCs w:val="20"/>
          <w:lang w:val="en-US"/>
        </w:rPr>
        <w:t xml:space="preserve"> – Average IVD in the microgrid in December (Scenario 2).</w:t>
      </w:r>
    </w:p>
    <w:p w14:paraId="491C912F" w14:textId="46ADB6ED" w:rsidR="0039573A" w:rsidRDefault="003B0C5D" w:rsidP="00257D56">
      <w:pPr>
        <w:pStyle w:val="Heading3"/>
        <w:spacing w:line="480" w:lineRule="auto"/>
      </w:pPr>
      <w:bookmarkStart w:id="90" w:name="_Toc110502628"/>
      <w:r>
        <w:t xml:space="preserve">Graphical </w:t>
      </w:r>
      <w:r w:rsidR="0039573A">
        <w:t>Comparison of First and Second Scenarios</w:t>
      </w:r>
      <w:bookmarkEnd w:id="90"/>
    </w:p>
    <w:p w14:paraId="0311ECB1" w14:textId="78EEDDDF" w:rsidR="0039573A" w:rsidRDefault="0039573A" w:rsidP="008A2ED0">
      <w:pPr>
        <w:spacing w:line="480" w:lineRule="auto"/>
        <w:rPr>
          <w:lang w:val="en-US"/>
        </w:rPr>
      </w:pPr>
      <w:r>
        <w:rPr>
          <w:lang w:val="en-US"/>
        </w:rPr>
        <w:t>F</w:t>
      </w:r>
      <w:r w:rsidR="00276237">
        <w:rPr>
          <w:lang w:val="en-US"/>
        </w:rPr>
        <w:t>igure 4.44</w:t>
      </w:r>
      <w:r>
        <w:rPr>
          <w:lang w:val="en-US"/>
        </w:rPr>
        <w:t xml:space="preserve"> shows the average monthly IVD on bus 6 in the first scenario and the second scenario. Bus 6 represents the bus with </w:t>
      </w:r>
      <w:r w:rsidR="008B3D06">
        <w:rPr>
          <w:lang w:val="en-US"/>
        </w:rPr>
        <w:t xml:space="preserve">the </w:t>
      </w:r>
      <w:r>
        <w:rPr>
          <w:lang w:val="en-US"/>
        </w:rPr>
        <w:t>most susceptibility to voltage stability issues in the microgrid in the first scenario, hence the focus on it. Figure 4.46 reveals that the connection of one of the generators to bus 6 with a tap-changing transformer vastly lessens the IVD of the bus, showing a major improvement in the voltage stability of the bus</w:t>
      </w:r>
      <w:r w:rsidR="00F04D9A">
        <w:rPr>
          <w:lang w:val="en-US"/>
        </w:rPr>
        <w:t xml:space="preserve"> by several orders of magnitude</w:t>
      </w:r>
      <w:r w:rsidR="00EE7CAC">
        <w:rPr>
          <w:lang w:val="en-US"/>
        </w:rPr>
        <w:t xml:space="preserve">, which represents </w:t>
      </w:r>
      <w:r w:rsidR="008B3D06">
        <w:rPr>
          <w:lang w:val="en-US"/>
        </w:rPr>
        <w:t xml:space="preserve">an </w:t>
      </w:r>
      <w:r w:rsidR="00EE7CAC">
        <w:rPr>
          <w:lang w:val="en-US"/>
        </w:rPr>
        <w:t>improvement to the system in its entirety</w:t>
      </w:r>
      <w:r>
        <w:rPr>
          <w:lang w:val="en-US"/>
        </w:rPr>
        <w:t>.</w:t>
      </w:r>
      <w:r w:rsidR="00C21E96">
        <w:rPr>
          <w:lang w:val="en-US"/>
        </w:rPr>
        <w:t xml:space="preserve"> In all months of the year, the second scenario is shown to have bus 6 being at least 10 times as stable as</w:t>
      </w:r>
      <w:r w:rsidR="001A428A">
        <w:rPr>
          <w:lang w:val="en-US"/>
        </w:rPr>
        <w:t xml:space="preserve"> in</w:t>
      </w:r>
      <w:r w:rsidR="00C21E96">
        <w:rPr>
          <w:lang w:val="en-US"/>
        </w:rPr>
        <w:t xml:space="preserve"> the firs</w:t>
      </w:r>
      <w:r w:rsidR="008B3D06">
        <w:rPr>
          <w:lang w:val="en-US"/>
        </w:rPr>
        <w:t>t scenario, with less variation</w:t>
      </w:r>
      <w:r w:rsidR="00C21E96">
        <w:rPr>
          <w:lang w:val="en-US"/>
        </w:rPr>
        <w:t xml:space="preserve"> in stability between months.</w:t>
      </w:r>
    </w:p>
    <w:p w14:paraId="280834B4" w14:textId="0E7ED4F5" w:rsidR="008A2ED0" w:rsidRDefault="008A2ED0" w:rsidP="008A2ED0">
      <w:pPr>
        <w:spacing w:line="240" w:lineRule="auto"/>
        <w:jc w:val="center"/>
        <w:rPr>
          <w:lang w:val="en-US"/>
        </w:rPr>
      </w:pPr>
      <w:r>
        <w:rPr>
          <w:rFonts w:ascii="Consolas" w:eastAsia="Times New Roman" w:hAnsi="Consolas"/>
          <w:noProof/>
          <w:color w:val="404040"/>
          <w:lang w:val="en-US"/>
        </w:rPr>
        <w:drawing>
          <wp:inline distT="0" distB="0" distL="0" distR="0" wp14:anchorId="7836E8D8" wp14:editId="6D8F9536">
            <wp:extent cx="4457700" cy="3345180"/>
            <wp:effectExtent l="0" t="0" r="0" b="7620"/>
            <wp:docPr id="41" name="uniqName_162_2" descr="https://www.mathworks.com/fil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Name_162_2" descr="https://www.mathworks.com/file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32BC827D" w14:textId="1124E28D" w:rsidR="008A2ED0" w:rsidRPr="008A2ED0" w:rsidRDefault="00257D56" w:rsidP="008A2ED0">
      <w:pPr>
        <w:spacing w:line="480" w:lineRule="auto"/>
        <w:jc w:val="center"/>
        <w:rPr>
          <w:b/>
          <w:sz w:val="20"/>
          <w:szCs w:val="20"/>
          <w:lang w:val="en-US"/>
        </w:rPr>
      </w:pPr>
      <w:r>
        <w:rPr>
          <w:b/>
          <w:sz w:val="20"/>
          <w:szCs w:val="20"/>
          <w:lang w:val="en-US"/>
        </w:rPr>
        <w:t>Figure 4.41</w:t>
      </w:r>
      <w:r w:rsidR="008A2ED0">
        <w:rPr>
          <w:b/>
          <w:sz w:val="20"/>
          <w:szCs w:val="20"/>
          <w:lang w:val="en-US"/>
        </w:rPr>
        <w:t xml:space="preserve"> – Average Bus 6 IVD in the microgrid for both scenarios.</w:t>
      </w:r>
    </w:p>
    <w:p w14:paraId="220AA49E" w14:textId="62CA2CAF" w:rsidR="00F535A1" w:rsidRDefault="00316578" w:rsidP="00316578">
      <w:pPr>
        <w:pStyle w:val="Heading3"/>
      </w:pPr>
      <w:bookmarkStart w:id="91" w:name="_Toc110502629"/>
      <w:r>
        <w:t>4.4.6</w:t>
      </w:r>
      <w:r>
        <w:tab/>
      </w:r>
      <w:r w:rsidR="00F535A1">
        <w:t xml:space="preserve">Voltages obtained in the Microgrid for the </w:t>
      </w:r>
      <w:r w:rsidR="00617BA3">
        <w:t>Second</w:t>
      </w:r>
      <w:r w:rsidR="00F535A1">
        <w:t xml:space="preserve"> Scenario.</w:t>
      </w:r>
      <w:bookmarkEnd w:id="91"/>
    </w:p>
    <w:p w14:paraId="0D59F76D" w14:textId="1AA84AFC" w:rsidR="00F535A1" w:rsidRDefault="008F1069" w:rsidP="00F535A1">
      <w:pPr>
        <w:spacing w:line="480" w:lineRule="auto"/>
        <w:rPr>
          <w:lang w:val="en-US"/>
        </w:rPr>
      </w:pPr>
      <w:r>
        <w:rPr>
          <w:lang w:val="en-US"/>
        </w:rPr>
        <w:t>Table 4.16</w:t>
      </w:r>
      <w:r w:rsidR="00F535A1">
        <w:rPr>
          <w:lang w:val="en-US"/>
        </w:rPr>
        <w:t xml:space="preserve"> shows the average RMS voltages obtained on each of the buses in the microgrid for each month, with the nominal voltage being 11kV 3-phase for the single power injection bus and 415/240V for the load buses. From the voltage profiles as provided, it is seen that the voltages</w:t>
      </w:r>
      <w:r w:rsidR="00617BA3">
        <w:rPr>
          <w:lang w:val="en-US"/>
        </w:rPr>
        <w:t xml:space="preserve"> on all buses are within </w:t>
      </w:r>
      <w:r w:rsidR="008B3D06">
        <w:rPr>
          <w:lang w:val="en-US"/>
        </w:rPr>
        <w:t xml:space="preserve">a </w:t>
      </w:r>
      <w:r w:rsidR="00617BA3">
        <w:rPr>
          <w:lang w:val="en-US"/>
        </w:rPr>
        <w:t>decent range of the nominal load voltage</w:t>
      </w:r>
      <w:r w:rsidR="00C8192C">
        <w:rPr>
          <w:lang w:val="en-US"/>
        </w:rPr>
        <w:t>, notably bus 6 which now has all voltages less than 2V away from 240, which is well within the +/- 5% range</w:t>
      </w:r>
      <w:r w:rsidR="00E30372">
        <w:rPr>
          <w:lang w:val="en-US"/>
        </w:rPr>
        <w:t xml:space="preserve"> of voltage sag/swell</w:t>
      </w:r>
      <w:r w:rsidR="00C8192C">
        <w:rPr>
          <w:lang w:val="en-US"/>
        </w:rPr>
        <w:t xml:space="preserve"> accepted in Nigeria.</w:t>
      </w:r>
      <w:r w:rsidR="00FF586A">
        <w:rPr>
          <w:lang w:val="en-US"/>
        </w:rPr>
        <w:t xml:space="preserve"> Bus 1 is shown as three-phase while for other buses, single-phase voltage is considered relevant.</w:t>
      </w:r>
    </w:p>
    <w:p w14:paraId="4F75C2A6" w14:textId="0C079903" w:rsidR="00F535A1" w:rsidRDefault="000F28C1" w:rsidP="00F535A1">
      <w:pPr>
        <w:spacing w:line="240" w:lineRule="auto"/>
        <w:jc w:val="center"/>
      </w:pPr>
      <w:r>
        <w:rPr>
          <w:b/>
          <w:lang w:val="en-US"/>
        </w:rPr>
        <w:t>Table 4.16</w:t>
      </w:r>
      <w:r w:rsidR="00F535A1">
        <w:rPr>
          <w:b/>
          <w:lang w:val="en-US"/>
        </w:rPr>
        <w:t xml:space="preserve"> – Average voltage on buses in the microgrid for each month of the year for </w:t>
      </w:r>
      <w:r w:rsidR="008B3D06">
        <w:rPr>
          <w:b/>
          <w:lang w:val="en-US"/>
        </w:rPr>
        <w:t xml:space="preserve">the </w:t>
      </w:r>
      <w:r w:rsidR="00F535A1">
        <w:rPr>
          <w:b/>
          <w:lang w:val="en-US"/>
        </w:rPr>
        <w:t>first Scenario.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52"/>
        <w:gridCol w:w="1108"/>
        <w:gridCol w:w="1350"/>
        <w:gridCol w:w="1170"/>
        <w:gridCol w:w="1080"/>
        <w:gridCol w:w="1403"/>
        <w:gridCol w:w="1027"/>
      </w:tblGrid>
      <w:tr w:rsidR="00F535A1" w14:paraId="18686FB3" w14:textId="77777777" w:rsidTr="00420540">
        <w:trPr>
          <w:jc w:val="center"/>
        </w:trPr>
        <w:tc>
          <w:tcPr>
            <w:tcW w:w="1350" w:type="dxa"/>
            <w:tcBorders>
              <w:top w:val="single" w:sz="4" w:space="0" w:color="auto"/>
              <w:bottom w:val="single" w:sz="4" w:space="0" w:color="auto"/>
            </w:tcBorders>
          </w:tcPr>
          <w:p w14:paraId="73B94107" w14:textId="77777777" w:rsidR="00F535A1" w:rsidRPr="00061CF2" w:rsidRDefault="00F535A1" w:rsidP="00420540">
            <w:pPr>
              <w:spacing w:line="240" w:lineRule="auto"/>
            </w:pPr>
            <w:r>
              <w:t>Month</w:t>
            </w:r>
          </w:p>
        </w:tc>
        <w:tc>
          <w:tcPr>
            <w:tcW w:w="1260" w:type="dxa"/>
            <w:gridSpan w:val="2"/>
            <w:tcBorders>
              <w:top w:val="single" w:sz="4" w:space="0" w:color="auto"/>
              <w:bottom w:val="single" w:sz="4" w:space="0" w:color="auto"/>
            </w:tcBorders>
          </w:tcPr>
          <w:p w14:paraId="2500AADF" w14:textId="77777777" w:rsidR="00F535A1" w:rsidRDefault="00F535A1" w:rsidP="00420540">
            <w:pPr>
              <w:spacing w:line="240" w:lineRule="auto"/>
            </w:pPr>
            <w:r>
              <w:t xml:space="preserve">Bus 1 </w:t>
            </w:r>
          </w:p>
          <w:p w14:paraId="25A7F445" w14:textId="77777777" w:rsidR="00F535A1" w:rsidRDefault="00F535A1" w:rsidP="00420540">
            <w:pPr>
              <w:spacing w:line="240" w:lineRule="auto"/>
            </w:pPr>
            <w:r>
              <w:t xml:space="preserve">(kV) </w:t>
            </w:r>
          </w:p>
        </w:tc>
        <w:tc>
          <w:tcPr>
            <w:tcW w:w="1350" w:type="dxa"/>
            <w:tcBorders>
              <w:top w:val="single" w:sz="4" w:space="0" w:color="auto"/>
              <w:bottom w:val="single" w:sz="4" w:space="0" w:color="auto"/>
            </w:tcBorders>
          </w:tcPr>
          <w:p w14:paraId="3752CAF1" w14:textId="77777777" w:rsidR="00F535A1" w:rsidRDefault="00F535A1" w:rsidP="00420540">
            <w:pPr>
              <w:spacing w:line="240" w:lineRule="auto"/>
            </w:pPr>
            <w:r>
              <w:t xml:space="preserve">Bus 2 </w:t>
            </w:r>
          </w:p>
          <w:p w14:paraId="7E404B26" w14:textId="77777777" w:rsidR="00F535A1" w:rsidRDefault="00F535A1" w:rsidP="00420540">
            <w:pPr>
              <w:spacing w:line="240" w:lineRule="auto"/>
            </w:pPr>
            <w:r>
              <w:t>(V)</w:t>
            </w:r>
          </w:p>
        </w:tc>
        <w:tc>
          <w:tcPr>
            <w:tcW w:w="1170" w:type="dxa"/>
            <w:tcBorders>
              <w:top w:val="single" w:sz="4" w:space="0" w:color="auto"/>
              <w:bottom w:val="single" w:sz="4" w:space="0" w:color="auto"/>
            </w:tcBorders>
          </w:tcPr>
          <w:p w14:paraId="038FFB93" w14:textId="77777777" w:rsidR="00F535A1" w:rsidRDefault="00F535A1" w:rsidP="00420540">
            <w:pPr>
              <w:spacing w:line="240" w:lineRule="auto"/>
            </w:pPr>
            <w:r>
              <w:t xml:space="preserve">Bus 3 </w:t>
            </w:r>
          </w:p>
          <w:p w14:paraId="45B2F92A" w14:textId="77777777" w:rsidR="00F535A1" w:rsidRDefault="00F535A1" w:rsidP="00420540">
            <w:pPr>
              <w:spacing w:line="240" w:lineRule="auto"/>
            </w:pPr>
            <w:r>
              <w:t>(V)</w:t>
            </w:r>
          </w:p>
        </w:tc>
        <w:tc>
          <w:tcPr>
            <w:tcW w:w="1080" w:type="dxa"/>
            <w:tcBorders>
              <w:top w:val="single" w:sz="4" w:space="0" w:color="auto"/>
              <w:bottom w:val="single" w:sz="4" w:space="0" w:color="auto"/>
            </w:tcBorders>
          </w:tcPr>
          <w:p w14:paraId="7E0D9406" w14:textId="77777777" w:rsidR="00F535A1" w:rsidRDefault="00F535A1" w:rsidP="00420540">
            <w:pPr>
              <w:spacing w:line="240" w:lineRule="auto"/>
            </w:pPr>
            <w:r>
              <w:t xml:space="preserve">Bus 4 </w:t>
            </w:r>
          </w:p>
          <w:p w14:paraId="69F4AD3A" w14:textId="77777777" w:rsidR="00F535A1" w:rsidRDefault="00F535A1" w:rsidP="00420540">
            <w:pPr>
              <w:spacing w:line="240" w:lineRule="auto"/>
            </w:pPr>
            <w:r>
              <w:t>(V)</w:t>
            </w:r>
          </w:p>
        </w:tc>
        <w:tc>
          <w:tcPr>
            <w:tcW w:w="1403" w:type="dxa"/>
            <w:tcBorders>
              <w:top w:val="single" w:sz="4" w:space="0" w:color="auto"/>
              <w:bottom w:val="single" w:sz="4" w:space="0" w:color="auto"/>
            </w:tcBorders>
          </w:tcPr>
          <w:p w14:paraId="6AA67E6F" w14:textId="77777777" w:rsidR="00F535A1" w:rsidRDefault="00F535A1" w:rsidP="00420540">
            <w:pPr>
              <w:spacing w:line="240" w:lineRule="auto"/>
              <w:jc w:val="center"/>
            </w:pPr>
            <w:r>
              <w:t xml:space="preserve">Bus 5 </w:t>
            </w:r>
          </w:p>
          <w:p w14:paraId="104D458A" w14:textId="77777777" w:rsidR="00F535A1" w:rsidRDefault="00F535A1" w:rsidP="00420540">
            <w:pPr>
              <w:spacing w:line="240" w:lineRule="auto"/>
              <w:jc w:val="center"/>
            </w:pPr>
            <w:r>
              <w:t>(V)</w:t>
            </w:r>
          </w:p>
        </w:tc>
        <w:tc>
          <w:tcPr>
            <w:tcW w:w="1027" w:type="dxa"/>
            <w:tcBorders>
              <w:top w:val="single" w:sz="4" w:space="0" w:color="auto"/>
              <w:bottom w:val="single" w:sz="4" w:space="0" w:color="auto"/>
            </w:tcBorders>
          </w:tcPr>
          <w:p w14:paraId="7F71711B" w14:textId="77777777" w:rsidR="00F535A1" w:rsidRDefault="00F535A1" w:rsidP="00420540">
            <w:pPr>
              <w:spacing w:line="240" w:lineRule="auto"/>
            </w:pPr>
            <w:r>
              <w:t>Bus 6</w:t>
            </w:r>
          </w:p>
          <w:p w14:paraId="3E0D1EEE" w14:textId="77777777" w:rsidR="00F535A1" w:rsidRDefault="00F535A1" w:rsidP="00420540">
            <w:pPr>
              <w:spacing w:line="240" w:lineRule="auto"/>
            </w:pPr>
            <w:r>
              <w:t>(V)</w:t>
            </w:r>
          </w:p>
        </w:tc>
      </w:tr>
      <w:tr w:rsidR="00F535A1" w14:paraId="4BB27B33" w14:textId="77777777" w:rsidTr="00420540">
        <w:trPr>
          <w:jc w:val="center"/>
        </w:trPr>
        <w:tc>
          <w:tcPr>
            <w:tcW w:w="1502" w:type="dxa"/>
            <w:gridSpan w:val="2"/>
            <w:tcBorders>
              <w:top w:val="single" w:sz="4" w:space="0" w:color="auto"/>
            </w:tcBorders>
          </w:tcPr>
          <w:p w14:paraId="7991D454" w14:textId="77777777" w:rsidR="00F535A1" w:rsidRDefault="00F535A1" w:rsidP="00420540">
            <w:pPr>
              <w:spacing w:line="240" w:lineRule="auto"/>
            </w:pPr>
            <w:r>
              <w:t>January</w:t>
            </w:r>
          </w:p>
        </w:tc>
        <w:tc>
          <w:tcPr>
            <w:tcW w:w="1108" w:type="dxa"/>
            <w:tcBorders>
              <w:top w:val="single" w:sz="4" w:space="0" w:color="auto"/>
            </w:tcBorders>
          </w:tcPr>
          <w:p w14:paraId="6A8BA475" w14:textId="77777777" w:rsidR="00F535A1" w:rsidRDefault="00F535A1" w:rsidP="00420540">
            <w:pPr>
              <w:spacing w:line="240" w:lineRule="auto"/>
            </w:pPr>
            <w:r>
              <w:t>11</w:t>
            </w:r>
          </w:p>
        </w:tc>
        <w:tc>
          <w:tcPr>
            <w:tcW w:w="1350" w:type="dxa"/>
            <w:tcBorders>
              <w:top w:val="single" w:sz="4" w:space="0" w:color="auto"/>
            </w:tcBorders>
          </w:tcPr>
          <w:p w14:paraId="0A3105C8" w14:textId="77777777" w:rsidR="00F535A1" w:rsidRDefault="00F535A1" w:rsidP="00420540">
            <w:pPr>
              <w:spacing w:line="240" w:lineRule="auto"/>
            </w:pPr>
            <w:r>
              <w:t>238.3</w:t>
            </w:r>
          </w:p>
        </w:tc>
        <w:tc>
          <w:tcPr>
            <w:tcW w:w="1170" w:type="dxa"/>
            <w:tcBorders>
              <w:top w:val="single" w:sz="4" w:space="0" w:color="auto"/>
            </w:tcBorders>
          </w:tcPr>
          <w:p w14:paraId="15B78501" w14:textId="28BC7E9C" w:rsidR="00F535A1" w:rsidRDefault="00337611" w:rsidP="00420540">
            <w:pPr>
              <w:spacing w:line="240" w:lineRule="auto"/>
            </w:pPr>
            <w:r>
              <w:t>238.2</w:t>
            </w:r>
          </w:p>
        </w:tc>
        <w:tc>
          <w:tcPr>
            <w:tcW w:w="1080" w:type="dxa"/>
            <w:tcBorders>
              <w:top w:val="single" w:sz="4" w:space="0" w:color="auto"/>
            </w:tcBorders>
          </w:tcPr>
          <w:p w14:paraId="3C762572" w14:textId="77777777" w:rsidR="00F535A1" w:rsidRDefault="00F535A1" w:rsidP="00420540">
            <w:pPr>
              <w:spacing w:line="240" w:lineRule="auto"/>
            </w:pPr>
            <w:r>
              <w:t>238.4</w:t>
            </w:r>
          </w:p>
        </w:tc>
        <w:tc>
          <w:tcPr>
            <w:tcW w:w="1403" w:type="dxa"/>
            <w:tcBorders>
              <w:top w:val="single" w:sz="4" w:space="0" w:color="auto"/>
            </w:tcBorders>
          </w:tcPr>
          <w:p w14:paraId="1B875517" w14:textId="7483E7D8" w:rsidR="00F535A1" w:rsidRDefault="00337611" w:rsidP="00420540">
            <w:pPr>
              <w:spacing w:line="240" w:lineRule="auto"/>
              <w:jc w:val="center"/>
            </w:pPr>
            <w:r>
              <w:t>237.2</w:t>
            </w:r>
          </w:p>
        </w:tc>
        <w:tc>
          <w:tcPr>
            <w:tcW w:w="1027" w:type="dxa"/>
            <w:tcBorders>
              <w:top w:val="single" w:sz="4" w:space="0" w:color="auto"/>
            </w:tcBorders>
          </w:tcPr>
          <w:p w14:paraId="31D8228E" w14:textId="4580D3A8" w:rsidR="00F535A1" w:rsidRDefault="00337611" w:rsidP="00420540">
            <w:pPr>
              <w:spacing w:line="240" w:lineRule="auto"/>
            </w:pPr>
            <w:r>
              <w:t>239.1</w:t>
            </w:r>
          </w:p>
        </w:tc>
      </w:tr>
      <w:tr w:rsidR="00F535A1" w14:paraId="7ADD81F3" w14:textId="77777777" w:rsidTr="00420540">
        <w:trPr>
          <w:jc w:val="center"/>
        </w:trPr>
        <w:tc>
          <w:tcPr>
            <w:tcW w:w="1502" w:type="dxa"/>
            <w:gridSpan w:val="2"/>
          </w:tcPr>
          <w:p w14:paraId="192D36A9" w14:textId="77777777" w:rsidR="00F535A1" w:rsidRDefault="00F535A1" w:rsidP="00420540">
            <w:pPr>
              <w:spacing w:line="240" w:lineRule="auto"/>
            </w:pPr>
            <w:r>
              <w:rPr>
                <w:lang w:val="en-US"/>
              </w:rPr>
              <w:t>February</w:t>
            </w:r>
          </w:p>
        </w:tc>
        <w:tc>
          <w:tcPr>
            <w:tcW w:w="1108" w:type="dxa"/>
          </w:tcPr>
          <w:p w14:paraId="7696B0C8" w14:textId="77777777" w:rsidR="00F535A1" w:rsidRDefault="00F535A1" w:rsidP="00420540">
            <w:pPr>
              <w:spacing w:line="240" w:lineRule="auto"/>
            </w:pPr>
            <w:r>
              <w:t>11</w:t>
            </w:r>
          </w:p>
        </w:tc>
        <w:tc>
          <w:tcPr>
            <w:tcW w:w="1350" w:type="dxa"/>
          </w:tcPr>
          <w:p w14:paraId="0E08DC20" w14:textId="77777777" w:rsidR="00F535A1" w:rsidRDefault="00F535A1" w:rsidP="00420540">
            <w:pPr>
              <w:spacing w:line="240" w:lineRule="auto"/>
            </w:pPr>
            <w:r>
              <w:t>238.6</w:t>
            </w:r>
          </w:p>
        </w:tc>
        <w:tc>
          <w:tcPr>
            <w:tcW w:w="1170" w:type="dxa"/>
          </w:tcPr>
          <w:p w14:paraId="04F167A8" w14:textId="1EEACB2F" w:rsidR="00F535A1" w:rsidRDefault="00337611" w:rsidP="00420540">
            <w:pPr>
              <w:spacing w:line="240" w:lineRule="auto"/>
            </w:pPr>
            <w:r>
              <w:t>238.5</w:t>
            </w:r>
          </w:p>
        </w:tc>
        <w:tc>
          <w:tcPr>
            <w:tcW w:w="1080" w:type="dxa"/>
          </w:tcPr>
          <w:p w14:paraId="3C225C11" w14:textId="77777777" w:rsidR="00F535A1" w:rsidRDefault="00F535A1" w:rsidP="00420540">
            <w:pPr>
              <w:spacing w:line="240" w:lineRule="auto"/>
            </w:pPr>
            <w:r>
              <w:t>238.7</w:t>
            </w:r>
          </w:p>
        </w:tc>
        <w:tc>
          <w:tcPr>
            <w:tcW w:w="1403" w:type="dxa"/>
          </w:tcPr>
          <w:p w14:paraId="0D32CF52" w14:textId="735E61A9" w:rsidR="00F535A1" w:rsidRDefault="00337611" w:rsidP="00420540">
            <w:pPr>
              <w:spacing w:line="240" w:lineRule="auto"/>
              <w:jc w:val="center"/>
            </w:pPr>
            <w:r>
              <w:t>237.8</w:t>
            </w:r>
          </w:p>
        </w:tc>
        <w:tc>
          <w:tcPr>
            <w:tcW w:w="1027" w:type="dxa"/>
          </w:tcPr>
          <w:p w14:paraId="714839C7" w14:textId="42624478" w:rsidR="00F535A1" w:rsidRDefault="00F535A1" w:rsidP="00337611">
            <w:pPr>
              <w:spacing w:line="240" w:lineRule="auto"/>
            </w:pPr>
            <w:r>
              <w:t>2</w:t>
            </w:r>
            <w:r w:rsidR="00337611">
              <w:t>39.2</w:t>
            </w:r>
          </w:p>
        </w:tc>
      </w:tr>
      <w:tr w:rsidR="00F535A1" w14:paraId="55212355" w14:textId="77777777" w:rsidTr="00420540">
        <w:trPr>
          <w:jc w:val="center"/>
        </w:trPr>
        <w:tc>
          <w:tcPr>
            <w:tcW w:w="1502" w:type="dxa"/>
            <w:gridSpan w:val="2"/>
          </w:tcPr>
          <w:p w14:paraId="1ECF2E75" w14:textId="77777777" w:rsidR="00F535A1" w:rsidRDefault="00F535A1" w:rsidP="00420540">
            <w:pPr>
              <w:spacing w:line="240" w:lineRule="auto"/>
            </w:pPr>
            <w:r>
              <w:rPr>
                <w:lang w:val="en-US"/>
              </w:rPr>
              <w:t>March</w:t>
            </w:r>
          </w:p>
        </w:tc>
        <w:tc>
          <w:tcPr>
            <w:tcW w:w="1108" w:type="dxa"/>
          </w:tcPr>
          <w:p w14:paraId="0D35F6A1" w14:textId="77777777" w:rsidR="00F535A1" w:rsidRDefault="00F535A1" w:rsidP="00420540">
            <w:pPr>
              <w:spacing w:line="240" w:lineRule="auto"/>
            </w:pPr>
            <w:r>
              <w:t>11</w:t>
            </w:r>
          </w:p>
        </w:tc>
        <w:tc>
          <w:tcPr>
            <w:tcW w:w="1350" w:type="dxa"/>
          </w:tcPr>
          <w:p w14:paraId="6A4333D6" w14:textId="77777777" w:rsidR="00F535A1" w:rsidRDefault="00F535A1" w:rsidP="00420540">
            <w:pPr>
              <w:spacing w:line="240" w:lineRule="auto"/>
            </w:pPr>
            <w:r>
              <w:t>239.4</w:t>
            </w:r>
          </w:p>
        </w:tc>
        <w:tc>
          <w:tcPr>
            <w:tcW w:w="1170" w:type="dxa"/>
          </w:tcPr>
          <w:p w14:paraId="2F287F2C" w14:textId="5146BD05" w:rsidR="00F535A1" w:rsidRDefault="0002075E" w:rsidP="00420540">
            <w:pPr>
              <w:spacing w:line="240" w:lineRule="auto"/>
            </w:pPr>
            <w:r>
              <w:t>238.4</w:t>
            </w:r>
          </w:p>
        </w:tc>
        <w:tc>
          <w:tcPr>
            <w:tcW w:w="1080" w:type="dxa"/>
          </w:tcPr>
          <w:p w14:paraId="3FA37A13" w14:textId="77777777" w:rsidR="00F535A1" w:rsidRDefault="00F535A1" w:rsidP="00420540">
            <w:pPr>
              <w:spacing w:line="240" w:lineRule="auto"/>
            </w:pPr>
            <w:r>
              <w:t>238.7</w:t>
            </w:r>
          </w:p>
        </w:tc>
        <w:tc>
          <w:tcPr>
            <w:tcW w:w="1403" w:type="dxa"/>
          </w:tcPr>
          <w:p w14:paraId="7D8F027D" w14:textId="348EF1F7" w:rsidR="00F535A1" w:rsidRDefault="0002075E" w:rsidP="00420540">
            <w:pPr>
              <w:spacing w:line="240" w:lineRule="auto"/>
              <w:jc w:val="center"/>
            </w:pPr>
            <w:r>
              <w:t>237.8</w:t>
            </w:r>
          </w:p>
        </w:tc>
        <w:tc>
          <w:tcPr>
            <w:tcW w:w="1027" w:type="dxa"/>
          </w:tcPr>
          <w:p w14:paraId="725F8293" w14:textId="73C37096" w:rsidR="00F535A1" w:rsidRDefault="0002075E" w:rsidP="00420540">
            <w:pPr>
              <w:spacing w:line="240" w:lineRule="auto"/>
            </w:pPr>
            <w:r>
              <w:t>239.3</w:t>
            </w:r>
          </w:p>
        </w:tc>
      </w:tr>
      <w:tr w:rsidR="00F535A1" w14:paraId="04745B52" w14:textId="77777777" w:rsidTr="00420540">
        <w:trPr>
          <w:jc w:val="center"/>
        </w:trPr>
        <w:tc>
          <w:tcPr>
            <w:tcW w:w="1502" w:type="dxa"/>
            <w:gridSpan w:val="2"/>
          </w:tcPr>
          <w:p w14:paraId="73555D4D" w14:textId="77777777" w:rsidR="00F535A1" w:rsidRDefault="00F535A1" w:rsidP="00420540">
            <w:pPr>
              <w:spacing w:line="240" w:lineRule="auto"/>
            </w:pPr>
            <w:r>
              <w:rPr>
                <w:lang w:val="en-US"/>
              </w:rPr>
              <w:t>April</w:t>
            </w:r>
          </w:p>
        </w:tc>
        <w:tc>
          <w:tcPr>
            <w:tcW w:w="1108" w:type="dxa"/>
          </w:tcPr>
          <w:p w14:paraId="2CE9429E" w14:textId="77777777" w:rsidR="00F535A1" w:rsidRDefault="00F535A1" w:rsidP="00420540">
            <w:pPr>
              <w:spacing w:line="240" w:lineRule="auto"/>
            </w:pPr>
            <w:r>
              <w:t>11</w:t>
            </w:r>
          </w:p>
        </w:tc>
        <w:tc>
          <w:tcPr>
            <w:tcW w:w="1350" w:type="dxa"/>
          </w:tcPr>
          <w:p w14:paraId="0BAD73C1" w14:textId="77777777" w:rsidR="00F535A1" w:rsidRDefault="00F535A1" w:rsidP="00420540">
            <w:pPr>
              <w:spacing w:line="240" w:lineRule="auto"/>
            </w:pPr>
            <w:r>
              <w:t>238.7</w:t>
            </w:r>
          </w:p>
        </w:tc>
        <w:tc>
          <w:tcPr>
            <w:tcW w:w="1170" w:type="dxa"/>
          </w:tcPr>
          <w:p w14:paraId="183E6A1D" w14:textId="68B13732" w:rsidR="00F535A1" w:rsidRDefault="0002075E" w:rsidP="00420540">
            <w:pPr>
              <w:spacing w:line="240" w:lineRule="auto"/>
            </w:pPr>
            <w:r>
              <w:t>238.5</w:t>
            </w:r>
          </w:p>
        </w:tc>
        <w:tc>
          <w:tcPr>
            <w:tcW w:w="1080" w:type="dxa"/>
          </w:tcPr>
          <w:p w14:paraId="2D799A73" w14:textId="2DAD9D11" w:rsidR="00F535A1" w:rsidRDefault="0002075E" w:rsidP="00420540">
            <w:pPr>
              <w:spacing w:line="240" w:lineRule="auto"/>
            </w:pPr>
            <w:r>
              <w:t>238.6</w:t>
            </w:r>
          </w:p>
        </w:tc>
        <w:tc>
          <w:tcPr>
            <w:tcW w:w="1403" w:type="dxa"/>
          </w:tcPr>
          <w:p w14:paraId="2D27054C" w14:textId="4E0B0BDF" w:rsidR="00F535A1" w:rsidRDefault="0002075E" w:rsidP="00420540">
            <w:pPr>
              <w:spacing w:line="240" w:lineRule="auto"/>
              <w:jc w:val="center"/>
            </w:pPr>
            <w:r>
              <w:t>237.9</w:t>
            </w:r>
          </w:p>
        </w:tc>
        <w:tc>
          <w:tcPr>
            <w:tcW w:w="1027" w:type="dxa"/>
          </w:tcPr>
          <w:p w14:paraId="4D02EE14" w14:textId="2957688E" w:rsidR="00F535A1" w:rsidRDefault="0002075E" w:rsidP="00420540">
            <w:pPr>
              <w:spacing w:line="240" w:lineRule="auto"/>
            </w:pPr>
            <w:r>
              <w:t>239.4</w:t>
            </w:r>
          </w:p>
        </w:tc>
      </w:tr>
      <w:tr w:rsidR="00F535A1" w14:paraId="2D1974D2" w14:textId="77777777" w:rsidTr="00420540">
        <w:trPr>
          <w:jc w:val="center"/>
        </w:trPr>
        <w:tc>
          <w:tcPr>
            <w:tcW w:w="1502" w:type="dxa"/>
            <w:gridSpan w:val="2"/>
          </w:tcPr>
          <w:p w14:paraId="7EE01B66" w14:textId="77777777" w:rsidR="00F535A1" w:rsidRDefault="00F535A1" w:rsidP="00420540">
            <w:pPr>
              <w:spacing w:line="240" w:lineRule="auto"/>
            </w:pPr>
            <w:r>
              <w:rPr>
                <w:lang w:val="en-US"/>
              </w:rPr>
              <w:t>May</w:t>
            </w:r>
          </w:p>
        </w:tc>
        <w:tc>
          <w:tcPr>
            <w:tcW w:w="1108" w:type="dxa"/>
          </w:tcPr>
          <w:p w14:paraId="76880440" w14:textId="77777777" w:rsidR="00F535A1" w:rsidRDefault="00F535A1" w:rsidP="00420540">
            <w:pPr>
              <w:spacing w:line="240" w:lineRule="auto"/>
            </w:pPr>
            <w:r>
              <w:t>11</w:t>
            </w:r>
          </w:p>
        </w:tc>
        <w:tc>
          <w:tcPr>
            <w:tcW w:w="1350" w:type="dxa"/>
          </w:tcPr>
          <w:p w14:paraId="5B17F02D" w14:textId="6B2A5807" w:rsidR="00F535A1" w:rsidRDefault="0002075E" w:rsidP="00420540">
            <w:pPr>
              <w:spacing w:line="240" w:lineRule="auto"/>
            </w:pPr>
            <w:r>
              <w:t>238.8</w:t>
            </w:r>
          </w:p>
        </w:tc>
        <w:tc>
          <w:tcPr>
            <w:tcW w:w="1170" w:type="dxa"/>
          </w:tcPr>
          <w:p w14:paraId="4065E1F6" w14:textId="22CE1999" w:rsidR="00F535A1" w:rsidRDefault="0002075E" w:rsidP="00420540">
            <w:pPr>
              <w:spacing w:line="240" w:lineRule="auto"/>
            </w:pPr>
            <w:r>
              <w:t>239.2</w:t>
            </w:r>
          </w:p>
        </w:tc>
        <w:tc>
          <w:tcPr>
            <w:tcW w:w="1080" w:type="dxa"/>
          </w:tcPr>
          <w:p w14:paraId="1F9A7EA0" w14:textId="15805444" w:rsidR="00F535A1" w:rsidRDefault="0002075E" w:rsidP="00420540">
            <w:pPr>
              <w:spacing w:line="240" w:lineRule="auto"/>
            </w:pPr>
            <w:r>
              <w:t>238.9</w:t>
            </w:r>
          </w:p>
        </w:tc>
        <w:tc>
          <w:tcPr>
            <w:tcW w:w="1403" w:type="dxa"/>
          </w:tcPr>
          <w:p w14:paraId="04F874F4" w14:textId="26E15D44" w:rsidR="00F535A1" w:rsidRDefault="0002075E" w:rsidP="00420540">
            <w:pPr>
              <w:spacing w:line="240" w:lineRule="auto"/>
              <w:jc w:val="center"/>
            </w:pPr>
            <w:r>
              <w:t>238.5</w:t>
            </w:r>
          </w:p>
        </w:tc>
        <w:tc>
          <w:tcPr>
            <w:tcW w:w="1027" w:type="dxa"/>
          </w:tcPr>
          <w:p w14:paraId="4AAB6A4A" w14:textId="38EA05E8" w:rsidR="00F535A1" w:rsidRDefault="0002075E" w:rsidP="00420540">
            <w:pPr>
              <w:spacing w:line="240" w:lineRule="auto"/>
            </w:pPr>
            <w:r>
              <w:t>238.9</w:t>
            </w:r>
          </w:p>
        </w:tc>
      </w:tr>
      <w:tr w:rsidR="00F535A1" w14:paraId="13DEF8E5" w14:textId="77777777" w:rsidTr="00420540">
        <w:trPr>
          <w:jc w:val="center"/>
        </w:trPr>
        <w:tc>
          <w:tcPr>
            <w:tcW w:w="1502" w:type="dxa"/>
            <w:gridSpan w:val="2"/>
          </w:tcPr>
          <w:p w14:paraId="44A37142" w14:textId="77777777" w:rsidR="00F535A1" w:rsidRDefault="00F535A1" w:rsidP="00420540">
            <w:pPr>
              <w:spacing w:line="240" w:lineRule="auto"/>
            </w:pPr>
            <w:r>
              <w:rPr>
                <w:lang w:val="en-US"/>
              </w:rPr>
              <w:t>June</w:t>
            </w:r>
          </w:p>
        </w:tc>
        <w:tc>
          <w:tcPr>
            <w:tcW w:w="1108" w:type="dxa"/>
          </w:tcPr>
          <w:p w14:paraId="4D3CCA11" w14:textId="77777777" w:rsidR="00F535A1" w:rsidRDefault="00F535A1" w:rsidP="00420540">
            <w:pPr>
              <w:spacing w:line="240" w:lineRule="auto"/>
            </w:pPr>
            <w:r>
              <w:t>11</w:t>
            </w:r>
          </w:p>
        </w:tc>
        <w:tc>
          <w:tcPr>
            <w:tcW w:w="1350" w:type="dxa"/>
          </w:tcPr>
          <w:p w14:paraId="3020C6E4" w14:textId="54010B0D" w:rsidR="00F535A1" w:rsidRDefault="0002075E" w:rsidP="00420540">
            <w:pPr>
              <w:spacing w:line="240" w:lineRule="auto"/>
            </w:pPr>
            <w:r>
              <w:t>238.9</w:t>
            </w:r>
          </w:p>
        </w:tc>
        <w:tc>
          <w:tcPr>
            <w:tcW w:w="1170" w:type="dxa"/>
          </w:tcPr>
          <w:p w14:paraId="747AF510" w14:textId="4299877E" w:rsidR="00F535A1" w:rsidRDefault="0002075E" w:rsidP="00420540">
            <w:pPr>
              <w:spacing w:line="240" w:lineRule="auto"/>
            </w:pPr>
            <w:r>
              <w:t>239</w:t>
            </w:r>
            <w:r w:rsidR="00F535A1">
              <w:t>.2</w:t>
            </w:r>
          </w:p>
        </w:tc>
        <w:tc>
          <w:tcPr>
            <w:tcW w:w="1080" w:type="dxa"/>
          </w:tcPr>
          <w:p w14:paraId="2C1857A8" w14:textId="3206E4BF" w:rsidR="00F535A1" w:rsidRDefault="0002075E" w:rsidP="00420540">
            <w:pPr>
              <w:spacing w:line="240" w:lineRule="auto"/>
            </w:pPr>
            <w:r>
              <w:t>239.0</w:t>
            </w:r>
          </w:p>
        </w:tc>
        <w:tc>
          <w:tcPr>
            <w:tcW w:w="1403" w:type="dxa"/>
          </w:tcPr>
          <w:p w14:paraId="3CE790CA" w14:textId="66A9A951" w:rsidR="00F535A1" w:rsidRDefault="0002075E" w:rsidP="00420540">
            <w:pPr>
              <w:spacing w:line="240" w:lineRule="auto"/>
              <w:jc w:val="center"/>
            </w:pPr>
            <w:r>
              <w:t>238</w:t>
            </w:r>
            <w:r w:rsidR="00F535A1">
              <w:t>.5</w:t>
            </w:r>
          </w:p>
        </w:tc>
        <w:tc>
          <w:tcPr>
            <w:tcW w:w="1027" w:type="dxa"/>
          </w:tcPr>
          <w:p w14:paraId="1AAA572C" w14:textId="40AE5FEC" w:rsidR="00F535A1" w:rsidRDefault="0002075E" w:rsidP="00420540">
            <w:pPr>
              <w:spacing w:line="240" w:lineRule="auto"/>
            </w:pPr>
            <w:r>
              <w:t>239.0</w:t>
            </w:r>
          </w:p>
        </w:tc>
      </w:tr>
      <w:tr w:rsidR="00F535A1" w14:paraId="1C858908" w14:textId="77777777" w:rsidTr="00420540">
        <w:trPr>
          <w:jc w:val="center"/>
        </w:trPr>
        <w:tc>
          <w:tcPr>
            <w:tcW w:w="1502" w:type="dxa"/>
            <w:gridSpan w:val="2"/>
          </w:tcPr>
          <w:p w14:paraId="6BFF2EB9" w14:textId="77777777" w:rsidR="00F535A1" w:rsidRDefault="00F535A1" w:rsidP="00420540">
            <w:pPr>
              <w:spacing w:line="240" w:lineRule="auto"/>
            </w:pPr>
            <w:r>
              <w:rPr>
                <w:lang w:val="en-US"/>
              </w:rPr>
              <w:t>July</w:t>
            </w:r>
          </w:p>
        </w:tc>
        <w:tc>
          <w:tcPr>
            <w:tcW w:w="1108" w:type="dxa"/>
          </w:tcPr>
          <w:p w14:paraId="37B05EA0" w14:textId="77777777" w:rsidR="00F535A1" w:rsidRDefault="00F535A1" w:rsidP="00420540">
            <w:pPr>
              <w:spacing w:line="240" w:lineRule="auto"/>
            </w:pPr>
            <w:r>
              <w:t>11</w:t>
            </w:r>
          </w:p>
        </w:tc>
        <w:tc>
          <w:tcPr>
            <w:tcW w:w="1350" w:type="dxa"/>
          </w:tcPr>
          <w:p w14:paraId="042AFDDD" w14:textId="77777777" w:rsidR="00F535A1" w:rsidRDefault="00F535A1" w:rsidP="00420540">
            <w:pPr>
              <w:spacing w:line="240" w:lineRule="auto"/>
            </w:pPr>
            <w:r>
              <w:t>238.7</w:t>
            </w:r>
          </w:p>
        </w:tc>
        <w:tc>
          <w:tcPr>
            <w:tcW w:w="1170" w:type="dxa"/>
          </w:tcPr>
          <w:p w14:paraId="0059C3AE" w14:textId="29D7B749" w:rsidR="00F535A1" w:rsidRDefault="0002075E" w:rsidP="00420540">
            <w:pPr>
              <w:spacing w:line="240" w:lineRule="auto"/>
            </w:pPr>
            <w:r>
              <w:t>239.2</w:t>
            </w:r>
          </w:p>
        </w:tc>
        <w:tc>
          <w:tcPr>
            <w:tcW w:w="1080" w:type="dxa"/>
          </w:tcPr>
          <w:p w14:paraId="0EB4AD20" w14:textId="1CEA5EF3" w:rsidR="00F535A1" w:rsidRDefault="0002075E" w:rsidP="00420540">
            <w:pPr>
              <w:spacing w:line="240" w:lineRule="auto"/>
            </w:pPr>
            <w:r>
              <w:t>238.9</w:t>
            </w:r>
          </w:p>
        </w:tc>
        <w:tc>
          <w:tcPr>
            <w:tcW w:w="1403" w:type="dxa"/>
          </w:tcPr>
          <w:p w14:paraId="44625FF8" w14:textId="1DEF09CD" w:rsidR="00F535A1" w:rsidRDefault="0002075E" w:rsidP="00420540">
            <w:pPr>
              <w:spacing w:line="240" w:lineRule="auto"/>
              <w:jc w:val="center"/>
            </w:pPr>
            <w:r>
              <w:t>238.4</w:t>
            </w:r>
          </w:p>
        </w:tc>
        <w:tc>
          <w:tcPr>
            <w:tcW w:w="1027" w:type="dxa"/>
          </w:tcPr>
          <w:p w14:paraId="0D088FE9" w14:textId="2E30DBC2" w:rsidR="00F535A1" w:rsidRDefault="0002075E" w:rsidP="00420540">
            <w:pPr>
              <w:spacing w:line="240" w:lineRule="auto"/>
            </w:pPr>
            <w:r>
              <w:t>238.9</w:t>
            </w:r>
          </w:p>
        </w:tc>
      </w:tr>
      <w:tr w:rsidR="00F535A1" w14:paraId="5AA01289" w14:textId="77777777" w:rsidTr="00420540">
        <w:trPr>
          <w:jc w:val="center"/>
        </w:trPr>
        <w:tc>
          <w:tcPr>
            <w:tcW w:w="1502" w:type="dxa"/>
            <w:gridSpan w:val="2"/>
          </w:tcPr>
          <w:p w14:paraId="49E6B1E7" w14:textId="77777777" w:rsidR="00F535A1" w:rsidRDefault="00F535A1" w:rsidP="00420540">
            <w:pPr>
              <w:spacing w:line="240" w:lineRule="auto"/>
            </w:pPr>
            <w:r>
              <w:rPr>
                <w:lang w:val="en-US"/>
              </w:rPr>
              <w:t>August</w:t>
            </w:r>
          </w:p>
        </w:tc>
        <w:tc>
          <w:tcPr>
            <w:tcW w:w="1108" w:type="dxa"/>
          </w:tcPr>
          <w:p w14:paraId="3243B506" w14:textId="77777777" w:rsidR="00F535A1" w:rsidRDefault="00F535A1" w:rsidP="00420540">
            <w:pPr>
              <w:spacing w:line="240" w:lineRule="auto"/>
            </w:pPr>
            <w:r>
              <w:t>11</w:t>
            </w:r>
          </w:p>
        </w:tc>
        <w:tc>
          <w:tcPr>
            <w:tcW w:w="1350" w:type="dxa"/>
          </w:tcPr>
          <w:p w14:paraId="6A84734E" w14:textId="68606F43" w:rsidR="00F535A1" w:rsidRDefault="002D7754" w:rsidP="00420540">
            <w:pPr>
              <w:spacing w:line="240" w:lineRule="auto"/>
            </w:pPr>
            <w:r>
              <w:t>238.7</w:t>
            </w:r>
          </w:p>
        </w:tc>
        <w:tc>
          <w:tcPr>
            <w:tcW w:w="1170" w:type="dxa"/>
          </w:tcPr>
          <w:p w14:paraId="76486627" w14:textId="3F88FAAB" w:rsidR="00F535A1" w:rsidRDefault="002D7754" w:rsidP="00420540">
            <w:pPr>
              <w:spacing w:line="240" w:lineRule="auto"/>
            </w:pPr>
            <w:r>
              <w:t>239.2</w:t>
            </w:r>
          </w:p>
        </w:tc>
        <w:tc>
          <w:tcPr>
            <w:tcW w:w="1080" w:type="dxa"/>
          </w:tcPr>
          <w:p w14:paraId="5283D8CF" w14:textId="1188BAE9" w:rsidR="00F535A1" w:rsidRDefault="002D7754" w:rsidP="00420540">
            <w:pPr>
              <w:spacing w:line="240" w:lineRule="auto"/>
            </w:pPr>
            <w:r>
              <w:t>238.8</w:t>
            </w:r>
          </w:p>
        </w:tc>
        <w:tc>
          <w:tcPr>
            <w:tcW w:w="1403" w:type="dxa"/>
          </w:tcPr>
          <w:p w14:paraId="272153BE" w14:textId="52C8D719" w:rsidR="00F535A1" w:rsidRDefault="002D7754" w:rsidP="00420540">
            <w:pPr>
              <w:spacing w:line="240" w:lineRule="auto"/>
              <w:jc w:val="center"/>
            </w:pPr>
            <w:r>
              <w:t>238.3</w:t>
            </w:r>
          </w:p>
        </w:tc>
        <w:tc>
          <w:tcPr>
            <w:tcW w:w="1027" w:type="dxa"/>
          </w:tcPr>
          <w:p w14:paraId="449671FF" w14:textId="75401330" w:rsidR="00F535A1" w:rsidRDefault="002D7754" w:rsidP="00420540">
            <w:pPr>
              <w:spacing w:line="240" w:lineRule="auto"/>
            </w:pPr>
            <w:r>
              <w:t>238.7</w:t>
            </w:r>
          </w:p>
        </w:tc>
      </w:tr>
      <w:tr w:rsidR="00F535A1" w14:paraId="260B2FD2" w14:textId="77777777" w:rsidTr="00420540">
        <w:trPr>
          <w:jc w:val="center"/>
        </w:trPr>
        <w:tc>
          <w:tcPr>
            <w:tcW w:w="1502" w:type="dxa"/>
            <w:gridSpan w:val="2"/>
          </w:tcPr>
          <w:p w14:paraId="49F3F5E0" w14:textId="77777777" w:rsidR="00F535A1" w:rsidRDefault="00F535A1" w:rsidP="00420540">
            <w:pPr>
              <w:spacing w:line="240" w:lineRule="auto"/>
            </w:pPr>
            <w:r>
              <w:rPr>
                <w:lang w:val="en-US"/>
              </w:rPr>
              <w:t>September</w:t>
            </w:r>
          </w:p>
        </w:tc>
        <w:tc>
          <w:tcPr>
            <w:tcW w:w="1108" w:type="dxa"/>
          </w:tcPr>
          <w:p w14:paraId="2F2C5FA1" w14:textId="77777777" w:rsidR="00F535A1" w:rsidRDefault="00F535A1" w:rsidP="00420540">
            <w:pPr>
              <w:spacing w:line="240" w:lineRule="auto"/>
            </w:pPr>
            <w:r>
              <w:t>11</w:t>
            </w:r>
          </w:p>
        </w:tc>
        <w:tc>
          <w:tcPr>
            <w:tcW w:w="1350" w:type="dxa"/>
          </w:tcPr>
          <w:p w14:paraId="545D6161" w14:textId="044C7D68" w:rsidR="00F535A1" w:rsidRDefault="002D7754" w:rsidP="00420540">
            <w:pPr>
              <w:spacing w:line="240" w:lineRule="auto"/>
            </w:pPr>
            <w:r>
              <w:t>238.9</w:t>
            </w:r>
          </w:p>
        </w:tc>
        <w:tc>
          <w:tcPr>
            <w:tcW w:w="1170" w:type="dxa"/>
          </w:tcPr>
          <w:p w14:paraId="1D6DA16E" w14:textId="7A90C005" w:rsidR="00F535A1" w:rsidRDefault="002D7754" w:rsidP="00420540">
            <w:pPr>
              <w:spacing w:line="240" w:lineRule="auto"/>
            </w:pPr>
            <w:r>
              <w:t>239.2</w:t>
            </w:r>
          </w:p>
        </w:tc>
        <w:tc>
          <w:tcPr>
            <w:tcW w:w="1080" w:type="dxa"/>
          </w:tcPr>
          <w:p w14:paraId="11D6AE9D" w14:textId="11CDC04B" w:rsidR="00F535A1" w:rsidRDefault="002D7754" w:rsidP="00420540">
            <w:pPr>
              <w:spacing w:line="240" w:lineRule="auto"/>
            </w:pPr>
            <w:r>
              <w:t>238.9</w:t>
            </w:r>
          </w:p>
        </w:tc>
        <w:tc>
          <w:tcPr>
            <w:tcW w:w="1403" w:type="dxa"/>
          </w:tcPr>
          <w:p w14:paraId="73F5729B" w14:textId="2FD402BA" w:rsidR="00F535A1" w:rsidRDefault="002D7754" w:rsidP="00420540">
            <w:pPr>
              <w:spacing w:line="240" w:lineRule="auto"/>
              <w:jc w:val="center"/>
            </w:pPr>
            <w:r>
              <w:t>238.5</w:t>
            </w:r>
          </w:p>
        </w:tc>
        <w:tc>
          <w:tcPr>
            <w:tcW w:w="1027" w:type="dxa"/>
          </w:tcPr>
          <w:p w14:paraId="2A3A9FA4" w14:textId="46893241" w:rsidR="00F535A1" w:rsidRDefault="002D7754" w:rsidP="00420540">
            <w:pPr>
              <w:spacing w:line="240" w:lineRule="auto"/>
            </w:pPr>
            <w:r>
              <w:t>238.8</w:t>
            </w:r>
          </w:p>
        </w:tc>
      </w:tr>
      <w:tr w:rsidR="00F535A1" w14:paraId="533A5155" w14:textId="77777777" w:rsidTr="00420540">
        <w:trPr>
          <w:jc w:val="center"/>
        </w:trPr>
        <w:tc>
          <w:tcPr>
            <w:tcW w:w="1502" w:type="dxa"/>
            <w:gridSpan w:val="2"/>
          </w:tcPr>
          <w:p w14:paraId="16364B95" w14:textId="77777777" w:rsidR="00F535A1" w:rsidRDefault="00F535A1" w:rsidP="00420540">
            <w:pPr>
              <w:spacing w:line="240" w:lineRule="auto"/>
            </w:pPr>
            <w:r>
              <w:rPr>
                <w:lang w:val="en-US"/>
              </w:rPr>
              <w:t>October</w:t>
            </w:r>
          </w:p>
        </w:tc>
        <w:tc>
          <w:tcPr>
            <w:tcW w:w="1108" w:type="dxa"/>
          </w:tcPr>
          <w:p w14:paraId="3BFE40C3" w14:textId="77777777" w:rsidR="00F535A1" w:rsidRDefault="00F535A1" w:rsidP="00420540">
            <w:pPr>
              <w:spacing w:line="240" w:lineRule="auto"/>
            </w:pPr>
            <w:r>
              <w:t>11</w:t>
            </w:r>
          </w:p>
        </w:tc>
        <w:tc>
          <w:tcPr>
            <w:tcW w:w="1350" w:type="dxa"/>
          </w:tcPr>
          <w:p w14:paraId="24074412" w14:textId="256FD809" w:rsidR="00F535A1" w:rsidRDefault="002D7754" w:rsidP="00420540">
            <w:pPr>
              <w:spacing w:line="240" w:lineRule="auto"/>
            </w:pPr>
            <w:r>
              <w:t>238.7</w:t>
            </w:r>
          </w:p>
        </w:tc>
        <w:tc>
          <w:tcPr>
            <w:tcW w:w="1170" w:type="dxa"/>
          </w:tcPr>
          <w:p w14:paraId="45CB281A" w14:textId="58BD0580" w:rsidR="00F535A1" w:rsidRDefault="002D7754" w:rsidP="00420540">
            <w:pPr>
              <w:spacing w:line="240" w:lineRule="auto"/>
            </w:pPr>
            <w:r>
              <w:t>238.1</w:t>
            </w:r>
          </w:p>
        </w:tc>
        <w:tc>
          <w:tcPr>
            <w:tcW w:w="1080" w:type="dxa"/>
          </w:tcPr>
          <w:p w14:paraId="1DCE44D0" w14:textId="03FCC3CB" w:rsidR="00F535A1" w:rsidRDefault="002D7754" w:rsidP="00420540">
            <w:pPr>
              <w:spacing w:line="240" w:lineRule="auto"/>
            </w:pPr>
            <w:r>
              <w:t>238.8</w:t>
            </w:r>
          </w:p>
        </w:tc>
        <w:tc>
          <w:tcPr>
            <w:tcW w:w="1403" w:type="dxa"/>
          </w:tcPr>
          <w:p w14:paraId="0D32B176" w14:textId="18EA1553" w:rsidR="00F535A1" w:rsidRDefault="002D7754" w:rsidP="00420540">
            <w:pPr>
              <w:spacing w:line="240" w:lineRule="auto"/>
              <w:jc w:val="center"/>
            </w:pPr>
            <w:r>
              <w:t>238.7</w:t>
            </w:r>
          </w:p>
        </w:tc>
        <w:tc>
          <w:tcPr>
            <w:tcW w:w="1027" w:type="dxa"/>
          </w:tcPr>
          <w:p w14:paraId="6CCEC3CC" w14:textId="53203A5B" w:rsidR="00F535A1" w:rsidRDefault="002D7754" w:rsidP="00420540">
            <w:pPr>
              <w:spacing w:line="240" w:lineRule="auto"/>
            </w:pPr>
            <w:r>
              <w:t>239.7</w:t>
            </w:r>
          </w:p>
        </w:tc>
      </w:tr>
      <w:tr w:rsidR="00F535A1" w14:paraId="49C81393" w14:textId="77777777" w:rsidTr="00420540">
        <w:trPr>
          <w:jc w:val="center"/>
        </w:trPr>
        <w:tc>
          <w:tcPr>
            <w:tcW w:w="1502" w:type="dxa"/>
            <w:gridSpan w:val="2"/>
          </w:tcPr>
          <w:p w14:paraId="7F4F1D31" w14:textId="77777777" w:rsidR="00F535A1" w:rsidRDefault="00F535A1" w:rsidP="00420540">
            <w:pPr>
              <w:spacing w:line="240" w:lineRule="auto"/>
            </w:pPr>
            <w:r>
              <w:rPr>
                <w:lang w:val="en-US"/>
              </w:rPr>
              <w:t>November</w:t>
            </w:r>
          </w:p>
        </w:tc>
        <w:tc>
          <w:tcPr>
            <w:tcW w:w="1108" w:type="dxa"/>
          </w:tcPr>
          <w:p w14:paraId="191FCF8C" w14:textId="77777777" w:rsidR="00F535A1" w:rsidRDefault="00F535A1" w:rsidP="00420540">
            <w:pPr>
              <w:spacing w:line="240" w:lineRule="auto"/>
            </w:pPr>
            <w:r>
              <w:t>11</w:t>
            </w:r>
          </w:p>
        </w:tc>
        <w:tc>
          <w:tcPr>
            <w:tcW w:w="1350" w:type="dxa"/>
          </w:tcPr>
          <w:p w14:paraId="7469F351" w14:textId="5CEFA8CE" w:rsidR="00F535A1" w:rsidRDefault="002D7754" w:rsidP="00420540">
            <w:pPr>
              <w:spacing w:line="240" w:lineRule="auto"/>
            </w:pPr>
            <w:r>
              <w:t>238.6</w:t>
            </w:r>
          </w:p>
        </w:tc>
        <w:tc>
          <w:tcPr>
            <w:tcW w:w="1170" w:type="dxa"/>
          </w:tcPr>
          <w:p w14:paraId="1FA852E1" w14:textId="1F6CEE91" w:rsidR="00F535A1" w:rsidRDefault="002D7754" w:rsidP="00420540">
            <w:pPr>
              <w:spacing w:line="240" w:lineRule="auto"/>
            </w:pPr>
            <w:r>
              <w:t>238.0</w:t>
            </w:r>
          </w:p>
        </w:tc>
        <w:tc>
          <w:tcPr>
            <w:tcW w:w="1080" w:type="dxa"/>
          </w:tcPr>
          <w:p w14:paraId="17803D4F" w14:textId="48DBDDAB" w:rsidR="00F535A1" w:rsidRDefault="002D7754" w:rsidP="00420540">
            <w:pPr>
              <w:spacing w:line="240" w:lineRule="auto"/>
            </w:pPr>
            <w:r>
              <w:t>238.7</w:t>
            </w:r>
          </w:p>
        </w:tc>
        <w:tc>
          <w:tcPr>
            <w:tcW w:w="1403" w:type="dxa"/>
          </w:tcPr>
          <w:p w14:paraId="2DBCC2B0" w14:textId="4A85879A" w:rsidR="00F535A1" w:rsidRDefault="002D7754" w:rsidP="00420540">
            <w:pPr>
              <w:spacing w:line="240" w:lineRule="auto"/>
              <w:jc w:val="center"/>
            </w:pPr>
            <w:r>
              <w:t>237.5</w:t>
            </w:r>
          </w:p>
        </w:tc>
        <w:tc>
          <w:tcPr>
            <w:tcW w:w="1027" w:type="dxa"/>
          </w:tcPr>
          <w:p w14:paraId="3D859C40" w14:textId="287B9606" w:rsidR="00F535A1" w:rsidRDefault="002D7754" w:rsidP="00420540">
            <w:pPr>
              <w:spacing w:line="240" w:lineRule="auto"/>
            </w:pPr>
            <w:r>
              <w:t>239.4</w:t>
            </w:r>
          </w:p>
        </w:tc>
      </w:tr>
      <w:tr w:rsidR="00F535A1" w14:paraId="03FA4EF0" w14:textId="77777777" w:rsidTr="00420540">
        <w:trPr>
          <w:jc w:val="center"/>
        </w:trPr>
        <w:tc>
          <w:tcPr>
            <w:tcW w:w="1502" w:type="dxa"/>
            <w:gridSpan w:val="2"/>
          </w:tcPr>
          <w:p w14:paraId="1BA3BD74" w14:textId="77777777" w:rsidR="00F535A1" w:rsidRDefault="00F535A1" w:rsidP="00420540">
            <w:pPr>
              <w:spacing w:line="240" w:lineRule="auto"/>
            </w:pPr>
            <w:r>
              <w:rPr>
                <w:lang w:val="en-US"/>
              </w:rPr>
              <w:t>December</w:t>
            </w:r>
          </w:p>
        </w:tc>
        <w:tc>
          <w:tcPr>
            <w:tcW w:w="1108" w:type="dxa"/>
          </w:tcPr>
          <w:p w14:paraId="73A7D6D1" w14:textId="77777777" w:rsidR="00F535A1" w:rsidRDefault="00F535A1" w:rsidP="00420540">
            <w:pPr>
              <w:spacing w:line="240" w:lineRule="auto"/>
            </w:pPr>
            <w:r>
              <w:t>11</w:t>
            </w:r>
          </w:p>
        </w:tc>
        <w:tc>
          <w:tcPr>
            <w:tcW w:w="1350" w:type="dxa"/>
          </w:tcPr>
          <w:p w14:paraId="08E8FB4D" w14:textId="34BC8BB0" w:rsidR="00F535A1" w:rsidRDefault="002D7754" w:rsidP="00420540">
            <w:pPr>
              <w:spacing w:line="240" w:lineRule="auto"/>
            </w:pPr>
            <w:r>
              <w:t>238.6</w:t>
            </w:r>
          </w:p>
        </w:tc>
        <w:tc>
          <w:tcPr>
            <w:tcW w:w="1170" w:type="dxa"/>
          </w:tcPr>
          <w:p w14:paraId="6CFD77AF" w14:textId="77777777" w:rsidR="00F535A1" w:rsidRDefault="00F535A1" w:rsidP="00420540">
            <w:pPr>
              <w:spacing w:line="240" w:lineRule="auto"/>
            </w:pPr>
            <w:r>
              <w:t>238.0</w:t>
            </w:r>
          </w:p>
        </w:tc>
        <w:tc>
          <w:tcPr>
            <w:tcW w:w="1080" w:type="dxa"/>
          </w:tcPr>
          <w:p w14:paraId="52E5760D" w14:textId="1316CBF8" w:rsidR="00F535A1" w:rsidRDefault="002D7754" w:rsidP="00420540">
            <w:pPr>
              <w:spacing w:line="240" w:lineRule="auto"/>
            </w:pPr>
            <w:r>
              <w:t>237.1</w:t>
            </w:r>
          </w:p>
        </w:tc>
        <w:tc>
          <w:tcPr>
            <w:tcW w:w="1403" w:type="dxa"/>
          </w:tcPr>
          <w:p w14:paraId="47EEA5C4" w14:textId="5716E7BE" w:rsidR="00F535A1" w:rsidRDefault="002D7754" w:rsidP="00420540">
            <w:pPr>
              <w:spacing w:line="240" w:lineRule="auto"/>
              <w:jc w:val="center"/>
            </w:pPr>
            <w:r>
              <w:t>237.4</w:t>
            </w:r>
          </w:p>
        </w:tc>
        <w:tc>
          <w:tcPr>
            <w:tcW w:w="1027" w:type="dxa"/>
          </w:tcPr>
          <w:p w14:paraId="295A3043" w14:textId="0124BABA" w:rsidR="00F535A1" w:rsidRDefault="002D7754" w:rsidP="00420540">
            <w:pPr>
              <w:spacing w:line="240" w:lineRule="auto"/>
            </w:pPr>
            <w:r>
              <w:t>239.6</w:t>
            </w:r>
          </w:p>
        </w:tc>
      </w:tr>
    </w:tbl>
    <w:p w14:paraId="5297A6A5" w14:textId="76245CDD" w:rsidR="00F535A1" w:rsidRDefault="00F535A1" w:rsidP="00E85D75">
      <w:pPr>
        <w:pStyle w:val="Heading3"/>
        <w:numPr>
          <w:ilvl w:val="2"/>
          <w:numId w:val="12"/>
        </w:numPr>
        <w:rPr>
          <w:rFonts w:eastAsiaTheme="minorHAnsi"/>
        </w:rPr>
      </w:pPr>
      <w:bookmarkStart w:id="92" w:name="_Toc110502630"/>
      <w:r>
        <w:rPr>
          <w:rFonts w:eastAsiaTheme="minorHAnsi"/>
        </w:rPr>
        <w:t>Transformer Loading on the Microgrid</w:t>
      </w:r>
      <w:bookmarkEnd w:id="92"/>
    </w:p>
    <w:p w14:paraId="1EE0E24F" w14:textId="55295A06" w:rsidR="00F535A1" w:rsidRDefault="00C771D1" w:rsidP="00F535A1">
      <w:pPr>
        <w:spacing w:line="480" w:lineRule="auto"/>
        <w:rPr>
          <w:lang w:val="en-US"/>
        </w:rPr>
      </w:pPr>
      <w:r>
        <w:rPr>
          <w:lang w:val="en-US"/>
        </w:rPr>
        <w:t>Table 4.17</w:t>
      </w:r>
      <w:r w:rsidR="00F535A1">
        <w:rPr>
          <w:lang w:val="en-US"/>
        </w:rPr>
        <w:t xml:space="preserve"> shows the average loading percentages for the transformers on the microgrid. As the transformers were sized with the load distribution in mind (each being 1MVA</w:t>
      </w:r>
      <w:r w:rsidR="0057398C">
        <w:rPr>
          <w:lang w:val="en-US"/>
        </w:rPr>
        <w:t xml:space="preserve"> except </w:t>
      </w:r>
      <w:r w:rsidR="008B3D06">
        <w:rPr>
          <w:lang w:val="en-US"/>
        </w:rPr>
        <w:t xml:space="preserve">the </w:t>
      </w:r>
      <w:r w:rsidR="0057398C">
        <w:rPr>
          <w:lang w:val="en-US"/>
        </w:rPr>
        <w:t>CSP transformer for which 3MVA was used in simulation, while 2MVA is finally recommended</w:t>
      </w:r>
      <w:r w:rsidR="00F535A1">
        <w:rPr>
          <w:lang w:val="en-US"/>
        </w:rPr>
        <w:t xml:space="preserve">), it is not surprising that the transformers, on average, are used at healthy loading levels. However, due to </w:t>
      </w:r>
      <w:r w:rsidR="008B3D06">
        <w:rPr>
          <w:lang w:val="en-US"/>
        </w:rPr>
        <w:t xml:space="preserve">the </w:t>
      </w:r>
      <w:r w:rsidR="00F535A1">
        <w:rPr>
          <w:lang w:val="en-US"/>
        </w:rPr>
        <w:t xml:space="preserve">stochasticity of the load, the transformers would sometimes have higher loadings than that reflected in the aforementioned table, </w:t>
      </w:r>
      <w:r w:rsidR="0057398C">
        <w:rPr>
          <w:lang w:val="en-US"/>
        </w:rPr>
        <w:t>nevertheless</w:t>
      </w:r>
      <w:r w:rsidR="00F535A1">
        <w:rPr>
          <w:lang w:val="en-US"/>
        </w:rPr>
        <w:t>, the table information is representative of the long-term loading of the transformer. Also, the loadings of the transformers justif</w:t>
      </w:r>
      <w:r w:rsidR="008B3D06">
        <w:rPr>
          <w:lang w:val="en-US"/>
        </w:rPr>
        <w:t>y</w:t>
      </w:r>
      <w:r w:rsidR="00F535A1">
        <w:rPr>
          <w:lang w:val="en-US"/>
        </w:rPr>
        <w:t xml:space="preserve"> the use of multiple distribution lines even while it may appear that the distribution lines are being underutilized at first, which is due to the improved non-radial structure of the microgrid.</w:t>
      </w:r>
      <w:r w:rsidR="00C8192C">
        <w:rPr>
          <w:lang w:val="en-US"/>
        </w:rPr>
        <w:t xml:space="preserve"> It is seen that the loadings of the transformers improve</w:t>
      </w:r>
      <w:r w:rsidR="008B3D06">
        <w:rPr>
          <w:lang w:val="en-US"/>
        </w:rPr>
        <w:t xml:space="preserve"> relative</w:t>
      </w:r>
      <w:r w:rsidR="00C8192C">
        <w:rPr>
          <w:lang w:val="en-US"/>
        </w:rPr>
        <w:t xml:space="preserve"> to the first scenario.</w:t>
      </w:r>
    </w:p>
    <w:p w14:paraId="3456A66D" w14:textId="037A6698" w:rsidR="00F535A1" w:rsidRDefault="003D7A3A" w:rsidP="00B47D89">
      <w:pPr>
        <w:jc w:val="center"/>
      </w:pPr>
      <w:r>
        <w:rPr>
          <w:b/>
          <w:lang w:val="en-US"/>
        </w:rPr>
        <w:t>Table 4.17</w:t>
      </w:r>
      <w:r w:rsidR="00F535A1">
        <w:rPr>
          <w:b/>
          <w:lang w:val="en-US"/>
        </w:rPr>
        <w:t xml:space="preserve"> – Average loading (in %) of Transformers in the microgrid for each month of the year for </w:t>
      </w:r>
      <w:r w:rsidR="008B3D06">
        <w:rPr>
          <w:b/>
          <w:lang w:val="en-US"/>
        </w:rPr>
        <w:t xml:space="preserve">the </w:t>
      </w:r>
      <w:r w:rsidR="00F535A1">
        <w:rPr>
          <w:b/>
          <w:lang w:val="en-US"/>
        </w:rPr>
        <w:t>first Scenario.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1473"/>
        <w:gridCol w:w="1473"/>
        <w:gridCol w:w="1473"/>
        <w:gridCol w:w="1473"/>
        <w:gridCol w:w="1416"/>
      </w:tblGrid>
      <w:tr w:rsidR="0059354D" w:rsidRPr="0057398C" w14:paraId="44C9757A" w14:textId="3FB7F305" w:rsidTr="0057398C">
        <w:trPr>
          <w:trHeight w:hRule="exact" w:val="685"/>
        </w:trPr>
        <w:tc>
          <w:tcPr>
            <w:tcW w:w="1470" w:type="dxa"/>
            <w:tcBorders>
              <w:top w:val="single" w:sz="4" w:space="0" w:color="auto"/>
              <w:bottom w:val="single" w:sz="4" w:space="0" w:color="auto"/>
            </w:tcBorders>
          </w:tcPr>
          <w:p w14:paraId="7B3B6023" w14:textId="77777777" w:rsidR="0059354D" w:rsidRPr="0057398C" w:rsidRDefault="0059354D" w:rsidP="0057398C">
            <w:pPr>
              <w:spacing w:line="240" w:lineRule="auto"/>
              <w:jc w:val="center"/>
              <w:rPr>
                <w:rFonts w:cs="Times New Roman"/>
                <w:szCs w:val="24"/>
              </w:rPr>
            </w:pPr>
            <w:r w:rsidRPr="0057398C">
              <w:rPr>
                <w:rFonts w:cs="Times New Roman"/>
                <w:szCs w:val="24"/>
              </w:rPr>
              <w:t>Month</w:t>
            </w:r>
          </w:p>
        </w:tc>
        <w:tc>
          <w:tcPr>
            <w:tcW w:w="1561" w:type="dxa"/>
            <w:tcBorders>
              <w:top w:val="single" w:sz="4" w:space="0" w:color="auto"/>
              <w:bottom w:val="single" w:sz="4" w:space="0" w:color="auto"/>
            </w:tcBorders>
          </w:tcPr>
          <w:p w14:paraId="2FE415ED" w14:textId="77777777" w:rsidR="0059354D" w:rsidRPr="0057398C" w:rsidRDefault="0059354D" w:rsidP="0057398C">
            <w:pPr>
              <w:spacing w:line="240" w:lineRule="auto"/>
              <w:jc w:val="center"/>
              <w:rPr>
                <w:rFonts w:cs="Times New Roman"/>
                <w:szCs w:val="24"/>
              </w:rPr>
            </w:pPr>
            <w:r w:rsidRPr="0057398C">
              <w:rPr>
                <w:rFonts w:cs="Times New Roman"/>
                <w:szCs w:val="24"/>
              </w:rPr>
              <w:t>Transformer 1</w:t>
            </w:r>
          </w:p>
        </w:tc>
        <w:tc>
          <w:tcPr>
            <w:tcW w:w="1561" w:type="dxa"/>
            <w:tcBorders>
              <w:top w:val="single" w:sz="4" w:space="0" w:color="auto"/>
              <w:bottom w:val="single" w:sz="4" w:space="0" w:color="auto"/>
            </w:tcBorders>
          </w:tcPr>
          <w:p w14:paraId="5C29FEA3" w14:textId="77777777" w:rsidR="0059354D" w:rsidRPr="0057398C" w:rsidRDefault="0059354D" w:rsidP="0057398C">
            <w:pPr>
              <w:spacing w:line="240" w:lineRule="auto"/>
              <w:jc w:val="center"/>
              <w:rPr>
                <w:rFonts w:cs="Times New Roman"/>
                <w:szCs w:val="24"/>
              </w:rPr>
            </w:pPr>
            <w:r w:rsidRPr="0057398C">
              <w:rPr>
                <w:rFonts w:cs="Times New Roman"/>
                <w:szCs w:val="24"/>
              </w:rPr>
              <w:t>Transformer 2</w:t>
            </w:r>
          </w:p>
        </w:tc>
        <w:tc>
          <w:tcPr>
            <w:tcW w:w="1561" w:type="dxa"/>
            <w:tcBorders>
              <w:top w:val="single" w:sz="4" w:space="0" w:color="auto"/>
              <w:bottom w:val="single" w:sz="4" w:space="0" w:color="auto"/>
            </w:tcBorders>
          </w:tcPr>
          <w:p w14:paraId="521A8F60" w14:textId="77777777" w:rsidR="0059354D" w:rsidRPr="0057398C" w:rsidRDefault="0059354D" w:rsidP="0057398C">
            <w:pPr>
              <w:spacing w:line="240" w:lineRule="auto"/>
              <w:jc w:val="center"/>
              <w:rPr>
                <w:rFonts w:cs="Times New Roman"/>
                <w:szCs w:val="24"/>
              </w:rPr>
            </w:pPr>
            <w:r w:rsidRPr="0057398C">
              <w:rPr>
                <w:rFonts w:cs="Times New Roman"/>
                <w:szCs w:val="24"/>
              </w:rPr>
              <w:t>Transformer 3</w:t>
            </w:r>
          </w:p>
        </w:tc>
        <w:tc>
          <w:tcPr>
            <w:tcW w:w="1561" w:type="dxa"/>
            <w:tcBorders>
              <w:top w:val="single" w:sz="4" w:space="0" w:color="auto"/>
              <w:bottom w:val="single" w:sz="4" w:space="0" w:color="auto"/>
            </w:tcBorders>
          </w:tcPr>
          <w:p w14:paraId="5FFB3FBF" w14:textId="77777777" w:rsidR="0059354D" w:rsidRPr="0057398C" w:rsidRDefault="0059354D" w:rsidP="0057398C">
            <w:pPr>
              <w:spacing w:line="240" w:lineRule="auto"/>
              <w:jc w:val="center"/>
              <w:rPr>
                <w:rFonts w:cs="Times New Roman"/>
                <w:szCs w:val="24"/>
              </w:rPr>
            </w:pPr>
            <w:r w:rsidRPr="0057398C">
              <w:rPr>
                <w:rFonts w:cs="Times New Roman"/>
                <w:szCs w:val="24"/>
              </w:rPr>
              <w:t>Transformer 4</w:t>
            </w:r>
          </w:p>
        </w:tc>
        <w:tc>
          <w:tcPr>
            <w:tcW w:w="926" w:type="dxa"/>
            <w:tcBorders>
              <w:top w:val="single" w:sz="4" w:space="0" w:color="auto"/>
              <w:bottom w:val="single" w:sz="4" w:space="0" w:color="auto"/>
            </w:tcBorders>
          </w:tcPr>
          <w:p w14:paraId="0EF2E501" w14:textId="0CED9D74" w:rsidR="0059354D" w:rsidRPr="0057398C" w:rsidRDefault="0059354D" w:rsidP="0057398C">
            <w:pPr>
              <w:spacing w:line="240" w:lineRule="auto"/>
              <w:jc w:val="center"/>
              <w:rPr>
                <w:rFonts w:cs="Times New Roman"/>
                <w:szCs w:val="24"/>
              </w:rPr>
            </w:pPr>
            <w:r w:rsidRPr="0057398C">
              <w:rPr>
                <w:rFonts w:cs="Times New Roman"/>
                <w:szCs w:val="24"/>
              </w:rPr>
              <w:t>CSP Transformer</w:t>
            </w:r>
          </w:p>
        </w:tc>
      </w:tr>
      <w:tr w:rsidR="0059354D" w:rsidRPr="0057398C" w14:paraId="2D77BE5E" w14:textId="17481734" w:rsidTr="0057398C">
        <w:trPr>
          <w:trHeight w:hRule="exact" w:val="274"/>
        </w:trPr>
        <w:tc>
          <w:tcPr>
            <w:tcW w:w="1470" w:type="dxa"/>
            <w:tcBorders>
              <w:top w:val="single" w:sz="4" w:space="0" w:color="auto"/>
            </w:tcBorders>
          </w:tcPr>
          <w:p w14:paraId="7FACA328" w14:textId="77777777" w:rsidR="0059354D" w:rsidRPr="0057398C" w:rsidRDefault="0059354D" w:rsidP="0057398C">
            <w:pPr>
              <w:spacing w:line="240" w:lineRule="auto"/>
              <w:jc w:val="center"/>
              <w:rPr>
                <w:rFonts w:cs="Times New Roman"/>
                <w:szCs w:val="24"/>
              </w:rPr>
            </w:pPr>
            <w:r w:rsidRPr="0057398C">
              <w:rPr>
                <w:rFonts w:cs="Times New Roman"/>
                <w:szCs w:val="24"/>
              </w:rPr>
              <w:t>January</w:t>
            </w:r>
          </w:p>
        </w:tc>
        <w:tc>
          <w:tcPr>
            <w:tcW w:w="1561" w:type="dxa"/>
            <w:tcBorders>
              <w:top w:val="single" w:sz="4" w:space="0" w:color="auto"/>
            </w:tcBorders>
          </w:tcPr>
          <w:p w14:paraId="1CFC2D92" w14:textId="280BE57B" w:rsidR="0059354D" w:rsidRPr="0057398C" w:rsidRDefault="0059354D" w:rsidP="0057398C">
            <w:pPr>
              <w:spacing w:line="240" w:lineRule="auto"/>
              <w:jc w:val="center"/>
              <w:rPr>
                <w:rFonts w:cs="Times New Roman"/>
                <w:szCs w:val="24"/>
              </w:rPr>
            </w:pPr>
            <w:r w:rsidRPr="0057398C">
              <w:rPr>
                <w:rFonts w:cs="Times New Roman"/>
                <w:szCs w:val="24"/>
              </w:rPr>
              <w:t>29.24</w:t>
            </w:r>
          </w:p>
        </w:tc>
        <w:tc>
          <w:tcPr>
            <w:tcW w:w="1561" w:type="dxa"/>
            <w:tcBorders>
              <w:top w:val="single" w:sz="4" w:space="0" w:color="auto"/>
            </w:tcBorders>
          </w:tcPr>
          <w:p w14:paraId="116CED38" w14:textId="3864A35E" w:rsidR="0059354D" w:rsidRPr="0057398C" w:rsidRDefault="0059354D" w:rsidP="0057398C">
            <w:pPr>
              <w:spacing w:line="240" w:lineRule="auto"/>
              <w:jc w:val="center"/>
              <w:rPr>
                <w:rFonts w:cs="Times New Roman"/>
                <w:szCs w:val="24"/>
              </w:rPr>
            </w:pPr>
            <w:r w:rsidRPr="0057398C">
              <w:rPr>
                <w:rFonts w:cs="Times New Roman"/>
                <w:szCs w:val="24"/>
              </w:rPr>
              <w:t>42.14</w:t>
            </w:r>
          </w:p>
        </w:tc>
        <w:tc>
          <w:tcPr>
            <w:tcW w:w="1561" w:type="dxa"/>
            <w:tcBorders>
              <w:top w:val="single" w:sz="4" w:space="0" w:color="auto"/>
            </w:tcBorders>
          </w:tcPr>
          <w:p w14:paraId="5D19BF9F"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25.79</w:t>
            </w:r>
          </w:p>
          <w:p w14:paraId="1AD53325" w14:textId="28B4B210" w:rsidR="0059354D" w:rsidRPr="0057398C" w:rsidRDefault="0059354D" w:rsidP="0057398C">
            <w:pPr>
              <w:spacing w:line="240" w:lineRule="auto"/>
              <w:jc w:val="center"/>
              <w:rPr>
                <w:rFonts w:cs="Times New Roman"/>
                <w:szCs w:val="24"/>
              </w:rPr>
            </w:pPr>
          </w:p>
        </w:tc>
        <w:tc>
          <w:tcPr>
            <w:tcW w:w="1561" w:type="dxa"/>
            <w:tcBorders>
              <w:top w:val="single" w:sz="4" w:space="0" w:color="auto"/>
            </w:tcBorders>
          </w:tcPr>
          <w:p w14:paraId="2F3782C4"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26.09</w:t>
            </w:r>
          </w:p>
          <w:p w14:paraId="0017D5F5" w14:textId="214CDE33" w:rsidR="0059354D" w:rsidRPr="0057398C" w:rsidRDefault="0059354D" w:rsidP="0057398C">
            <w:pPr>
              <w:spacing w:line="240" w:lineRule="auto"/>
              <w:jc w:val="center"/>
              <w:rPr>
                <w:rFonts w:cs="Times New Roman"/>
                <w:szCs w:val="24"/>
              </w:rPr>
            </w:pPr>
          </w:p>
        </w:tc>
        <w:tc>
          <w:tcPr>
            <w:tcW w:w="926" w:type="dxa"/>
            <w:tcBorders>
              <w:top w:val="single" w:sz="4" w:space="0" w:color="auto"/>
            </w:tcBorders>
          </w:tcPr>
          <w:p w14:paraId="6EF6207F"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29.99</w:t>
            </w:r>
          </w:p>
          <w:p w14:paraId="43AEF670" w14:textId="77777777" w:rsidR="0059354D" w:rsidRPr="0057398C" w:rsidRDefault="0059354D" w:rsidP="0057398C">
            <w:pPr>
              <w:spacing w:line="240" w:lineRule="auto"/>
              <w:jc w:val="center"/>
              <w:rPr>
                <w:rFonts w:cs="Times New Roman"/>
                <w:szCs w:val="24"/>
              </w:rPr>
            </w:pPr>
          </w:p>
        </w:tc>
      </w:tr>
      <w:tr w:rsidR="0059354D" w:rsidRPr="0057398C" w14:paraId="3FEA9963" w14:textId="2A310AA5" w:rsidTr="0057398C">
        <w:trPr>
          <w:trHeight w:hRule="exact" w:val="274"/>
        </w:trPr>
        <w:tc>
          <w:tcPr>
            <w:tcW w:w="1470" w:type="dxa"/>
          </w:tcPr>
          <w:p w14:paraId="65CEF5FD"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February</w:t>
            </w:r>
          </w:p>
        </w:tc>
        <w:tc>
          <w:tcPr>
            <w:tcW w:w="1561" w:type="dxa"/>
          </w:tcPr>
          <w:p w14:paraId="0A85CF29"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22.69</w:t>
            </w:r>
          </w:p>
          <w:p w14:paraId="4FBFCA38" w14:textId="6F1CB97D" w:rsidR="0059354D" w:rsidRPr="0057398C" w:rsidRDefault="0059354D" w:rsidP="0057398C">
            <w:pPr>
              <w:spacing w:line="240" w:lineRule="auto"/>
              <w:jc w:val="center"/>
              <w:rPr>
                <w:rFonts w:cs="Times New Roman"/>
                <w:szCs w:val="24"/>
              </w:rPr>
            </w:pPr>
          </w:p>
        </w:tc>
        <w:tc>
          <w:tcPr>
            <w:tcW w:w="1561" w:type="dxa"/>
          </w:tcPr>
          <w:p w14:paraId="7CF79C40"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34.20</w:t>
            </w:r>
          </w:p>
          <w:p w14:paraId="0BBDA1FC" w14:textId="4342AFBA" w:rsidR="0059354D" w:rsidRPr="0057398C" w:rsidRDefault="0059354D" w:rsidP="0057398C">
            <w:pPr>
              <w:spacing w:line="240" w:lineRule="auto"/>
              <w:jc w:val="center"/>
              <w:rPr>
                <w:rFonts w:cs="Times New Roman"/>
                <w:szCs w:val="24"/>
              </w:rPr>
            </w:pPr>
          </w:p>
        </w:tc>
        <w:tc>
          <w:tcPr>
            <w:tcW w:w="1561" w:type="dxa"/>
          </w:tcPr>
          <w:p w14:paraId="479EFFD6"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21.41</w:t>
            </w:r>
          </w:p>
          <w:p w14:paraId="04FBF9A5" w14:textId="32551D4E" w:rsidR="0059354D" w:rsidRPr="0057398C" w:rsidRDefault="0059354D" w:rsidP="0057398C">
            <w:pPr>
              <w:spacing w:line="240" w:lineRule="auto"/>
              <w:jc w:val="center"/>
              <w:rPr>
                <w:rFonts w:cs="Times New Roman"/>
                <w:szCs w:val="24"/>
              </w:rPr>
            </w:pPr>
          </w:p>
        </w:tc>
        <w:tc>
          <w:tcPr>
            <w:tcW w:w="1561" w:type="dxa"/>
          </w:tcPr>
          <w:p w14:paraId="71E808EF"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20.26</w:t>
            </w:r>
          </w:p>
          <w:p w14:paraId="51A4F227" w14:textId="4CFAE69B" w:rsidR="0059354D" w:rsidRPr="0057398C" w:rsidRDefault="0059354D" w:rsidP="0057398C">
            <w:pPr>
              <w:spacing w:line="240" w:lineRule="auto"/>
              <w:jc w:val="center"/>
              <w:rPr>
                <w:rFonts w:cs="Times New Roman"/>
                <w:szCs w:val="24"/>
              </w:rPr>
            </w:pPr>
          </w:p>
        </w:tc>
        <w:tc>
          <w:tcPr>
            <w:tcW w:w="926" w:type="dxa"/>
          </w:tcPr>
          <w:p w14:paraId="7A5D773E"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24.16</w:t>
            </w:r>
          </w:p>
          <w:p w14:paraId="36721B42" w14:textId="77777777" w:rsidR="0059354D" w:rsidRPr="0057398C" w:rsidRDefault="0059354D" w:rsidP="0057398C">
            <w:pPr>
              <w:spacing w:line="240" w:lineRule="auto"/>
              <w:jc w:val="center"/>
              <w:rPr>
                <w:rFonts w:cs="Times New Roman"/>
                <w:szCs w:val="24"/>
              </w:rPr>
            </w:pPr>
          </w:p>
        </w:tc>
      </w:tr>
      <w:tr w:rsidR="0059354D" w:rsidRPr="0057398C" w14:paraId="59B19F1C" w14:textId="528C791C" w:rsidTr="0057398C">
        <w:trPr>
          <w:trHeight w:hRule="exact" w:val="274"/>
        </w:trPr>
        <w:tc>
          <w:tcPr>
            <w:tcW w:w="1470" w:type="dxa"/>
          </w:tcPr>
          <w:p w14:paraId="260B2EED"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March</w:t>
            </w:r>
          </w:p>
        </w:tc>
        <w:tc>
          <w:tcPr>
            <w:tcW w:w="1561" w:type="dxa"/>
          </w:tcPr>
          <w:p w14:paraId="277A386C"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17.96</w:t>
            </w:r>
          </w:p>
          <w:p w14:paraId="16140A46" w14:textId="12125FED" w:rsidR="0059354D" w:rsidRPr="0057398C" w:rsidRDefault="0059354D" w:rsidP="0057398C">
            <w:pPr>
              <w:spacing w:line="240" w:lineRule="auto"/>
              <w:jc w:val="center"/>
              <w:rPr>
                <w:rFonts w:cs="Times New Roman"/>
                <w:szCs w:val="24"/>
              </w:rPr>
            </w:pPr>
          </w:p>
        </w:tc>
        <w:tc>
          <w:tcPr>
            <w:tcW w:w="1561" w:type="dxa"/>
          </w:tcPr>
          <w:p w14:paraId="27D8EE27"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31.86</w:t>
            </w:r>
          </w:p>
          <w:p w14:paraId="19DAE08C" w14:textId="13E34B1A" w:rsidR="0059354D" w:rsidRPr="0057398C" w:rsidRDefault="0059354D" w:rsidP="0057398C">
            <w:pPr>
              <w:spacing w:line="240" w:lineRule="auto"/>
              <w:jc w:val="center"/>
              <w:rPr>
                <w:rFonts w:cs="Times New Roman"/>
                <w:szCs w:val="24"/>
              </w:rPr>
            </w:pPr>
          </w:p>
        </w:tc>
        <w:tc>
          <w:tcPr>
            <w:tcW w:w="1561" w:type="dxa"/>
          </w:tcPr>
          <w:p w14:paraId="4C9CF6F9"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21.47</w:t>
            </w:r>
          </w:p>
          <w:p w14:paraId="7CE5086A" w14:textId="0DFECFC9" w:rsidR="0059354D" w:rsidRPr="0057398C" w:rsidRDefault="0059354D" w:rsidP="0057398C">
            <w:pPr>
              <w:spacing w:line="240" w:lineRule="auto"/>
              <w:jc w:val="center"/>
              <w:rPr>
                <w:rFonts w:cs="Times New Roman"/>
                <w:szCs w:val="24"/>
              </w:rPr>
            </w:pPr>
          </w:p>
        </w:tc>
        <w:tc>
          <w:tcPr>
            <w:tcW w:w="1561" w:type="dxa"/>
          </w:tcPr>
          <w:p w14:paraId="6ED60DF9"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19.76</w:t>
            </w:r>
          </w:p>
          <w:p w14:paraId="7980B521" w14:textId="5FA335C2" w:rsidR="0059354D" w:rsidRPr="0057398C" w:rsidRDefault="0059354D" w:rsidP="0057398C">
            <w:pPr>
              <w:spacing w:line="240" w:lineRule="auto"/>
              <w:jc w:val="center"/>
              <w:rPr>
                <w:rFonts w:cs="Times New Roman"/>
                <w:szCs w:val="24"/>
              </w:rPr>
            </w:pPr>
          </w:p>
        </w:tc>
        <w:tc>
          <w:tcPr>
            <w:tcW w:w="926" w:type="dxa"/>
          </w:tcPr>
          <w:p w14:paraId="080D30F4"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24.58</w:t>
            </w:r>
          </w:p>
          <w:p w14:paraId="720F019C" w14:textId="77777777" w:rsidR="0059354D" w:rsidRPr="0057398C" w:rsidRDefault="0059354D" w:rsidP="0057398C">
            <w:pPr>
              <w:spacing w:line="240" w:lineRule="auto"/>
              <w:jc w:val="center"/>
              <w:rPr>
                <w:rFonts w:cs="Times New Roman"/>
                <w:szCs w:val="24"/>
              </w:rPr>
            </w:pPr>
          </w:p>
        </w:tc>
      </w:tr>
      <w:tr w:rsidR="0059354D" w:rsidRPr="0057398C" w14:paraId="62E7718B" w14:textId="44BDA0BA" w:rsidTr="0057398C">
        <w:trPr>
          <w:trHeight w:hRule="exact" w:val="274"/>
        </w:trPr>
        <w:tc>
          <w:tcPr>
            <w:tcW w:w="1470" w:type="dxa"/>
          </w:tcPr>
          <w:p w14:paraId="0E31D336"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April</w:t>
            </w:r>
          </w:p>
        </w:tc>
        <w:tc>
          <w:tcPr>
            <w:tcW w:w="1561" w:type="dxa"/>
          </w:tcPr>
          <w:p w14:paraId="0D004F34"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20.18</w:t>
            </w:r>
          </w:p>
          <w:p w14:paraId="28807085" w14:textId="6F8F1FB4" w:rsidR="0059354D" w:rsidRPr="0057398C" w:rsidRDefault="0059354D" w:rsidP="0057398C">
            <w:pPr>
              <w:spacing w:line="240" w:lineRule="auto"/>
              <w:jc w:val="center"/>
              <w:rPr>
                <w:rFonts w:cs="Times New Roman"/>
                <w:szCs w:val="24"/>
              </w:rPr>
            </w:pPr>
          </w:p>
        </w:tc>
        <w:tc>
          <w:tcPr>
            <w:tcW w:w="1561" w:type="dxa"/>
          </w:tcPr>
          <w:p w14:paraId="67B3F864"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30.66</w:t>
            </w:r>
          </w:p>
          <w:p w14:paraId="6269771B" w14:textId="1E8F0D76" w:rsidR="0059354D" w:rsidRPr="0057398C" w:rsidRDefault="0059354D" w:rsidP="0057398C">
            <w:pPr>
              <w:spacing w:line="240" w:lineRule="auto"/>
              <w:jc w:val="center"/>
              <w:rPr>
                <w:rFonts w:cs="Times New Roman"/>
                <w:szCs w:val="24"/>
              </w:rPr>
            </w:pPr>
          </w:p>
        </w:tc>
        <w:tc>
          <w:tcPr>
            <w:tcW w:w="1561" w:type="dxa"/>
          </w:tcPr>
          <w:p w14:paraId="7015DF1F"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21.31</w:t>
            </w:r>
          </w:p>
          <w:p w14:paraId="030B2A05" w14:textId="44BFE6AB" w:rsidR="0059354D" w:rsidRPr="0057398C" w:rsidRDefault="0059354D" w:rsidP="0057398C">
            <w:pPr>
              <w:spacing w:line="240" w:lineRule="auto"/>
              <w:jc w:val="center"/>
              <w:rPr>
                <w:rFonts w:cs="Times New Roman"/>
                <w:szCs w:val="24"/>
              </w:rPr>
            </w:pPr>
          </w:p>
        </w:tc>
        <w:tc>
          <w:tcPr>
            <w:tcW w:w="1561" w:type="dxa"/>
          </w:tcPr>
          <w:p w14:paraId="27FA022B"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19.97</w:t>
            </w:r>
          </w:p>
          <w:p w14:paraId="5E57A1CF" w14:textId="1D45EC2C" w:rsidR="0059354D" w:rsidRPr="0057398C" w:rsidRDefault="0059354D" w:rsidP="0057398C">
            <w:pPr>
              <w:spacing w:line="240" w:lineRule="auto"/>
              <w:jc w:val="center"/>
              <w:rPr>
                <w:rFonts w:cs="Times New Roman"/>
                <w:szCs w:val="24"/>
              </w:rPr>
            </w:pPr>
          </w:p>
        </w:tc>
        <w:tc>
          <w:tcPr>
            <w:tcW w:w="926" w:type="dxa"/>
          </w:tcPr>
          <w:p w14:paraId="325DC5B6"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23.20</w:t>
            </w:r>
          </w:p>
          <w:p w14:paraId="39CBDE81" w14:textId="77777777" w:rsidR="0059354D" w:rsidRPr="0057398C" w:rsidRDefault="0059354D" w:rsidP="0057398C">
            <w:pPr>
              <w:spacing w:line="240" w:lineRule="auto"/>
              <w:jc w:val="center"/>
              <w:rPr>
                <w:rFonts w:cs="Times New Roman"/>
                <w:szCs w:val="24"/>
              </w:rPr>
            </w:pPr>
          </w:p>
        </w:tc>
      </w:tr>
      <w:tr w:rsidR="0059354D" w:rsidRPr="0057398C" w14:paraId="674ACDD4" w14:textId="5D23DA05" w:rsidTr="0057398C">
        <w:trPr>
          <w:trHeight w:hRule="exact" w:val="274"/>
        </w:trPr>
        <w:tc>
          <w:tcPr>
            <w:tcW w:w="1470" w:type="dxa"/>
          </w:tcPr>
          <w:p w14:paraId="63FBCF30"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May</w:t>
            </w:r>
          </w:p>
        </w:tc>
        <w:tc>
          <w:tcPr>
            <w:tcW w:w="1561" w:type="dxa"/>
          </w:tcPr>
          <w:p w14:paraId="026D96C2"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19.26</w:t>
            </w:r>
          </w:p>
          <w:p w14:paraId="4E4861A4" w14:textId="6B0F8489" w:rsidR="0059354D" w:rsidRPr="0057398C" w:rsidRDefault="0059354D" w:rsidP="0057398C">
            <w:pPr>
              <w:spacing w:line="240" w:lineRule="auto"/>
              <w:jc w:val="center"/>
              <w:rPr>
                <w:rFonts w:cs="Times New Roman"/>
                <w:szCs w:val="24"/>
              </w:rPr>
            </w:pPr>
          </w:p>
        </w:tc>
        <w:tc>
          <w:tcPr>
            <w:tcW w:w="1561" w:type="dxa"/>
          </w:tcPr>
          <w:p w14:paraId="5CA4E371"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29.98</w:t>
            </w:r>
          </w:p>
          <w:p w14:paraId="49D6BE6C" w14:textId="53E781EF" w:rsidR="0059354D" w:rsidRPr="0057398C" w:rsidRDefault="0059354D" w:rsidP="0057398C">
            <w:pPr>
              <w:spacing w:line="240" w:lineRule="auto"/>
              <w:jc w:val="center"/>
              <w:rPr>
                <w:rFonts w:cs="Times New Roman"/>
                <w:szCs w:val="24"/>
              </w:rPr>
            </w:pPr>
          </w:p>
        </w:tc>
        <w:tc>
          <w:tcPr>
            <w:tcW w:w="1561" w:type="dxa"/>
          </w:tcPr>
          <w:p w14:paraId="0A908489"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17.09</w:t>
            </w:r>
          </w:p>
          <w:p w14:paraId="4E541A03" w14:textId="782AA8B5" w:rsidR="0059354D" w:rsidRPr="0057398C" w:rsidRDefault="0059354D" w:rsidP="0057398C">
            <w:pPr>
              <w:spacing w:line="240" w:lineRule="auto"/>
              <w:jc w:val="center"/>
              <w:rPr>
                <w:rFonts w:cs="Times New Roman"/>
                <w:szCs w:val="24"/>
              </w:rPr>
            </w:pPr>
          </w:p>
        </w:tc>
        <w:tc>
          <w:tcPr>
            <w:tcW w:w="1561" w:type="dxa"/>
          </w:tcPr>
          <w:p w14:paraId="30CB1382"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17.18</w:t>
            </w:r>
          </w:p>
          <w:p w14:paraId="0B76CAB2" w14:textId="07C264DB" w:rsidR="0059354D" w:rsidRPr="0057398C" w:rsidRDefault="0059354D" w:rsidP="0057398C">
            <w:pPr>
              <w:spacing w:line="240" w:lineRule="auto"/>
              <w:jc w:val="center"/>
              <w:rPr>
                <w:rFonts w:cs="Times New Roman"/>
                <w:szCs w:val="24"/>
              </w:rPr>
            </w:pPr>
          </w:p>
        </w:tc>
        <w:tc>
          <w:tcPr>
            <w:tcW w:w="926" w:type="dxa"/>
          </w:tcPr>
          <w:p w14:paraId="3C18F875"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14.14</w:t>
            </w:r>
          </w:p>
          <w:p w14:paraId="436FE5E1" w14:textId="77777777" w:rsidR="0059354D" w:rsidRPr="0057398C" w:rsidRDefault="0059354D" w:rsidP="0057398C">
            <w:pPr>
              <w:spacing w:line="240" w:lineRule="auto"/>
              <w:jc w:val="center"/>
              <w:rPr>
                <w:rFonts w:cs="Times New Roman"/>
                <w:szCs w:val="24"/>
              </w:rPr>
            </w:pPr>
          </w:p>
        </w:tc>
      </w:tr>
      <w:tr w:rsidR="0059354D" w:rsidRPr="0057398C" w14:paraId="0D3935BB" w14:textId="36D2D071" w:rsidTr="0057398C">
        <w:trPr>
          <w:trHeight w:hRule="exact" w:val="274"/>
        </w:trPr>
        <w:tc>
          <w:tcPr>
            <w:tcW w:w="1470" w:type="dxa"/>
          </w:tcPr>
          <w:p w14:paraId="3BC71C93"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June</w:t>
            </w:r>
          </w:p>
        </w:tc>
        <w:tc>
          <w:tcPr>
            <w:tcW w:w="1561" w:type="dxa"/>
          </w:tcPr>
          <w:p w14:paraId="7812F658"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17.74</w:t>
            </w:r>
          </w:p>
          <w:p w14:paraId="60A01615" w14:textId="3F311C0A" w:rsidR="0059354D" w:rsidRPr="0057398C" w:rsidRDefault="0059354D" w:rsidP="0057398C">
            <w:pPr>
              <w:spacing w:line="240" w:lineRule="auto"/>
              <w:jc w:val="center"/>
              <w:rPr>
                <w:rFonts w:cs="Times New Roman"/>
                <w:szCs w:val="24"/>
              </w:rPr>
            </w:pPr>
          </w:p>
        </w:tc>
        <w:tc>
          <w:tcPr>
            <w:tcW w:w="1561" w:type="dxa"/>
          </w:tcPr>
          <w:p w14:paraId="0B0FF530"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27.69</w:t>
            </w:r>
          </w:p>
          <w:p w14:paraId="787C05EF" w14:textId="17083DF8" w:rsidR="0059354D" w:rsidRPr="0057398C" w:rsidRDefault="0059354D" w:rsidP="0057398C">
            <w:pPr>
              <w:spacing w:line="240" w:lineRule="auto"/>
              <w:jc w:val="center"/>
              <w:rPr>
                <w:rFonts w:cs="Times New Roman"/>
                <w:szCs w:val="24"/>
              </w:rPr>
            </w:pPr>
          </w:p>
        </w:tc>
        <w:tc>
          <w:tcPr>
            <w:tcW w:w="1561" w:type="dxa"/>
          </w:tcPr>
          <w:p w14:paraId="4E9CF9AB"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16.32</w:t>
            </w:r>
          </w:p>
          <w:p w14:paraId="48FC87A7" w14:textId="1AACB9F9" w:rsidR="0059354D" w:rsidRPr="0057398C" w:rsidRDefault="0059354D" w:rsidP="0057398C">
            <w:pPr>
              <w:spacing w:line="240" w:lineRule="auto"/>
              <w:jc w:val="center"/>
              <w:rPr>
                <w:rFonts w:cs="Times New Roman"/>
                <w:szCs w:val="24"/>
              </w:rPr>
            </w:pPr>
          </w:p>
        </w:tc>
        <w:tc>
          <w:tcPr>
            <w:tcW w:w="1561" w:type="dxa"/>
          </w:tcPr>
          <w:p w14:paraId="7CD4A496"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15.82</w:t>
            </w:r>
          </w:p>
          <w:p w14:paraId="1AECE5D1" w14:textId="4002E9A1" w:rsidR="0059354D" w:rsidRPr="0057398C" w:rsidRDefault="0059354D" w:rsidP="0057398C">
            <w:pPr>
              <w:spacing w:line="240" w:lineRule="auto"/>
              <w:jc w:val="center"/>
              <w:rPr>
                <w:rFonts w:cs="Times New Roman"/>
                <w:szCs w:val="24"/>
              </w:rPr>
            </w:pPr>
          </w:p>
        </w:tc>
        <w:tc>
          <w:tcPr>
            <w:tcW w:w="926" w:type="dxa"/>
          </w:tcPr>
          <w:p w14:paraId="384C00EC"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14.27</w:t>
            </w:r>
          </w:p>
          <w:p w14:paraId="50934183" w14:textId="77777777" w:rsidR="0059354D" w:rsidRPr="0057398C" w:rsidRDefault="0059354D" w:rsidP="0057398C">
            <w:pPr>
              <w:spacing w:line="240" w:lineRule="auto"/>
              <w:jc w:val="center"/>
              <w:rPr>
                <w:rFonts w:cs="Times New Roman"/>
                <w:szCs w:val="24"/>
              </w:rPr>
            </w:pPr>
          </w:p>
        </w:tc>
      </w:tr>
      <w:tr w:rsidR="0059354D" w:rsidRPr="0057398C" w14:paraId="766546E9" w14:textId="3C451CDA" w:rsidTr="0057398C">
        <w:trPr>
          <w:trHeight w:hRule="exact" w:val="274"/>
        </w:trPr>
        <w:tc>
          <w:tcPr>
            <w:tcW w:w="1470" w:type="dxa"/>
          </w:tcPr>
          <w:p w14:paraId="66CF0040"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July</w:t>
            </w:r>
          </w:p>
        </w:tc>
        <w:tc>
          <w:tcPr>
            <w:tcW w:w="1561" w:type="dxa"/>
          </w:tcPr>
          <w:p w14:paraId="00AF9404"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20.05</w:t>
            </w:r>
          </w:p>
          <w:p w14:paraId="2E4995BB" w14:textId="4B65BC0F" w:rsidR="0059354D" w:rsidRPr="0057398C" w:rsidRDefault="0059354D" w:rsidP="0057398C">
            <w:pPr>
              <w:spacing w:line="240" w:lineRule="auto"/>
              <w:jc w:val="center"/>
              <w:rPr>
                <w:rFonts w:cs="Times New Roman"/>
                <w:szCs w:val="24"/>
              </w:rPr>
            </w:pPr>
          </w:p>
        </w:tc>
        <w:tc>
          <w:tcPr>
            <w:tcW w:w="1561" w:type="dxa"/>
          </w:tcPr>
          <w:p w14:paraId="77F71B7A"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30.21</w:t>
            </w:r>
          </w:p>
          <w:p w14:paraId="5801F1C9" w14:textId="2CD05468" w:rsidR="0059354D" w:rsidRPr="0057398C" w:rsidRDefault="0059354D" w:rsidP="0057398C">
            <w:pPr>
              <w:spacing w:line="240" w:lineRule="auto"/>
              <w:jc w:val="center"/>
              <w:rPr>
                <w:rFonts w:cs="Times New Roman"/>
                <w:szCs w:val="24"/>
              </w:rPr>
            </w:pPr>
          </w:p>
        </w:tc>
        <w:tc>
          <w:tcPr>
            <w:tcW w:w="1561" w:type="dxa"/>
          </w:tcPr>
          <w:p w14:paraId="0B22A5E5"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16.01</w:t>
            </w:r>
          </w:p>
          <w:p w14:paraId="5DA59777" w14:textId="64E1D6D1" w:rsidR="0059354D" w:rsidRPr="0057398C" w:rsidRDefault="0059354D" w:rsidP="0057398C">
            <w:pPr>
              <w:spacing w:line="240" w:lineRule="auto"/>
              <w:jc w:val="center"/>
              <w:rPr>
                <w:rFonts w:cs="Times New Roman"/>
                <w:szCs w:val="24"/>
              </w:rPr>
            </w:pPr>
          </w:p>
        </w:tc>
        <w:tc>
          <w:tcPr>
            <w:tcW w:w="1561" w:type="dxa"/>
          </w:tcPr>
          <w:p w14:paraId="0C28B365"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17.88</w:t>
            </w:r>
          </w:p>
          <w:p w14:paraId="34B09C34" w14:textId="47209538" w:rsidR="0059354D" w:rsidRPr="0057398C" w:rsidRDefault="0059354D" w:rsidP="0057398C">
            <w:pPr>
              <w:spacing w:line="240" w:lineRule="auto"/>
              <w:jc w:val="center"/>
              <w:rPr>
                <w:rFonts w:cs="Times New Roman"/>
                <w:szCs w:val="24"/>
              </w:rPr>
            </w:pPr>
          </w:p>
        </w:tc>
        <w:tc>
          <w:tcPr>
            <w:tcW w:w="926" w:type="dxa"/>
          </w:tcPr>
          <w:p w14:paraId="3F363FAC"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14.60</w:t>
            </w:r>
          </w:p>
          <w:p w14:paraId="42709E01" w14:textId="77777777" w:rsidR="0059354D" w:rsidRPr="0057398C" w:rsidRDefault="0059354D" w:rsidP="0057398C">
            <w:pPr>
              <w:spacing w:line="240" w:lineRule="auto"/>
              <w:jc w:val="center"/>
              <w:rPr>
                <w:rFonts w:cs="Times New Roman"/>
                <w:szCs w:val="24"/>
              </w:rPr>
            </w:pPr>
          </w:p>
        </w:tc>
      </w:tr>
      <w:tr w:rsidR="0059354D" w:rsidRPr="0057398C" w14:paraId="0D7C3D84" w14:textId="756A58CA" w:rsidTr="0057398C">
        <w:trPr>
          <w:trHeight w:hRule="exact" w:val="274"/>
        </w:trPr>
        <w:tc>
          <w:tcPr>
            <w:tcW w:w="1470" w:type="dxa"/>
          </w:tcPr>
          <w:p w14:paraId="265E588D"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August</w:t>
            </w:r>
          </w:p>
        </w:tc>
        <w:tc>
          <w:tcPr>
            <w:tcW w:w="1561" w:type="dxa"/>
          </w:tcPr>
          <w:p w14:paraId="068145DD"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22.46</w:t>
            </w:r>
          </w:p>
          <w:p w14:paraId="0C77CF19" w14:textId="5A2B555A" w:rsidR="0059354D" w:rsidRPr="0057398C" w:rsidRDefault="0059354D" w:rsidP="0057398C">
            <w:pPr>
              <w:spacing w:line="240" w:lineRule="auto"/>
              <w:jc w:val="center"/>
              <w:rPr>
                <w:rFonts w:cs="Times New Roman"/>
                <w:szCs w:val="24"/>
              </w:rPr>
            </w:pPr>
          </w:p>
        </w:tc>
        <w:tc>
          <w:tcPr>
            <w:tcW w:w="1561" w:type="dxa"/>
          </w:tcPr>
          <w:p w14:paraId="67A1E44B"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35.09</w:t>
            </w:r>
          </w:p>
          <w:p w14:paraId="6B50BC8F" w14:textId="6E2FF795" w:rsidR="0059354D" w:rsidRPr="0057398C" w:rsidRDefault="0059354D" w:rsidP="0057398C">
            <w:pPr>
              <w:spacing w:line="240" w:lineRule="auto"/>
              <w:jc w:val="center"/>
              <w:rPr>
                <w:rFonts w:cs="Times New Roman"/>
                <w:szCs w:val="24"/>
              </w:rPr>
            </w:pPr>
          </w:p>
        </w:tc>
        <w:tc>
          <w:tcPr>
            <w:tcW w:w="1561" w:type="dxa"/>
          </w:tcPr>
          <w:p w14:paraId="3D24A4E8"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19.86</w:t>
            </w:r>
          </w:p>
          <w:p w14:paraId="135EA8EC" w14:textId="0C2CC557" w:rsidR="0059354D" w:rsidRPr="0057398C" w:rsidRDefault="0059354D" w:rsidP="0057398C">
            <w:pPr>
              <w:spacing w:line="240" w:lineRule="auto"/>
              <w:jc w:val="center"/>
              <w:rPr>
                <w:rFonts w:cs="Times New Roman"/>
                <w:szCs w:val="24"/>
              </w:rPr>
            </w:pPr>
          </w:p>
        </w:tc>
        <w:tc>
          <w:tcPr>
            <w:tcW w:w="1561" w:type="dxa"/>
          </w:tcPr>
          <w:p w14:paraId="6914FFD6"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20.03</w:t>
            </w:r>
          </w:p>
          <w:p w14:paraId="318319A9" w14:textId="6C4C6637" w:rsidR="0059354D" w:rsidRPr="0057398C" w:rsidRDefault="0059354D" w:rsidP="0057398C">
            <w:pPr>
              <w:spacing w:line="240" w:lineRule="auto"/>
              <w:jc w:val="center"/>
              <w:rPr>
                <w:rFonts w:cs="Times New Roman"/>
                <w:szCs w:val="24"/>
              </w:rPr>
            </w:pPr>
          </w:p>
        </w:tc>
        <w:tc>
          <w:tcPr>
            <w:tcW w:w="926" w:type="dxa"/>
          </w:tcPr>
          <w:p w14:paraId="43473535"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16.30</w:t>
            </w:r>
          </w:p>
          <w:p w14:paraId="0BDD21B7" w14:textId="77777777" w:rsidR="0059354D" w:rsidRPr="0057398C" w:rsidRDefault="0059354D" w:rsidP="0057398C">
            <w:pPr>
              <w:spacing w:line="240" w:lineRule="auto"/>
              <w:jc w:val="center"/>
              <w:rPr>
                <w:rFonts w:cs="Times New Roman"/>
                <w:szCs w:val="24"/>
              </w:rPr>
            </w:pPr>
          </w:p>
        </w:tc>
      </w:tr>
      <w:tr w:rsidR="0059354D" w:rsidRPr="0057398C" w14:paraId="686F96C7" w14:textId="3D632559" w:rsidTr="0057398C">
        <w:trPr>
          <w:trHeight w:hRule="exact" w:val="274"/>
        </w:trPr>
        <w:tc>
          <w:tcPr>
            <w:tcW w:w="1470" w:type="dxa"/>
          </w:tcPr>
          <w:p w14:paraId="7250B19D"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September</w:t>
            </w:r>
          </w:p>
        </w:tc>
        <w:tc>
          <w:tcPr>
            <w:tcW w:w="1561" w:type="dxa"/>
          </w:tcPr>
          <w:p w14:paraId="5A897BA8"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17.76</w:t>
            </w:r>
          </w:p>
          <w:p w14:paraId="1CBACAE0" w14:textId="4DDF044C" w:rsidR="0059354D" w:rsidRPr="0057398C" w:rsidRDefault="0059354D" w:rsidP="0057398C">
            <w:pPr>
              <w:spacing w:line="240" w:lineRule="auto"/>
              <w:jc w:val="center"/>
              <w:rPr>
                <w:rFonts w:cs="Times New Roman"/>
                <w:szCs w:val="24"/>
              </w:rPr>
            </w:pPr>
          </w:p>
        </w:tc>
        <w:tc>
          <w:tcPr>
            <w:tcW w:w="1561" w:type="dxa"/>
          </w:tcPr>
          <w:p w14:paraId="604013F3"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27.44</w:t>
            </w:r>
          </w:p>
          <w:p w14:paraId="4505AA26" w14:textId="155E61F4" w:rsidR="0059354D" w:rsidRPr="0057398C" w:rsidRDefault="0059354D" w:rsidP="0057398C">
            <w:pPr>
              <w:spacing w:line="240" w:lineRule="auto"/>
              <w:jc w:val="center"/>
              <w:rPr>
                <w:rFonts w:cs="Times New Roman"/>
                <w:szCs w:val="24"/>
              </w:rPr>
            </w:pPr>
          </w:p>
        </w:tc>
        <w:tc>
          <w:tcPr>
            <w:tcW w:w="1561" w:type="dxa"/>
          </w:tcPr>
          <w:p w14:paraId="6F119DDC"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15.00</w:t>
            </w:r>
          </w:p>
          <w:p w14:paraId="055D452E" w14:textId="753C46FB" w:rsidR="0059354D" w:rsidRPr="0057398C" w:rsidRDefault="0059354D" w:rsidP="0057398C">
            <w:pPr>
              <w:spacing w:line="240" w:lineRule="auto"/>
              <w:jc w:val="center"/>
              <w:rPr>
                <w:rFonts w:cs="Times New Roman"/>
                <w:szCs w:val="24"/>
              </w:rPr>
            </w:pPr>
          </w:p>
        </w:tc>
        <w:tc>
          <w:tcPr>
            <w:tcW w:w="1561" w:type="dxa"/>
          </w:tcPr>
          <w:p w14:paraId="163E70C0"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15.85</w:t>
            </w:r>
          </w:p>
          <w:p w14:paraId="6633B33A" w14:textId="0EC15309" w:rsidR="0059354D" w:rsidRPr="0057398C" w:rsidRDefault="0059354D" w:rsidP="0057398C">
            <w:pPr>
              <w:spacing w:line="240" w:lineRule="auto"/>
              <w:jc w:val="center"/>
              <w:rPr>
                <w:rFonts w:cs="Times New Roman"/>
                <w:szCs w:val="24"/>
              </w:rPr>
            </w:pPr>
          </w:p>
        </w:tc>
        <w:tc>
          <w:tcPr>
            <w:tcW w:w="926" w:type="dxa"/>
          </w:tcPr>
          <w:p w14:paraId="652A7796"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15.27</w:t>
            </w:r>
          </w:p>
          <w:p w14:paraId="1F9CA632" w14:textId="77777777" w:rsidR="0059354D" w:rsidRPr="0057398C" w:rsidRDefault="0059354D" w:rsidP="0057398C">
            <w:pPr>
              <w:spacing w:line="240" w:lineRule="auto"/>
              <w:jc w:val="center"/>
              <w:rPr>
                <w:rFonts w:cs="Times New Roman"/>
                <w:szCs w:val="24"/>
              </w:rPr>
            </w:pPr>
          </w:p>
        </w:tc>
      </w:tr>
      <w:tr w:rsidR="0059354D" w:rsidRPr="0057398C" w14:paraId="3F97621D" w14:textId="57A07DFE" w:rsidTr="0057398C">
        <w:trPr>
          <w:trHeight w:hRule="exact" w:val="274"/>
        </w:trPr>
        <w:tc>
          <w:tcPr>
            <w:tcW w:w="1470" w:type="dxa"/>
          </w:tcPr>
          <w:p w14:paraId="1BF840EA"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October</w:t>
            </w:r>
          </w:p>
        </w:tc>
        <w:tc>
          <w:tcPr>
            <w:tcW w:w="1561" w:type="dxa"/>
          </w:tcPr>
          <w:p w14:paraId="1367C906"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18.30</w:t>
            </w:r>
          </w:p>
          <w:p w14:paraId="1DDF04B6" w14:textId="2A3BE701" w:rsidR="0059354D" w:rsidRPr="0057398C" w:rsidRDefault="0059354D" w:rsidP="0057398C">
            <w:pPr>
              <w:spacing w:line="240" w:lineRule="auto"/>
              <w:jc w:val="center"/>
              <w:rPr>
                <w:rFonts w:cs="Times New Roman"/>
                <w:szCs w:val="24"/>
              </w:rPr>
            </w:pPr>
          </w:p>
        </w:tc>
        <w:tc>
          <w:tcPr>
            <w:tcW w:w="1561" w:type="dxa"/>
          </w:tcPr>
          <w:p w14:paraId="652371F4"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31.34</w:t>
            </w:r>
          </w:p>
          <w:p w14:paraId="0FC47A56" w14:textId="7ED0B715" w:rsidR="0059354D" w:rsidRPr="0057398C" w:rsidRDefault="0059354D" w:rsidP="0057398C">
            <w:pPr>
              <w:spacing w:line="240" w:lineRule="auto"/>
              <w:jc w:val="center"/>
              <w:rPr>
                <w:rFonts w:cs="Times New Roman"/>
                <w:szCs w:val="24"/>
              </w:rPr>
            </w:pPr>
          </w:p>
        </w:tc>
        <w:tc>
          <w:tcPr>
            <w:tcW w:w="1561" w:type="dxa"/>
          </w:tcPr>
          <w:p w14:paraId="4EC92F8D"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27.92</w:t>
            </w:r>
          </w:p>
          <w:p w14:paraId="7F95DBE7" w14:textId="1935D5C6" w:rsidR="0059354D" w:rsidRPr="0057398C" w:rsidRDefault="0059354D" w:rsidP="0057398C">
            <w:pPr>
              <w:spacing w:line="240" w:lineRule="auto"/>
              <w:jc w:val="center"/>
              <w:rPr>
                <w:rFonts w:cs="Times New Roman"/>
                <w:szCs w:val="24"/>
              </w:rPr>
            </w:pPr>
          </w:p>
        </w:tc>
        <w:tc>
          <w:tcPr>
            <w:tcW w:w="1561" w:type="dxa"/>
          </w:tcPr>
          <w:p w14:paraId="61172DF0"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16.39</w:t>
            </w:r>
          </w:p>
          <w:p w14:paraId="332222A2" w14:textId="4CA24E1D" w:rsidR="0059354D" w:rsidRPr="0057398C" w:rsidRDefault="0059354D" w:rsidP="0057398C">
            <w:pPr>
              <w:spacing w:line="240" w:lineRule="auto"/>
              <w:jc w:val="center"/>
              <w:rPr>
                <w:rFonts w:cs="Times New Roman"/>
                <w:szCs w:val="24"/>
              </w:rPr>
            </w:pPr>
          </w:p>
        </w:tc>
        <w:tc>
          <w:tcPr>
            <w:tcW w:w="926" w:type="dxa"/>
          </w:tcPr>
          <w:p w14:paraId="3D1534BB"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28.26</w:t>
            </w:r>
          </w:p>
          <w:p w14:paraId="430E4B18" w14:textId="77777777" w:rsidR="0059354D" w:rsidRPr="0057398C" w:rsidRDefault="0059354D" w:rsidP="0057398C">
            <w:pPr>
              <w:spacing w:line="240" w:lineRule="auto"/>
              <w:jc w:val="center"/>
              <w:rPr>
                <w:rFonts w:cs="Times New Roman"/>
                <w:szCs w:val="24"/>
              </w:rPr>
            </w:pPr>
          </w:p>
        </w:tc>
      </w:tr>
      <w:tr w:rsidR="0059354D" w:rsidRPr="0057398C" w14:paraId="0CACA0DF" w14:textId="1663BF0C" w:rsidTr="0057398C">
        <w:trPr>
          <w:trHeight w:hRule="exact" w:val="274"/>
        </w:trPr>
        <w:tc>
          <w:tcPr>
            <w:tcW w:w="1470" w:type="dxa"/>
          </w:tcPr>
          <w:p w14:paraId="2D9BD465"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November</w:t>
            </w:r>
          </w:p>
        </w:tc>
        <w:tc>
          <w:tcPr>
            <w:tcW w:w="1561" w:type="dxa"/>
          </w:tcPr>
          <w:p w14:paraId="6EB03B00"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20.05</w:t>
            </w:r>
          </w:p>
          <w:p w14:paraId="4E2FE2B5" w14:textId="21B44D7B" w:rsidR="0059354D" w:rsidRPr="0057398C" w:rsidRDefault="0059354D" w:rsidP="0057398C">
            <w:pPr>
              <w:spacing w:line="240" w:lineRule="auto"/>
              <w:jc w:val="center"/>
              <w:rPr>
                <w:rFonts w:cs="Times New Roman"/>
                <w:szCs w:val="24"/>
              </w:rPr>
            </w:pPr>
          </w:p>
        </w:tc>
        <w:tc>
          <w:tcPr>
            <w:tcW w:w="1561" w:type="dxa"/>
          </w:tcPr>
          <w:p w14:paraId="5A1611C0"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32.64</w:t>
            </w:r>
          </w:p>
          <w:p w14:paraId="1E19268D" w14:textId="5710E793" w:rsidR="0059354D" w:rsidRPr="0057398C" w:rsidRDefault="0059354D" w:rsidP="0057398C">
            <w:pPr>
              <w:spacing w:line="240" w:lineRule="auto"/>
              <w:jc w:val="center"/>
              <w:rPr>
                <w:rFonts w:cs="Times New Roman"/>
                <w:szCs w:val="24"/>
              </w:rPr>
            </w:pPr>
          </w:p>
        </w:tc>
        <w:tc>
          <w:tcPr>
            <w:tcW w:w="1561" w:type="dxa"/>
          </w:tcPr>
          <w:p w14:paraId="3836CC3A"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28.00</w:t>
            </w:r>
          </w:p>
          <w:p w14:paraId="45E8BF2C" w14:textId="1FA4EF6D" w:rsidR="0059354D" w:rsidRPr="0057398C" w:rsidRDefault="0059354D" w:rsidP="0057398C">
            <w:pPr>
              <w:spacing w:line="240" w:lineRule="auto"/>
              <w:jc w:val="center"/>
              <w:rPr>
                <w:rFonts w:cs="Times New Roman"/>
                <w:szCs w:val="24"/>
              </w:rPr>
            </w:pPr>
          </w:p>
        </w:tc>
        <w:tc>
          <w:tcPr>
            <w:tcW w:w="1561" w:type="dxa"/>
          </w:tcPr>
          <w:p w14:paraId="5B2F691F"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17.94</w:t>
            </w:r>
          </w:p>
          <w:p w14:paraId="0CFACD8F" w14:textId="4217A8C8" w:rsidR="0059354D" w:rsidRPr="0057398C" w:rsidRDefault="0059354D" w:rsidP="0057398C">
            <w:pPr>
              <w:spacing w:line="240" w:lineRule="auto"/>
              <w:jc w:val="center"/>
              <w:rPr>
                <w:rFonts w:cs="Times New Roman"/>
                <w:szCs w:val="24"/>
              </w:rPr>
            </w:pPr>
          </w:p>
        </w:tc>
        <w:tc>
          <w:tcPr>
            <w:tcW w:w="926" w:type="dxa"/>
          </w:tcPr>
          <w:p w14:paraId="1D8D03EC" w14:textId="77777777" w:rsidR="0057398C" w:rsidRPr="0057398C" w:rsidRDefault="0057398C" w:rsidP="0057398C">
            <w:pPr>
              <w:spacing w:line="240" w:lineRule="auto"/>
              <w:jc w:val="center"/>
              <w:rPr>
                <w:rFonts w:cs="Times New Roman"/>
                <w:color w:val="000000"/>
                <w:szCs w:val="24"/>
                <w:lang w:val="en-US"/>
              </w:rPr>
            </w:pPr>
            <w:r w:rsidRPr="0057398C">
              <w:rPr>
                <w:rFonts w:cs="Times New Roman"/>
                <w:color w:val="000000"/>
                <w:szCs w:val="24"/>
              </w:rPr>
              <w:t>29.46</w:t>
            </w:r>
          </w:p>
          <w:p w14:paraId="0BA4F559" w14:textId="77777777" w:rsidR="0059354D" w:rsidRPr="0057398C" w:rsidRDefault="0059354D" w:rsidP="0057398C">
            <w:pPr>
              <w:spacing w:line="240" w:lineRule="auto"/>
              <w:jc w:val="center"/>
              <w:rPr>
                <w:rFonts w:cs="Times New Roman"/>
                <w:szCs w:val="24"/>
              </w:rPr>
            </w:pPr>
          </w:p>
        </w:tc>
      </w:tr>
      <w:tr w:rsidR="0059354D" w:rsidRPr="0057398C" w14:paraId="15C31A0C" w14:textId="5264FD78" w:rsidTr="0057398C">
        <w:trPr>
          <w:trHeight w:hRule="exact" w:val="274"/>
        </w:trPr>
        <w:tc>
          <w:tcPr>
            <w:tcW w:w="1470" w:type="dxa"/>
          </w:tcPr>
          <w:p w14:paraId="55A44E25" w14:textId="77777777" w:rsidR="0059354D" w:rsidRPr="0057398C" w:rsidRDefault="0059354D" w:rsidP="0057398C">
            <w:pPr>
              <w:spacing w:line="240" w:lineRule="auto"/>
              <w:jc w:val="center"/>
              <w:rPr>
                <w:rFonts w:cs="Times New Roman"/>
                <w:szCs w:val="24"/>
              </w:rPr>
            </w:pPr>
            <w:r w:rsidRPr="0057398C">
              <w:rPr>
                <w:rFonts w:cs="Times New Roman"/>
                <w:szCs w:val="24"/>
                <w:lang w:val="en-US"/>
              </w:rPr>
              <w:t>December</w:t>
            </w:r>
          </w:p>
        </w:tc>
        <w:tc>
          <w:tcPr>
            <w:tcW w:w="1561" w:type="dxa"/>
          </w:tcPr>
          <w:p w14:paraId="123AD75C"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20.22</w:t>
            </w:r>
          </w:p>
          <w:p w14:paraId="1B56D80E" w14:textId="622005EE" w:rsidR="0059354D" w:rsidRPr="0057398C" w:rsidRDefault="0059354D" w:rsidP="0057398C">
            <w:pPr>
              <w:spacing w:line="240" w:lineRule="auto"/>
              <w:jc w:val="center"/>
              <w:rPr>
                <w:rFonts w:cs="Times New Roman"/>
                <w:szCs w:val="24"/>
              </w:rPr>
            </w:pPr>
          </w:p>
        </w:tc>
        <w:tc>
          <w:tcPr>
            <w:tcW w:w="1561" w:type="dxa"/>
          </w:tcPr>
          <w:p w14:paraId="6F7A78D0"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34.89</w:t>
            </w:r>
          </w:p>
          <w:p w14:paraId="6DAB592A" w14:textId="3320B311" w:rsidR="0059354D" w:rsidRPr="0057398C" w:rsidRDefault="0059354D" w:rsidP="0057398C">
            <w:pPr>
              <w:spacing w:line="240" w:lineRule="auto"/>
              <w:jc w:val="center"/>
              <w:rPr>
                <w:rFonts w:cs="Times New Roman"/>
                <w:szCs w:val="24"/>
              </w:rPr>
            </w:pPr>
          </w:p>
        </w:tc>
        <w:tc>
          <w:tcPr>
            <w:tcW w:w="1561" w:type="dxa"/>
          </w:tcPr>
          <w:p w14:paraId="54D1A3D5"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28.38</w:t>
            </w:r>
          </w:p>
          <w:p w14:paraId="6188966B" w14:textId="4FA05719" w:rsidR="0059354D" w:rsidRPr="0057398C" w:rsidRDefault="0059354D" w:rsidP="0057398C">
            <w:pPr>
              <w:spacing w:line="240" w:lineRule="auto"/>
              <w:jc w:val="center"/>
              <w:rPr>
                <w:rFonts w:cs="Times New Roman"/>
                <w:szCs w:val="24"/>
              </w:rPr>
            </w:pPr>
          </w:p>
        </w:tc>
        <w:tc>
          <w:tcPr>
            <w:tcW w:w="1561" w:type="dxa"/>
          </w:tcPr>
          <w:p w14:paraId="438FD6C8"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36.20</w:t>
            </w:r>
          </w:p>
          <w:p w14:paraId="4FFF71F1" w14:textId="536B256C" w:rsidR="0059354D" w:rsidRPr="0057398C" w:rsidRDefault="0059354D" w:rsidP="0057398C">
            <w:pPr>
              <w:spacing w:line="240" w:lineRule="auto"/>
              <w:jc w:val="center"/>
              <w:rPr>
                <w:rFonts w:cs="Times New Roman"/>
                <w:szCs w:val="24"/>
              </w:rPr>
            </w:pPr>
          </w:p>
        </w:tc>
        <w:tc>
          <w:tcPr>
            <w:tcW w:w="926" w:type="dxa"/>
          </w:tcPr>
          <w:p w14:paraId="6B762C0E" w14:textId="77777777" w:rsidR="0059354D" w:rsidRPr="0057398C" w:rsidRDefault="0059354D" w:rsidP="0057398C">
            <w:pPr>
              <w:spacing w:line="240" w:lineRule="auto"/>
              <w:jc w:val="center"/>
              <w:rPr>
                <w:rFonts w:cs="Times New Roman"/>
                <w:color w:val="000000"/>
                <w:szCs w:val="24"/>
                <w:lang w:val="en-US"/>
              </w:rPr>
            </w:pPr>
            <w:r w:rsidRPr="0057398C">
              <w:rPr>
                <w:rFonts w:cs="Times New Roman"/>
                <w:color w:val="000000"/>
                <w:szCs w:val="24"/>
              </w:rPr>
              <w:t>29.47</w:t>
            </w:r>
          </w:p>
          <w:p w14:paraId="075CCFE5" w14:textId="77777777" w:rsidR="0059354D" w:rsidRPr="0057398C" w:rsidRDefault="0059354D" w:rsidP="0057398C">
            <w:pPr>
              <w:spacing w:line="240" w:lineRule="auto"/>
              <w:jc w:val="center"/>
              <w:rPr>
                <w:rFonts w:cs="Times New Roman"/>
                <w:szCs w:val="24"/>
              </w:rPr>
            </w:pPr>
          </w:p>
        </w:tc>
      </w:tr>
    </w:tbl>
    <w:p w14:paraId="591D551E" w14:textId="77777777" w:rsidR="00F535A1" w:rsidRDefault="00F535A1" w:rsidP="00F535A1">
      <w:pPr>
        <w:spacing w:line="240" w:lineRule="auto"/>
        <w:rPr>
          <w:b/>
          <w:sz w:val="20"/>
          <w:szCs w:val="20"/>
          <w:lang w:val="en-US"/>
        </w:rPr>
      </w:pPr>
    </w:p>
    <w:p w14:paraId="02C4A358" w14:textId="77777777" w:rsidR="00F57D98" w:rsidRPr="0099460B" w:rsidRDefault="00F57D98" w:rsidP="0045615A">
      <w:pPr>
        <w:spacing w:line="240" w:lineRule="auto"/>
        <w:jc w:val="center"/>
        <w:rPr>
          <w:lang w:val="en-US"/>
        </w:rPr>
      </w:pPr>
    </w:p>
    <w:p w14:paraId="4B516BEF" w14:textId="77777777" w:rsidR="0033230F" w:rsidRDefault="0033230F">
      <w:pPr>
        <w:spacing w:line="259" w:lineRule="auto"/>
        <w:jc w:val="left"/>
        <w:rPr>
          <w:rFonts w:eastAsiaTheme="majorEastAsia" w:cstheme="majorBidi"/>
          <w:b/>
          <w:sz w:val="32"/>
          <w:szCs w:val="32"/>
          <w:lang w:val="en-US"/>
        </w:rPr>
      </w:pPr>
      <w:r>
        <w:rPr>
          <w:lang w:val="en-US"/>
        </w:rPr>
        <w:br w:type="page"/>
      </w:r>
    </w:p>
    <w:p w14:paraId="4308D267" w14:textId="02066B5C" w:rsidR="003E4A65" w:rsidRDefault="003E4A65" w:rsidP="003E4A65">
      <w:pPr>
        <w:pStyle w:val="Heading1"/>
        <w:rPr>
          <w:lang w:val="en-US"/>
        </w:rPr>
      </w:pPr>
      <w:bookmarkStart w:id="93" w:name="_Toc110502631"/>
      <w:r>
        <w:rPr>
          <w:lang w:val="en-US"/>
        </w:rPr>
        <w:t>CHAPTER FIVE</w:t>
      </w:r>
      <w:bookmarkEnd w:id="93"/>
    </w:p>
    <w:p w14:paraId="6666A381" w14:textId="17AF116D" w:rsidR="003E4A65" w:rsidRDefault="003E4A65" w:rsidP="003E4A65">
      <w:pPr>
        <w:pStyle w:val="Heading2"/>
        <w:rPr>
          <w:lang w:val="en-US"/>
        </w:rPr>
      </w:pPr>
      <w:bookmarkStart w:id="94" w:name="_Toc110502632"/>
      <w:r>
        <w:rPr>
          <w:lang w:val="en-US"/>
        </w:rPr>
        <w:t>SUMMARY, CONCLUSION, AND RECOMMENDATION</w:t>
      </w:r>
      <w:bookmarkEnd w:id="94"/>
    </w:p>
    <w:p w14:paraId="4F4F535F" w14:textId="645C4888" w:rsidR="003E4A65" w:rsidRDefault="003E4A65" w:rsidP="00E85D75">
      <w:pPr>
        <w:pStyle w:val="Heading3"/>
        <w:numPr>
          <w:ilvl w:val="1"/>
          <w:numId w:val="2"/>
        </w:numPr>
        <w:spacing w:line="360" w:lineRule="auto"/>
        <w:ind w:left="0" w:firstLine="0"/>
      </w:pPr>
      <w:bookmarkStart w:id="95" w:name="_Toc110502633"/>
      <w:r>
        <w:t>S</w:t>
      </w:r>
      <w:r w:rsidR="00A92570">
        <w:t>UMMARY</w:t>
      </w:r>
      <w:bookmarkEnd w:id="95"/>
    </w:p>
    <w:p w14:paraId="0C5354F5" w14:textId="7C12E602" w:rsidR="003E4A65" w:rsidRDefault="003E4A65" w:rsidP="00AE67F8">
      <w:pPr>
        <w:spacing w:line="480" w:lineRule="auto"/>
        <w:rPr>
          <w:lang w:val="en-US"/>
        </w:rPr>
      </w:pPr>
      <w:r>
        <w:rPr>
          <w:lang w:val="en-US"/>
        </w:rPr>
        <w:t xml:space="preserve">On one hand, the importance of renewable energy in the global context cannot be overemphasized. There are enormous environmental, economical, and aesthetic reasons why renewable energy-based electricity as a flagship for clean and affordable energy needs to be implemented. On the other hand, the electricity demand-supply mismatch in Arandun is an urgent problem that needs to be tackled. The present study shows the potential of </w:t>
      </w:r>
      <w:r w:rsidR="008B3D06">
        <w:rPr>
          <w:lang w:val="en-US"/>
        </w:rPr>
        <w:t xml:space="preserve">a </w:t>
      </w:r>
      <w:r>
        <w:rPr>
          <w:lang w:val="en-US"/>
        </w:rPr>
        <w:t xml:space="preserve">renewable energy microgrid in the community given existing resources </w:t>
      </w:r>
      <w:r w:rsidR="00AE67F8">
        <w:rPr>
          <w:lang w:val="en-US"/>
        </w:rPr>
        <w:t>at the location. The four renewable energy sources of wind, hydropower, solar-generated electricity, and solar thermal (Concentrated Solar Power) were examined in the study.</w:t>
      </w:r>
    </w:p>
    <w:p w14:paraId="36052798" w14:textId="627F2B6B" w:rsidR="00AE67F8" w:rsidRDefault="00AE67F8" w:rsidP="00AE67F8">
      <w:pPr>
        <w:spacing w:line="480" w:lineRule="auto"/>
      </w:pPr>
      <w:r>
        <w:t>Data was obtained both by direct measurement, estimation, and from the trusted Prediction of Worldwide Energy Resources (POWER) dataset and pre-processed, cleaned, and fed into the HOMER Pro software for optimal selection of microgrid configuration. This exercise also involved economic information such as discount rate, inflation rate, as well as cost</w:t>
      </w:r>
      <w:r w:rsidR="008B3D06">
        <w:t>s</w:t>
      </w:r>
      <w:r>
        <w:t xml:space="preserve"> of equipment and time value of money. The degradation of the equipment w</w:t>
      </w:r>
      <w:r w:rsidR="008B3D06">
        <w:t>as</w:t>
      </w:r>
      <w:r>
        <w:t xml:space="preserve"> also considered. The CSP did not have a direct model in HOMER, however, a s</w:t>
      </w:r>
      <w:r w:rsidR="008B3D06">
        <w:t>uit</w:t>
      </w:r>
      <w:r>
        <w:t>able approximation was used which was the CPV since they are both DNI-dependent generation technology.</w:t>
      </w:r>
    </w:p>
    <w:p w14:paraId="648F0111" w14:textId="6295CBCA" w:rsidR="00AE67F8" w:rsidRDefault="00AE67F8" w:rsidP="00AE67F8">
      <w:pPr>
        <w:spacing w:line="480" w:lineRule="auto"/>
      </w:pPr>
      <w:r>
        <w:t xml:space="preserve">Renewable energy was compared with </w:t>
      </w:r>
      <w:r w:rsidR="008B3D06">
        <w:t xml:space="preserve">the </w:t>
      </w:r>
      <w:r>
        <w:t xml:space="preserve">diesel microgrid for the selected location and the renewable option was found to have a lower net present cost of $55.7 million compared to $408 million for the diesel microgrid, for 25 years. </w:t>
      </w:r>
      <w:r w:rsidR="00DF170D">
        <w:t>Microgrid fulfilling zero unmet load in the simulations while being cost</w:t>
      </w:r>
      <w:r w:rsidR="008B3D06">
        <w:t>-</w:t>
      </w:r>
      <w:r w:rsidR="00DF170D">
        <w:t>effective was a mixture of CSP, PV, and Micro</w:t>
      </w:r>
      <w:r w:rsidR="008B3D06">
        <w:t>-</w:t>
      </w:r>
      <w:r w:rsidR="00DF170D">
        <w:t xml:space="preserve">hydro in order of decreasing contribution. The hydropower resource selected was the Osin River which is notable enough to have appeared in </w:t>
      </w:r>
      <w:r w:rsidR="008B3D06">
        <w:t xml:space="preserve">the </w:t>
      </w:r>
      <w:r w:rsidR="00DF170D">
        <w:t xml:space="preserve">literature previously. </w:t>
      </w:r>
      <w:r>
        <w:t>In addition to this, the emissions of the diesel microgrid were found to be astronomical compared to the clean alternative of the PV-CSP-Hydro-BESS renewable microgrid that was selected as the optimal solution.</w:t>
      </w:r>
      <w:r w:rsidR="00DF170D">
        <w:t xml:space="preserve"> Wind energy was found to be economically infeasible due to low wind resource in the Arandun location. The complementarity of the various sources on the microgrid was also confirmed.</w:t>
      </w:r>
    </w:p>
    <w:p w14:paraId="2DFE52AB" w14:textId="7163D8A8" w:rsidR="00DF170D" w:rsidRDefault="00DF170D" w:rsidP="00AE67F8">
      <w:pPr>
        <w:spacing w:line="480" w:lineRule="auto"/>
      </w:pPr>
      <w:r>
        <w:t>MATLAB was used to develop 48 separate probability distribution functions for the load uncertainty (using Gaussian Distribution), solar irradiance uncertainty (using Lognormal distribution), hydropower uncertainty (using the Gumbel/Extreme Value Distribution), and the wind uncertainty (using the Weibull distribution) at the location, which could be useful for future studies. Using these models, the annual dynamic performance (in terms of voltage profile stability) of the buses in the proposed microgrid w</w:t>
      </w:r>
      <w:r w:rsidR="008B3D06">
        <w:t>as</w:t>
      </w:r>
      <w:r>
        <w:t xml:space="preserve"> modelled</w:t>
      </w:r>
      <w:r w:rsidR="00E137ED">
        <w:t xml:space="preserve"> in DIgSILENT PowerFactory</w:t>
      </w:r>
      <w:r>
        <w:t>, simulated, and summarized. The index used was the Index of Voltage Deviation</w:t>
      </w:r>
      <w:r w:rsidR="00456FF5">
        <w:t xml:space="preserve"> (IVD)</w:t>
      </w:r>
      <w:r>
        <w:t xml:space="preserve"> to measure the difference between the stability using conventional generation (i.e grid supplied system) and the standalone microgrid voltage performance under uncertainty in the rene</w:t>
      </w:r>
      <w:r w:rsidR="008B3D06">
        <w:t>w</w:t>
      </w:r>
      <w:r>
        <w:t>able resources, and also the load. The microgrid was found to be most prone to voltage instabil</w:t>
      </w:r>
      <w:r w:rsidR="0033230F">
        <w:t>ity in December and January and most stable between June and October</w:t>
      </w:r>
      <w:r w:rsidR="0023109C">
        <w:t xml:space="preserve"> in single-bus power injection and multi-bus power injection scenarios</w:t>
      </w:r>
      <w:r>
        <w:t>.</w:t>
      </w:r>
    </w:p>
    <w:p w14:paraId="01D9E685" w14:textId="72800086" w:rsidR="00434B92" w:rsidRDefault="00434B92" w:rsidP="00AE67F8">
      <w:pPr>
        <w:spacing w:line="480" w:lineRule="auto"/>
      </w:pPr>
      <w:r>
        <w:rPr>
          <w:lang w:val="en-US"/>
        </w:rPr>
        <w:t xml:space="preserve">This work has involved carrying out and presenting a review of recent literature on the development of distributed generation and microgrid technology. </w:t>
      </w:r>
      <w:r w:rsidR="008B3D06">
        <w:rPr>
          <w:lang w:val="en-US"/>
        </w:rPr>
        <w:t>Before</w:t>
      </w:r>
      <w:r>
        <w:rPr>
          <w:lang w:val="en-US"/>
        </w:rPr>
        <w:t xml:space="preserve"> this work, the prospects of a standalone renewable community microgrid in Arandun, Kwara State, Nigeria, had not been researched. However, this work presents the results, findings, and conclusions of the feasibility study, techno-economic analysis, social acceptability, and expected dynamic performance of a standalone renewable</w:t>
      </w:r>
      <w:r w:rsidR="008B3D06">
        <w:rPr>
          <w:lang w:val="en-US"/>
        </w:rPr>
        <w:t>-</w:t>
      </w:r>
      <w:r>
        <w:rPr>
          <w:lang w:val="en-US"/>
        </w:rPr>
        <w:t>based microgrid in the community under uncertainty in the energy resources, based on locally-obtained data and real physical surveys. This work will be useful for town planners and potential investors.</w:t>
      </w:r>
    </w:p>
    <w:p w14:paraId="4343D205" w14:textId="4668F174" w:rsidR="002677BD" w:rsidRDefault="002677BD" w:rsidP="00E85D75">
      <w:pPr>
        <w:pStyle w:val="Heading3"/>
        <w:numPr>
          <w:ilvl w:val="1"/>
          <w:numId w:val="2"/>
        </w:numPr>
        <w:spacing w:line="360" w:lineRule="auto"/>
        <w:ind w:left="0" w:firstLine="0"/>
      </w:pPr>
      <w:bookmarkStart w:id="96" w:name="_Toc110502634"/>
      <w:r>
        <w:t>C</w:t>
      </w:r>
      <w:r w:rsidR="00A92570">
        <w:t>ONCLUSION</w:t>
      </w:r>
      <w:bookmarkEnd w:id="96"/>
    </w:p>
    <w:p w14:paraId="52F4CEDE" w14:textId="17642383" w:rsidR="002677BD" w:rsidRDefault="00E137ED" w:rsidP="00E137ED">
      <w:pPr>
        <w:spacing w:line="480" w:lineRule="auto"/>
        <w:rPr>
          <w:lang w:val="en-US"/>
        </w:rPr>
      </w:pPr>
      <w:r>
        <w:rPr>
          <w:lang w:val="en-US"/>
        </w:rPr>
        <w:t>Wind energy was not found to be feasible on a large scale in Arandun in comparison to other renewable and non-renewable alternatives. Apart from the cost of the installations of wind that would be required, the number of wind turbines required to supply the demand would be infeasible to install in the amount of land available.</w:t>
      </w:r>
    </w:p>
    <w:p w14:paraId="77B32610" w14:textId="0CBA821F" w:rsidR="00E137ED" w:rsidRDefault="00E137ED" w:rsidP="00E137ED">
      <w:pPr>
        <w:spacing w:line="480" w:lineRule="auto"/>
        <w:rPr>
          <w:lang w:val="en-US"/>
        </w:rPr>
      </w:pPr>
      <w:r>
        <w:rPr>
          <w:lang w:val="en-US"/>
        </w:rPr>
        <w:t>It emerged that Concentrated Solar Power is a promising option for generating solar power in the tropics as exemplified by the Arandun community. The proximity to the equator of Nigeria means that in areas with a long-enough dry season, the thermal storage ability of CSP may make it more viable than even solar PV in some instances.</w:t>
      </w:r>
    </w:p>
    <w:p w14:paraId="6B651854" w14:textId="559C61C2" w:rsidR="00E137ED" w:rsidRDefault="00E137ED" w:rsidP="00E137ED">
      <w:pPr>
        <w:spacing w:line="480" w:lineRule="auto"/>
        <w:rPr>
          <w:lang w:val="en-US"/>
        </w:rPr>
      </w:pPr>
      <w:r>
        <w:rPr>
          <w:lang w:val="en-US"/>
        </w:rPr>
        <w:t xml:space="preserve">The microgrid was predicted, after </w:t>
      </w:r>
      <w:r w:rsidR="009B791D">
        <w:rPr>
          <w:lang w:val="en-US"/>
        </w:rPr>
        <w:t>s</w:t>
      </w:r>
      <w:r>
        <w:rPr>
          <w:lang w:val="en-US"/>
        </w:rPr>
        <w:t>imulations to be most prone to voltage instability in January due to the combination of high load demand and load stochasticity around that period. This is potentially due to the high fluxion of traffic during the festive seasons. However, it is expected that a microgrid providing reliable and affordable electricity will introduce stability into the population flux and the IVD may be improved by this.</w:t>
      </w:r>
    </w:p>
    <w:p w14:paraId="380AB04C" w14:textId="6B5FCA3E" w:rsidR="00E137ED" w:rsidRPr="002677BD" w:rsidRDefault="00E137ED" w:rsidP="0055276E">
      <w:pPr>
        <w:pStyle w:val="Heading3"/>
        <w:spacing w:line="360" w:lineRule="auto"/>
      </w:pPr>
      <w:bookmarkStart w:id="97" w:name="_Toc110502635"/>
      <w:r>
        <w:t>5.3</w:t>
      </w:r>
      <w:r>
        <w:tab/>
        <w:t>R</w:t>
      </w:r>
      <w:r w:rsidR="00A92570">
        <w:t>ECOMMENDATIONS</w:t>
      </w:r>
      <w:bookmarkEnd w:id="97"/>
    </w:p>
    <w:p w14:paraId="418AE371" w14:textId="25956496" w:rsidR="00A64CC7" w:rsidRDefault="00E137ED" w:rsidP="000C2C4C">
      <w:pPr>
        <w:spacing w:line="480" w:lineRule="auto"/>
      </w:pPr>
      <w:r>
        <w:t xml:space="preserve">Further studies on the potentials of a renewable microgrid in Arandun are </w:t>
      </w:r>
      <w:r w:rsidR="009B791D">
        <w:t>required, especially considering the potentials of other energy sources</w:t>
      </w:r>
      <w:r w:rsidR="00392768">
        <w:t xml:space="preserve"> (such as biomass)</w:t>
      </w:r>
      <w:r w:rsidR="009B791D">
        <w:t xml:space="preserve"> not </w:t>
      </w:r>
      <w:r w:rsidR="00392768">
        <w:t>considered in the study</w:t>
      </w:r>
      <w:r w:rsidR="009B791D">
        <w:t>.</w:t>
      </w:r>
      <w:r w:rsidR="002E7390">
        <w:t xml:space="preserve"> </w:t>
      </w:r>
      <w:r w:rsidR="009B791D">
        <w:t>Load profile uncertainty models for Nigerian power systems should be investigated further.</w:t>
      </w:r>
      <w:r w:rsidR="002E7390">
        <w:t xml:space="preserve"> </w:t>
      </w:r>
      <w:r w:rsidR="009B791D">
        <w:t>The use of other methods of fitting probability distributions apart from maximum likelihood methods is a potential area of research.</w:t>
      </w:r>
      <w:r w:rsidR="002E7390">
        <w:t xml:space="preserve"> </w:t>
      </w:r>
      <w:r w:rsidR="009B791D">
        <w:t xml:space="preserve">The use of fuzzy logic for Social Acceptability analysis has been adopted in this study. The adaptation of such a paradigm using </w:t>
      </w:r>
      <w:r w:rsidR="008B3D06">
        <w:t xml:space="preserve">the </w:t>
      </w:r>
      <w:r w:rsidR="009B791D">
        <w:t>Fuzzy-Neural mode</w:t>
      </w:r>
      <w:r w:rsidR="002E7390">
        <w:t>l would be a good investigation.</w:t>
      </w:r>
      <w:r w:rsidR="009B791D">
        <w:t xml:space="preserve"> This would require </w:t>
      </w:r>
      <w:r w:rsidR="008B3D06">
        <w:t xml:space="preserve">the </w:t>
      </w:r>
      <w:r w:rsidR="009B791D">
        <w:t>synchronisation of data from various microgrid projects.</w:t>
      </w:r>
      <w:r w:rsidR="002E7390">
        <w:t xml:space="preserve"> </w:t>
      </w:r>
      <w:r w:rsidR="009B791D">
        <w:t>The results of increasing the resolution of the sensitivity variables in HOMER (which would require as much as 1 Terabyte of RAM) should be investigated. This would require a high-end workstation.</w:t>
      </w:r>
      <w:r w:rsidR="002E7390">
        <w:t xml:space="preserve"> </w:t>
      </w:r>
      <w:r w:rsidR="009B791D">
        <w:t>The prediction of simulation time for dynamic and quasi-dynamic models should be evaluated and improved as such models take a lot of time to simulate.</w:t>
      </w:r>
    </w:p>
    <w:p w14:paraId="50CD72DD" w14:textId="5719C507" w:rsidR="000C2C4C" w:rsidRDefault="000C2C4C" w:rsidP="0055276E">
      <w:pPr>
        <w:pStyle w:val="Heading3"/>
        <w:spacing w:line="360" w:lineRule="auto"/>
      </w:pPr>
      <w:bookmarkStart w:id="98" w:name="_Toc110502636"/>
      <w:r>
        <w:t>5.4</w:t>
      </w:r>
      <w:r>
        <w:tab/>
      </w:r>
      <w:r w:rsidR="00A92570">
        <w:t>CONTRIBUTION TO KNOWLEDGE</w:t>
      </w:r>
      <w:bookmarkEnd w:id="98"/>
    </w:p>
    <w:p w14:paraId="2D55BB89" w14:textId="073331D1" w:rsidR="00A64CC7" w:rsidRDefault="00434B92" w:rsidP="000C2C4C">
      <w:pPr>
        <w:spacing w:line="480" w:lineRule="auto"/>
        <w:rPr>
          <w:lang w:val="en-US"/>
        </w:rPr>
      </w:pPr>
      <w:r>
        <w:rPr>
          <w:lang w:val="en-US"/>
        </w:rPr>
        <w:t xml:space="preserve">The following </w:t>
      </w:r>
      <w:r w:rsidR="001A03ED">
        <w:rPr>
          <w:lang w:val="en-US"/>
        </w:rPr>
        <w:t xml:space="preserve">major </w:t>
      </w:r>
      <w:r>
        <w:rPr>
          <w:lang w:val="en-US"/>
        </w:rPr>
        <w:t>contributions have been made in this work:</w:t>
      </w:r>
    </w:p>
    <w:p w14:paraId="3B02E155" w14:textId="55D5A2A6" w:rsidR="00434B92" w:rsidRDefault="00434B92" w:rsidP="00E85D75">
      <w:pPr>
        <w:pStyle w:val="ListParagraph"/>
        <w:numPr>
          <w:ilvl w:val="0"/>
          <w:numId w:val="5"/>
        </w:numPr>
        <w:spacing w:line="480" w:lineRule="auto"/>
        <w:rPr>
          <w:lang w:val="en-US"/>
        </w:rPr>
      </w:pPr>
      <w:r>
        <w:rPr>
          <w:lang w:val="en-US"/>
        </w:rPr>
        <w:t>The preliminary feasibility and techno-economic analyses as well as the expected annual performance of a standalone renewable-based microgrid under renewable resource uncertainty in A</w:t>
      </w:r>
      <w:r w:rsidR="001A03ED">
        <w:rPr>
          <w:lang w:val="en-US"/>
        </w:rPr>
        <w:t>randun were</w:t>
      </w:r>
      <w:r>
        <w:rPr>
          <w:lang w:val="en-US"/>
        </w:rPr>
        <w:t xml:space="preserve"> presented. </w:t>
      </w:r>
    </w:p>
    <w:p w14:paraId="0A923E13" w14:textId="13F138AC" w:rsidR="00434B92" w:rsidRDefault="00434B92" w:rsidP="00E85D75">
      <w:pPr>
        <w:pStyle w:val="ListParagraph"/>
        <w:numPr>
          <w:ilvl w:val="0"/>
          <w:numId w:val="5"/>
        </w:numPr>
        <w:spacing w:line="480" w:lineRule="auto"/>
        <w:rPr>
          <w:lang w:val="en-US"/>
        </w:rPr>
      </w:pPr>
      <w:r>
        <w:rPr>
          <w:lang w:val="en-US"/>
        </w:rPr>
        <w:t>T</w:t>
      </w:r>
      <w:r w:rsidR="001A03ED">
        <w:rPr>
          <w:lang w:val="en-US"/>
        </w:rPr>
        <w:t>he long-term economic and ecological benefits of developing solar photovoltaic, concentrated solar power, in Nigeria’s middle belt, and micro-hydro electricity on the Osin River, were presented.</w:t>
      </w:r>
    </w:p>
    <w:p w14:paraId="4DAF9B96" w14:textId="069AB947" w:rsidR="0032556F" w:rsidRPr="009D38F9" w:rsidRDefault="00434B92" w:rsidP="00E85D75">
      <w:pPr>
        <w:pStyle w:val="ListParagraph"/>
        <w:numPr>
          <w:ilvl w:val="0"/>
          <w:numId w:val="5"/>
        </w:numPr>
        <w:spacing w:line="480" w:lineRule="auto"/>
        <w:rPr>
          <w:lang w:val="en-US"/>
        </w:rPr>
      </w:pPr>
      <w:r>
        <w:rPr>
          <w:lang w:val="en-US"/>
        </w:rPr>
        <w:t>The long-term quasi-dynamic stability modelling, simulation, and results of a proposed renewable microgrid network for the Arandun community w</w:t>
      </w:r>
      <w:r w:rsidR="008B3D06">
        <w:rPr>
          <w:lang w:val="en-US"/>
        </w:rPr>
        <w:t>ere</w:t>
      </w:r>
      <w:r>
        <w:rPr>
          <w:lang w:val="en-US"/>
        </w:rPr>
        <w:t xml:space="preserve"> presented.</w:t>
      </w:r>
    </w:p>
    <w:p w14:paraId="3972B06E" w14:textId="4E848A04" w:rsidR="00FD5B27" w:rsidRDefault="00FD5B27" w:rsidP="00F03645">
      <w:pPr>
        <w:pStyle w:val="Heading1"/>
        <w:spacing w:line="480" w:lineRule="auto"/>
        <w:rPr>
          <w:lang w:val="en-US"/>
        </w:rPr>
      </w:pPr>
      <w:bookmarkStart w:id="99" w:name="_Toc110502637"/>
      <w:r>
        <w:rPr>
          <w:lang w:val="en-US"/>
        </w:rPr>
        <w:t>REFERENCES</w:t>
      </w:r>
      <w:bookmarkEnd w:id="99"/>
    </w:p>
    <w:p w14:paraId="7B8DB004" w14:textId="2CF654DB" w:rsidR="00AC5C84" w:rsidRPr="00AC5C84" w:rsidRDefault="001063E9" w:rsidP="00AC5C84">
      <w:pPr>
        <w:widowControl w:val="0"/>
        <w:autoSpaceDE w:val="0"/>
        <w:autoSpaceDN w:val="0"/>
        <w:adjustRightInd w:val="0"/>
        <w:ind w:left="480" w:hanging="480"/>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AC5C84" w:rsidRPr="00AC5C84">
        <w:rPr>
          <w:rFonts w:cs="Times New Roman"/>
          <w:noProof/>
          <w:szCs w:val="24"/>
        </w:rPr>
        <w:t>Ab-Belkhai</w:t>
      </w:r>
      <w:r w:rsidR="00830D1B">
        <w:rPr>
          <w:rFonts w:cs="Times New Roman"/>
          <w:noProof/>
          <w:szCs w:val="24"/>
        </w:rPr>
        <w:t>r, A., Rahebi, J., &amp; Abdulhamed-Mohamed-</w:t>
      </w:r>
      <w:r w:rsidR="00AC5C84" w:rsidRPr="00AC5C84">
        <w:rPr>
          <w:rFonts w:cs="Times New Roman"/>
          <w:noProof/>
          <w:szCs w:val="24"/>
        </w:rPr>
        <w:t xml:space="preserve">Nureddin, A. (2020). A study of deep neural network controller-based power quality improvement of hybrid PV/Wind systems by using smart inverter. </w:t>
      </w:r>
      <w:r w:rsidR="00AC5C84" w:rsidRPr="00AC5C84">
        <w:rPr>
          <w:rFonts w:cs="Times New Roman"/>
          <w:i/>
          <w:iCs/>
          <w:noProof/>
          <w:szCs w:val="24"/>
        </w:rPr>
        <w:t>International Journal of Photoenergy</w:t>
      </w:r>
      <w:r w:rsidR="00AC5C84" w:rsidRPr="00AC5C84">
        <w:rPr>
          <w:rFonts w:cs="Times New Roman"/>
          <w:noProof/>
          <w:szCs w:val="24"/>
        </w:rPr>
        <w:t xml:space="preserve">, </w:t>
      </w:r>
      <w:r w:rsidR="00AC5C84" w:rsidRPr="00AC5C84">
        <w:rPr>
          <w:rFonts w:cs="Times New Roman"/>
          <w:i/>
          <w:iCs/>
          <w:noProof/>
          <w:szCs w:val="24"/>
        </w:rPr>
        <w:t>2020</w:t>
      </w:r>
      <w:r w:rsidR="00AC5C84" w:rsidRPr="00AC5C84">
        <w:rPr>
          <w:rFonts w:cs="Times New Roman"/>
          <w:noProof/>
          <w:szCs w:val="24"/>
        </w:rPr>
        <w:t>. https://doi.org/10.1155/2020/8891469</w:t>
      </w:r>
    </w:p>
    <w:p w14:paraId="05A6801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Abu-Mouti, F. S., &amp; El-Hawary, M. E. (2012). Optimal dynamic economic dispatch including renewable energy source using artificial bee colony algorithm. </w:t>
      </w:r>
      <w:r w:rsidRPr="00AC5C84">
        <w:rPr>
          <w:rFonts w:cs="Times New Roman"/>
          <w:i/>
          <w:iCs/>
          <w:noProof/>
          <w:szCs w:val="24"/>
        </w:rPr>
        <w:t>SysCon 2012 - 2012 IEEE International Systems Conference, Proceedings</w:t>
      </w:r>
      <w:r w:rsidRPr="00AC5C84">
        <w:rPr>
          <w:rFonts w:cs="Times New Roman"/>
          <w:noProof/>
          <w:szCs w:val="24"/>
        </w:rPr>
        <w:t>, 304–309. https://doi.org/10.1109/SYSCON.2012.6189540</w:t>
      </w:r>
    </w:p>
    <w:p w14:paraId="5F8BD45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Adebanji, B., Adepoju, G. A., Olulope, P., Fasina, T., &amp; Adetan, O. (2020). Feasibility and optimal design of a hybrid power system for rural electrification for a small village. </w:t>
      </w:r>
      <w:r w:rsidRPr="00AC5C84">
        <w:rPr>
          <w:rFonts w:cs="Times New Roman"/>
          <w:i/>
          <w:iCs/>
          <w:noProof/>
          <w:szCs w:val="24"/>
        </w:rPr>
        <w:t>Undefined</w:t>
      </w:r>
      <w:r w:rsidRPr="00AC5C84">
        <w:rPr>
          <w:rFonts w:cs="Times New Roman"/>
          <w:noProof/>
          <w:szCs w:val="24"/>
        </w:rPr>
        <w:t xml:space="preserve">, </w:t>
      </w:r>
      <w:r w:rsidRPr="00AC5C84">
        <w:rPr>
          <w:rFonts w:cs="Times New Roman"/>
          <w:i/>
          <w:iCs/>
          <w:noProof/>
          <w:szCs w:val="24"/>
        </w:rPr>
        <w:t>10</w:t>
      </w:r>
      <w:r w:rsidRPr="00AC5C84">
        <w:rPr>
          <w:rFonts w:cs="Times New Roman"/>
          <w:noProof/>
          <w:szCs w:val="24"/>
        </w:rPr>
        <w:t>(6), 6214–6224. https://doi.org/10.11591/IJECE.V10I6.PP6214-6224</w:t>
      </w:r>
    </w:p>
    <w:p w14:paraId="125D97A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Adebimpe, O. A., Oladokun, V. O., &amp; Edem, I. E. (2021). Towards the Application of Pumped-Hydro Storage in Nigeria. </w:t>
      </w:r>
      <w:r w:rsidRPr="00AC5C84">
        <w:rPr>
          <w:rFonts w:cs="Times New Roman"/>
          <w:i/>
          <w:iCs/>
          <w:noProof/>
          <w:szCs w:val="24"/>
        </w:rPr>
        <w:t>Proceedings of the 11th Annual International Conference on Industrial Engineering and Operations Management</w:t>
      </w:r>
      <w:r w:rsidRPr="00AC5C84">
        <w:rPr>
          <w:rFonts w:cs="Times New Roman"/>
          <w:noProof/>
          <w:szCs w:val="24"/>
        </w:rPr>
        <w:t xml:space="preserve">, </w:t>
      </w:r>
      <w:r w:rsidRPr="00AC5C84">
        <w:rPr>
          <w:rFonts w:cs="Times New Roman"/>
          <w:i/>
          <w:iCs/>
          <w:noProof/>
          <w:szCs w:val="24"/>
        </w:rPr>
        <w:t>July 2016</w:t>
      </w:r>
      <w:r w:rsidRPr="00AC5C84">
        <w:rPr>
          <w:rFonts w:cs="Times New Roman"/>
          <w:noProof/>
          <w:szCs w:val="24"/>
        </w:rPr>
        <w:t>, 2528–2537.</w:t>
      </w:r>
    </w:p>
    <w:p w14:paraId="2B8F7BD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Adediji, A., Adewumi, J. A., &amp; Ologunorisa, T. E. (2011). Effects of irrigation on the physico-chemical quality of water in irrigated areas: The Upper Osin Catchment, Kwara State, Nigeria. </w:t>
      </w:r>
      <w:r w:rsidRPr="00AC5C84">
        <w:rPr>
          <w:rFonts w:cs="Times New Roman"/>
          <w:i/>
          <w:iCs/>
          <w:noProof/>
          <w:szCs w:val="24"/>
        </w:rPr>
        <w:t>Progress in Physical Geography</w:t>
      </w:r>
      <w:r w:rsidRPr="00AC5C84">
        <w:rPr>
          <w:rFonts w:cs="Times New Roman"/>
          <w:noProof/>
          <w:szCs w:val="24"/>
        </w:rPr>
        <w:t xml:space="preserve">, </w:t>
      </w:r>
      <w:r w:rsidRPr="00AC5C84">
        <w:rPr>
          <w:rFonts w:cs="Times New Roman"/>
          <w:i/>
          <w:iCs/>
          <w:noProof/>
          <w:szCs w:val="24"/>
        </w:rPr>
        <w:t>35</w:t>
      </w:r>
      <w:r w:rsidRPr="00AC5C84">
        <w:rPr>
          <w:rFonts w:cs="Times New Roman"/>
          <w:noProof/>
          <w:szCs w:val="24"/>
        </w:rPr>
        <w:t>(6), 707–719. https://doi.org/10.1177/0309133311407655</w:t>
      </w:r>
    </w:p>
    <w:p w14:paraId="3A8DE9D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Adedoyin, F. F., Bekun, F. V., &amp; Alola, A. A. (2020). Growth impact of transition from non-renewable to renewable energy in the EU: The role of research and development expenditure. </w:t>
      </w:r>
      <w:r w:rsidRPr="00AC5C84">
        <w:rPr>
          <w:rFonts w:cs="Times New Roman"/>
          <w:i/>
          <w:iCs/>
          <w:noProof/>
          <w:szCs w:val="24"/>
        </w:rPr>
        <w:t>Renewable Energy</w:t>
      </w:r>
      <w:r w:rsidRPr="00AC5C84">
        <w:rPr>
          <w:rFonts w:cs="Times New Roman"/>
          <w:noProof/>
          <w:szCs w:val="24"/>
        </w:rPr>
        <w:t xml:space="preserve">, </w:t>
      </w:r>
      <w:r w:rsidRPr="00AC5C84">
        <w:rPr>
          <w:rFonts w:cs="Times New Roman"/>
          <w:i/>
          <w:iCs/>
          <w:noProof/>
          <w:szCs w:val="24"/>
        </w:rPr>
        <w:t>159</w:t>
      </w:r>
      <w:r w:rsidRPr="00AC5C84">
        <w:rPr>
          <w:rFonts w:cs="Times New Roman"/>
          <w:noProof/>
          <w:szCs w:val="24"/>
        </w:rPr>
        <w:t>, 1139–1145. https://doi.org/10.1016/J.RENENE.2020.06.015</w:t>
      </w:r>
    </w:p>
    <w:p w14:paraId="715028E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Adelaja, A. O. (2020). Barriers to national renewable energy policy adoption: Insights from a case study of Nigeria. </w:t>
      </w:r>
      <w:r w:rsidRPr="00AC5C84">
        <w:rPr>
          <w:rFonts w:cs="Times New Roman"/>
          <w:i/>
          <w:iCs/>
          <w:noProof/>
          <w:szCs w:val="24"/>
        </w:rPr>
        <w:t>Energy Strategy Reviews</w:t>
      </w:r>
      <w:r w:rsidRPr="00AC5C84">
        <w:rPr>
          <w:rFonts w:cs="Times New Roman"/>
          <w:noProof/>
          <w:szCs w:val="24"/>
        </w:rPr>
        <w:t xml:space="preserve">, </w:t>
      </w:r>
      <w:r w:rsidRPr="00AC5C84">
        <w:rPr>
          <w:rFonts w:cs="Times New Roman"/>
          <w:i/>
          <w:iCs/>
          <w:noProof/>
          <w:szCs w:val="24"/>
        </w:rPr>
        <w:t>30</w:t>
      </w:r>
      <w:r w:rsidRPr="00AC5C84">
        <w:rPr>
          <w:rFonts w:cs="Times New Roman"/>
          <w:noProof/>
          <w:szCs w:val="24"/>
        </w:rPr>
        <w:t>, 100519. https://doi.org/10.1016/j.esr.2020.100519</w:t>
      </w:r>
    </w:p>
    <w:p w14:paraId="2B3D28C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Adetokun, B. B., &amp; Muriithi, C. M. (2021). Impact of integrating large-scale DFIG-based wind energy conversion system on the voltage stability of weak national grids: A case study of the Nigerian power grid. </w:t>
      </w:r>
      <w:r w:rsidRPr="00AC5C84">
        <w:rPr>
          <w:rFonts w:cs="Times New Roman"/>
          <w:i/>
          <w:iCs/>
          <w:noProof/>
          <w:szCs w:val="24"/>
        </w:rPr>
        <w:t>Energy Reports</w:t>
      </w:r>
      <w:r w:rsidRPr="00AC5C84">
        <w:rPr>
          <w:rFonts w:cs="Times New Roman"/>
          <w:noProof/>
          <w:szCs w:val="24"/>
        </w:rPr>
        <w:t xml:space="preserve">, </w:t>
      </w:r>
      <w:r w:rsidRPr="00AC5C84">
        <w:rPr>
          <w:rFonts w:cs="Times New Roman"/>
          <w:i/>
          <w:iCs/>
          <w:noProof/>
          <w:szCs w:val="24"/>
        </w:rPr>
        <w:t>7</w:t>
      </w:r>
      <w:r w:rsidRPr="00AC5C84">
        <w:rPr>
          <w:rFonts w:cs="Times New Roman"/>
          <w:noProof/>
          <w:szCs w:val="24"/>
        </w:rPr>
        <w:t>(January), 654–666. https://doi.org/10.1016/j.egyr.2021.01.025</w:t>
      </w:r>
    </w:p>
    <w:p w14:paraId="64529A5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Adetokun, B. B., Muriithi, C. M., &amp; Ojo, J. O. (2020). Voltage Stability Analysis and Improvement of Power System with Increased SCIG-based Wind System Integration. </w:t>
      </w:r>
      <w:r w:rsidRPr="00AC5C84">
        <w:rPr>
          <w:rFonts w:cs="Times New Roman"/>
          <w:i/>
          <w:iCs/>
          <w:noProof/>
          <w:szCs w:val="24"/>
        </w:rPr>
        <w:t>2020 IEEE PES/IAS PowerAfrica, PowerAfrica 2020</w:t>
      </w:r>
      <w:r w:rsidRPr="00AC5C84">
        <w:rPr>
          <w:rFonts w:cs="Times New Roman"/>
          <w:noProof/>
          <w:szCs w:val="24"/>
        </w:rPr>
        <w:t>. https://doi.org/10.1109/PowerAfrica49420.2020.9219803</w:t>
      </w:r>
    </w:p>
    <w:p w14:paraId="4FF79D9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Adewuyi, A. (2020). Challenges and prospects of renewable energy in Nigeria: A case of bioethanol and biodiesel production. </w:t>
      </w:r>
      <w:r w:rsidRPr="00AC5C84">
        <w:rPr>
          <w:rFonts w:cs="Times New Roman"/>
          <w:i/>
          <w:iCs/>
          <w:noProof/>
          <w:szCs w:val="24"/>
        </w:rPr>
        <w:t>Energy Reports</w:t>
      </w:r>
      <w:r w:rsidRPr="00AC5C84">
        <w:rPr>
          <w:rFonts w:cs="Times New Roman"/>
          <w:noProof/>
          <w:szCs w:val="24"/>
        </w:rPr>
        <w:t xml:space="preserve">, </w:t>
      </w:r>
      <w:r w:rsidRPr="00AC5C84">
        <w:rPr>
          <w:rFonts w:cs="Times New Roman"/>
          <w:i/>
          <w:iCs/>
          <w:noProof/>
          <w:szCs w:val="24"/>
        </w:rPr>
        <w:t>6</w:t>
      </w:r>
      <w:r w:rsidRPr="00AC5C84">
        <w:rPr>
          <w:rFonts w:cs="Times New Roman"/>
          <w:noProof/>
          <w:szCs w:val="24"/>
        </w:rPr>
        <w:t>, 77–88. https://doi.org/10.1016/J.EGYR.2019.12.002</w:t>
      </w:r>
    </w:p>
    <w:p w14:paraId="6966C86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Aganah, K., Chukwuma, J., &amp; Ndoye, M. (2019). A Review of Off-Grid Plug-and-Play Solar Power Systems: Toward a New" I Better Pass My Neighbour" Generator. </w:t>
      </w:r>
      <w:r w:rsidRPr="00AC5C84">
        <w:rPr>
          <w:rFonts w:cs="Times New Roman"/>
          <w:i/>
          <w:iCs/>
          <w:noProof/>
          <w:szCs w:val="24"/>
        </w:rPr>
        <w:t>2019 IEEE PES/IAS PowerAfrica</w:t>
      </w:r>
      <w:r w:rsidRPr="00AC5C84">
        <w:rPr>
          <w:rFonts w:cs="Times New Roman"/>
          <w:noProof/>
          <w:szCs w:val="24"/>
        </w:rPr>
        <w:t>, 182–186.</w:t>
      </w:r>
    </w:p>
    <w:p w14:paraId="272424D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Ahanbakhsh, H. J., &amp; Iahkalroudi, M. L. S. (2016). </w:t>
      </w:r>
      <w:r w:rsidRPr="00AC5C84">
        <w:rPr>
          <w:rFonts w:cs="Times New Roman"/>
          <w:i/>
          <w:iCs/>
          <w:noProof/>
          <w:szCs w:val="24"/>
        </w:rPr>
        <w:t>A Comparative Study on Energy Management Approaches in Theories and Patterns of Contemporary Urbanism 3 . Selected Urban Development Theories in Energy Management</w:t>
      </w:r>
      <w:r w:rsidRPr="00AC5C84">
        <w:rPr>
          <w:rFonts w:cs="Times New Roman"/>
          <w:noProof/>
          <w:szCs w:val="24"/>
        </w:rPr>
        <w:t>. 1049–1062.</w:t>
      </w:r>
    </w:p>
    <w:p w14:paraId="30A60FC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Ahmad, T., Chen, H., Guo, Y., &amp; Wang, J. (2018). A comprehensive overview on the data driven and large scale based approaches for forecasting of building energy demand: A review. </w:t>
      </w:r>
      <w:r w:rsidRPr="00AC5C84">
        <w:rPr>
          <w:rFonts w:cs="Times New Roman"/>
          <w:i/>
          <w:iCs/>
          <w:noProof/>
          <w:szCs w:val="24"/>
        </w:rPr>
        <w:t>Energy and Buildings</w:t>
      </w:r>
      <w:r w:rsidRPr="00AC5C84">
        <w:rPr>
          <w:rFonts w:cs="Times New Roman"/>
          <w:noProof/>
          <w:szCs w:val="24"/>
        </w:rPr>
        <w:t xml:space="preserve">, </w:t>
      </w:r>
      <w:r w:rsidRPr="00AC5C84">
        <w:rPr>
          <w:rFonts w:cs="Times New Roman"/>
          <w:i/>
          <w:iCs/>
          <w:noProof/>
          <w:szCs w:val="24"/>
        </w:rPr>
        <w:t>165</w:t>
      </w:r>
      <w:r w:rsidRPr="00AC5C84">
        <w:rPr>
          <w:rFonts w:cs="Times New Roman"/>
          <w:noProof/>
          <w:szCs w:val="24"/>
        </w:rPr>
        <w:t>, 301–320. https://doi.org/10.1016/J.ENBUILD.2018.01.017</w:t>
      </w:r>
    </w:p>
    <w:p w14:paraId="6DB7ACD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Ahmad, T., Manzoor, S., &amp; Zhang, D. (2021). Forecasting high penetration of solar and wind power in the smart grid environment using robust ensemble learning approach for large-dimensional data. </w:t>
      </w:r>
      <w:r w:rsidRPr="00AC5C84">
        <w:rPr>
          <w:rFonts w:cs="Times New Roman"/>
          <w:i/>
          <w:iCs/>
          <w:noProof/>
          <w:szCs w:val="24"/>
        </w:rPr>
        <w:t>Sustainable Cities and Society</w:t>
      </w:r>
      <w:r w:rsidRPr="00AC5C84">
        <w:rPr>
          <w:rFonts w:cs="Times New Roman"/>
          <w:noProof/>
          <w:szCs w:val="24"/>
        </w:rPr>
        <w:t xml:space="preserve">, </w:t>
      </w:r>
      <w:r w:rsidRPr="00AC5C84">
        <w:rPr>
          <w:rFonts w:cs="Times New Roman"/>
          <w:i/>
          <w:iCs/>
          <w:noProof/>
          <w:szCs w:val="24"/>
        </w:rPr>
        <w:t>75</w:t>
      </w:r>
      <w:r w:rsidRPr="00AC5C84">
        <w:rPr>
          <w:rFonts w:cs="Times New Roman"/>
          <w:noProof/>
          <w:szCs w:val="24"/>
        </w:rPr>
        <w:t>, 103269. https://doi.org/10.1016/J.SCS.2021.103269</w:t>
      </w:r>
    </w:p>
    <w:p w14:paraId="3A6F923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Aien, M., Hajebrahimi, A., &amp; Fellow, M. F. (2016). A comprehensive review on uncertainty modeling techniques in power system studies.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57</w:t>
      </w:r>
      <w:r w:rsidRPr="00AC5C84">
        <w:rPr>
          <w:rFonts w:cs="Times New Roman"/>
          <w:noProof/>
          <w:szCs w:val="24"/>
        </w:rPr>
        <w:t>, 1077–1089. https://doi.org/10.1016/j.rser.2015.12.070</w:t>
      </w:r>
    </w:p>
    <w:p w14:paraId="654A4D6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Akbari, M., Neamatollahi, E., &amp; Neamatollahi, P. (2019). Evaluating land suitability for spatial planning in arid regions of eastern Iran using fuzzy logic and multi-criteria analysis. </w:t>
      </w:r>
      <w:r w:rsidRPr="00AC5C84">
        <w:rPr>
          <w:rFonts w:cs="Times New Roman"/>
          <w:i/>
          <w:iCs/>
          <w:noProof/>
          <w:szCs w:val="24"/>
        </w:rPr>
        <w:t>Ecological Indicators</w:t>
      </w:r>
      <w:r w:rsidRPr="00AC5C84">
        <w:rPr>
          <w:rFonts w:cs="Times New Roman"/>
          <w:noProof/>
          <w:szCs w:val="24"/>
        </w:rPr>
        <w:t xml:space="preserve">, </w:t>
      </w:r>
      <w:r w:rsidRPr="00AC5C84">
        <w:rPr>
          <w:rFonts w:cs="Times New Roman"/>
          <w:i/>
          <w:iCs/>
          <w:noProof/>
          <w:szCs w:val="24"/>
        </w:rPr>
        <w:t>98</w:t>
      </w:r>
      <w:r w:rsidRPr="00AC5C84">
        <w:rPr>
          <w:rFonts w:cs="Times New Roman"/>
          <w:noProof/>
          <w:szCs w:val="24"/>
        </w:rPr>
        <w:t>, 587–598. https://doi.org/10.1016/j.ecolind.2018.11.035</w:t>
      </w:r>
    </w:p>
    <w:p w14:paraId="6E8781E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Akhator, P. E., Obanor, A. I., &amp; Sadjere, E. G. (2019). Electricity situation and potential development in Nigeria using off-grid green energy solutions. </w:t>
      </w:r>
      <w:r w:rsidRPr="00AC5C84">
        <w:rPr>
          <w:rFonts w:cs="Times New Roman"/>
          <w:i/>
          <w:iCs/>
          <w:noProof/>
          <w:szCs w:val="24"/>
        </w:rPr>
        <w:t>Journal of Applied Sciences and Environmental Management</w:t>
      </w:r>
      <w:r w:rsidRPr="00AC5C84">
        <w:rPr>
          <w:rFonts w:cs="Times New Roman"/>
          <w:noProof/>
          <w:szCs w:val="24"/>
        </w:rPr>
        <w:t xml:space="preserve">, </w:t>
      </w:r>
      <w:r w:rsidRPr="00AC5C84">
        <w:rPr>
          <w:rFonts w:cs="Times New Roman"/>
          <w:i/>
          <w:iCs/>
          <w:noProof/>
          <w:szCs w:val="24"/>
        </w:rPr>
        <w:t>23</w:t>
      </w:r>
      <w:r w:rsidRPr="00AC5C84">
        <w:rPr>
          <w:rFonts w:cs="Times New Roman"/>
          <w:noProof/>
          <w:szCs w:val="24"/>
        </w:rPr>
        <w:t>(3), 527–537. https://doi.org/10.4314/jasem.v23i3.24</w:t>
      </w:r>
    </w:p>
    <w:p w14:paraId="5F8FDBA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Akinyele, D., Olabode, E., &amp; Amole, A. (2020). Review of Fuel Cell Technologies and Applications for Sustainable Microgrid Systems. </w:t>
      </w:r>
      <w:r w:rsidRPr="00AC5C84">
        <w:rPr>
          <w:rFonts w:cs="Times New Roman"/>
          <w:i/>
          <w:iCs/>
          <w:noProof/>
          <w:szCs w:val="24"/>
        </w:rPr>
        <w:t>Inventions</w:t>
      </w:r>
      <w:r w:rsidRPr="00AC5C84">
        <w:rPr>
          <w:rFonts w:cs="Times New Roman"/>
          <w:noProof/>
          <w:szCs w:val="24"/>
        </w:rPr>
        <w:t xml:space="preserve">, </w:t>
      </w:r>
      <w:r w:rsidRPr="00AC5C84">
        <w:rPr>
          <w:rFonts w:cs="Times New Roman"/>
          <w:i/>
          <w:iCs/>
          <w:noProof/>
          <w:szCs w:val="24"/>
        </w:rPr>
        <w:t>5</w:t>
      </w:r>
      <w:r w:rsidRPr="00AC5C84">
        <w:rPr>
          <w:rFonts w:cs="Times New Roman"/>
          <w:noProof/>
          <w:szCs w:val="24"/>
        </w:rPr>
        <w:t>(3), 1–35. https://doi.org/10.3390/inventions5030042</w:t>
      </w:r>
    </w:p>
    <w:p w14:paraId="2CE97F7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Akorede, M., Ibrahim, O., Amuda, S., Otuoze, A., &amp; Olufeagba, B. (2016). Current Status and Outlook of Renewable Energy Development in Nigeria. </w:t>
      </w:r>
      <w:r w:rsidRPr="00AC5C84">
        <w:rPr>
          <w:rFonts w:cs="Times New Roman"/>
          <w:i/>
          <w:iCs/>
          <w:noProof/>
          <w:szCs w:val="24"/>
        </w:rPr>
        <w:t>Nigerian Journal of Technology</w:t>
      </w:r>
      <w:r w:rsidRPr="00AC5C84">
        <w:rPr>
          <w:rFonts w:cs="Times New Roman"/>
          <w:noProof/>
          <w:szCs w:val="24"/>
        </w:rPr>
        <w:t xml:space="preserve">, </w:t>
      </w:r>
      <w:r w:rsidRPr="00AC5C84">
        <w:rPr>
          <w:rFonts w:cs="Times New Roman"/>
          <w:i/>
          <w:iCs/>
          <w:noProof/>
          <w:szCs w:val="24"/>
        </w:rPr>
        <w:t>36</w:t>
      </w:r>
      <w:r w:rsidRPr="00AC5C84">
        <w:rPr>
          <w:rFonts w:cs="Times New Roman"/>
          <w:noProof/>
          <w:szCs w:val="24"/>
        </w:rPr>
        <w:t>(1), 196–212. https://doi.org/10.4314/njt.v36i1.25</w:t>
      </w:r>
    </w:p>
    <w:p w14:paraId="14CABE4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Akuru, U. B., Okoro, O. I., &amp; Chikuni, E. (2013). Impact of renewable energy deployment on climate change in Nigeria. </w:t>
      </w:r>
      <w:r w:rsidRPr="00AC5C84">
        <w:rPr>
          <w:rFonts w:cs="Times New Roman"/>
          <w:i/>
          <w:iCs/>
          <w:noProof/>
          <w:szCs w:val="24"/>
        </w:rPr>
        <w:t>IEEE AFRICON Conference</w:t>
      </w:r>
      <w:r w:rsidRPr="00AC5C84">
        <w:rPr>
          <w:rFonts w:cs="Times New Roman"/>
          <w:noProof/>
          <w:szCs w:val="24"/>
        </w:rPr>
        <w:t xml:space="preserve">, </w:t>
      </w:r>
      <w:r w:rsidRPr="00AC5C84">
        <w:rPr>
          <w:rFonts w:cs="Times New Roman"/>
          <w:i/>
          <w:iCs/>
          <w:noProof/>
          <w:szCs w:val="24"/>
        </w:rPr>
        <w:t>26</w:t>
      </w:r>
      <w:r w:rsidRPr="00AC5C84">
        <w:rPr>
          <w:rFonts w:cs="Times New Roman"/>
          <w:noProof/>
          <w:szCs w:val="24"/>
        </w:rPr>
        <w:t>(3), 125–134. https://doi.org/10.1109/AFRCON.2013.6757649</w:t>
      </w:r>
    </w:p>
    <w:p w14:paraId="40F1CA4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Al-Mhairat, B., &amp; Al-Quraan, A. (2022). Assessment of Wind Energy Resources in Jordan Using Different Optimization Techniques. </w:t>
      </w:r>
      <w:r w:rsidRPr="00AC5C84">
        <w:rPr>
          <w:rFonts w:cs="Times New Roman"/>
          <w:i/>
          <w:iCs/>
          <w:noProof/>
          <w:szCs w:val="24"/>
        </w:rPr>
        <w:t>Processes</w:t>
      </w:r>
      <w:r w:rsidRPr="00AC5C84">
        <w:rPr>
          <w:rFonts w:cs="Times New Roman"/>
          <w:noProof/>
          <w:szCs w:val="24"/>
        </w:rPr>
        <w:t xml:space="preserve">, </w:t>
      </w:r>
      <w:r w:rsidRPr="00AC5C84">
        <w:rPr>
          <w:rFonts w:cs="Times New Roman"/>
          <w:i/>
          <w:iCs/>
          <w:noProof/>
          <w:szCs w:val="24"/>
        </w:rPr>
        <w:t>10</w:t>
      </w:r>
      <w:r w:rsidRPr="00AC5C84">
        <w:rPr>
          <w:rFonts w:cs="Times New Roman"/>
          <w:noProof/>
          <w:szCs w:val="24"/>
        </w:rPr>
        <w:t>(1), 105. https://doi.org/10.3390/PR10010105</w:t>
      </w:r>
    </w:p>
    <w:p w14:paraId="16E92F7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Aliyu, A. K., Modu, B., &amp; Tan, C. W. (2018). A review of renewable energy development in Africa: A focus in South Africa, Egypt and Nigeria.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81</w:t>
      </w:r>
      <w:r w:rsidRPr="00AC5C84">
        <w:rPr>
          <w:rFonts w:cs="Times New Roman"/>
          <w:noProof/>
          <w:szCs w:val="24"/>
        </w:rPr>
        <w:t>(February 2016), 2502–2518. https://doi.org/10.1016/j.rser.2017.06.055</w:t>
      </w:r>
    </w:p>
    <w:p w14:paraId="0ACF2B9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Aliyu, A. S., Dada, J. O., &amp; Adam, I. K. (2015). Current status and future prospects of renewable energy in Nigeria.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48</w:t>
      </w:r>
      <w:r w:rsidRPr="00AC5C84">
        <w:rPr>
          <w:rFonts w:cs="Times New Roman"/>
          <w:noProof/>
          <w:szCs w:val="24"/>
        </w:rPr>
        <w:t>, 336–346. https://doi.org/10.1016/j.rser.2015.03.098</w:t>
      </w:r>
    </w:p>
    <w:p w14:paraId="48C7481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Almaiah, M. A. (2018). Acceptance and usage of a mobile information system services in University of Jordan. </w:t>
      </w:r>
      <w:r w:rsidRPr="00AC5C84">
        <w:rPr>
          <w:rFonts w:cs="Times New Roman"/>
          <w:i/>
          <w:iCs/>
          <w:noProof/>
          <w:szCs w:val="24"/>
        </w:rPr>
        <w:t>Education and Information Technologies</w:t>
      </w:r>
      <w:r w:rsidRPr="00AC5C84">
        <w:rPr>
          <w:rFonts w:cs="Times New Roman"/>
          <w:noProof/>
          <w:szCs w:val="24"/>
        </w:rPr>
        <w:t xml:space="preserve">, </w:t>
      </w:r>
      <w:r w:rsidRPr="00AC5C84">
        <w:rPr>
          <w:rFonts w:cs="Times New Roman"/>
          <w:i/>
          <w:iCs/>
          <w:noProof/>
          <w:szCs w:val="24"/>
        </w:rPr>
        <w:t>23</w:t>
      </w:r>
      <w:r w:rsidRPr="00AC5C84">
        <w:rPr>
          <w:rFonts w:cs="Times New Roman"/>
          <w:noProof/>
          <w:szCs w:val="24"/>
        </w:rPr>
        <w:t>(5), 1873–1895. https://doi.org/10.1007/S10639-018-9694-6</w:t>
      </w:r>
    </w:p>
    <w:p w14:paraId="20269D1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Almaiah, M. A., Alamri, M. M., &amp; Al-Rahmi, W. (2019). Applying the UTAUT Model to Explain the Students’ Acceptance of Mobile Learning System in Higher Education. </w:t>
      </w:r>
      <w:r w:rsidRPr="00AC5C84">
        <w:rPr>
          <w:rFonts w:cs="Times New Roman"/>
          <w:i/>
          <w:iCs/>
          <w:noProof/>
          <w:szCs w:val="24"/>
        </w:rPr>
        <w:t>IEEE Access</w:t>
      </w:r>
      <w:r w:rsidRPr="00AC5C84">
        <w:rPr>
          <w:rFonts w:cs="Times New Roman"/>
          <w:noProof/>
          <w:szCs w:val="24"/>
        </w:rPr>
        <w:t xml:space="preserve">, </w:t>
      </w:r>
      <w:r w:rsidRPr="00AC5C84">
        <w:rPr>
          <w:rFonts w:cs="Times New Roman"/>
          <w:i/>
          <w:iCs/>
          <w:noProof/>
          <w:szCs w:val="24"/>
        </w:rPr>
        <w:t>7</w:t>
      </w:r>
      <w:r w:rsidRPr="00AC5C84">
        <w:rPr>
          <w:rFonts w:cs="Times New Roman"/>
          <w:noProof/>
          <w:szCs w:val="24"/>
        </w:rPr>
        <w:t>, 174673–174686. https://doi.org/10.1109/ACCESS.2019.2957206</w:t>
      </w:r>
    </w:p>
    <w:p w14:paraId="0464337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Almeshqab, F., &amp; Ustun, T. S. (2019). Lessons learned from rural electrification initiatives in developing countries: Insights for technical, social, financial and public policy aspects.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102</w:t>
      </w:r>
      <w:r w:rsidRPr="00AC5C84">
        <w:rPr>
          <w:rFonts w:cs="Times New Roman"/>
          <w:noProof/>
          <w:szCs w:val="24"/>
        </w:rPr>
        <w:t>(November 2018), 35–53. https://doi.org/10.1016/j.rser.2018.11.035</w:t>
      </w:r>
    </w:p>
    <w:p w14:paraId="131684F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Amasyali, K., &amp; El-Gohary, N. M. (2018). A review of data-driven building energy consumption prediction studies.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81</w:t>
      </w:r>
      <w:r w:rsidRPr="00AC5C84">
        <w:rPr>
          <w:rFonts w:cs="Times New Roman"/>
          <w:noProof/>
          <w:szCs w:val="24"/>
        </w:rPr>
        <w:t>, 1192–1205. https://doi.org/10.1016/J.RSER.2017.04.095</w:t>
      </w:r>
    </w:p>
    <w:p w14:paraId="61F6D3E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Anderson, A. D., Renner, N. J., Wang, Y., Agrawal, S., Sirimanna, S., Lee, D., Banerjee, A., Haran, K., Starr, M. J., &amp; Felder, J. L. (2018). System Weight Comparison of Electric Machine Topologies for Electric Aircraft Propulsion. </w:t>
      </w:r>
      <w:r w:rsidRPr="00AC5C84">
        <w:rPr>
          <w:rFonts w:cs="Times New Roman"/>
          <w:i/>
          <w:iCs/>
          <w:noProof/>
          <w:szCs w:val="24"/>
        </w:rPr>
        <w:t>2018 AIAA/IEEE Electric Aircraft Technologies Symposium (EATS)</w:t>
      </w:r>
      <w:r w:rsidRPr="00AC5C84">
        <w:rPr>
          <w:rFonts w:cs="Times New Roman"/>
          <w:noProof/>
          <w:szCs w:val="24"/>
        </w:rPr>
        <w:t>, 1–16.</w:t>
      </w:r>
    </w:p>
    <w:p w14:paraId="552D757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Ardriani, T., Dahono, P. A., Rizqiawan, A., Garnia, E., Sastya, P. D., Arofat, A. H., &amp; Ridwan, M. (2021). A dc microgrid system for powering remote areas. </w:t>
      </w:r>
      <w:r w:rsidRPr="00AC5C84">
        <w:rPr>
          <w:rFonts w:cs="Times New Roman"/>
          <w:i/>
          <w:iCs/>
          <w:noProof/>
          <w:szCs w:val="24"/>
        </w:rPr>
        <w:t>Energies</w:t>
      </w:r>
      <w:r w:rsidRPr="00AC5C84">
        <w:rPr>
          <w:rFonts w:cs="Times New Roman"/>
          <w:noProof/>
          <w:szCs w:val="24"/>
        </w:rPr>
        <w:t xml:space="preserve">, </w:t>
      </w:r>
      <w:r w:rsidRPr="00AC5C84">
        <w:rPr>
          <w:rFonts w:cs="Times New Roman"/>
          <w:i/>
          <w:iCs/>
          <w:noProof/>
          <w:szCs w:val="24"/>
        </w:rPr>
        <w:t>14</w:t>
      </w:r>
      <w:r w:rsidRPr="00AC5C84">
        <w:rPr>
          <w:rFonts w:cs="Times New Roman"/>
          <w:noProof/>
          <w:szCs w:val="24"/>
        </w:rPr>
        <w:t>(2). https://doi.org/10.3390/en14020493</w:t>
      </w:r>
    </w:p>
    <w:p w14:paraId="4C00BA9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Ardriani, T., Sastya, P. D., Husnan Arofat, A., &amp; Dahono, P. A. (2018). A novel power conditioner system for isolated DC microgrid system. </w:t>
      </w:r>
      <w:r w:rsidRPr="00AC5C84">
        <w:rPr>
          <w:rFonts w:cs="Times New Roman"/>
          <w:i/>
          <w:iCs/>
          <w:noProof/>
          <w:szCs w:val="24"/>
        </w:rPr>
        <w:t>4th IEEE Conference on Power Engineering and Renewable Energy, ICPERE 2018 - Proceedings</w:t>
      </w:r>
      <w:r w:rsidRPr="00AC5C84">
        <w:rPr>
          <w:rFonts w:cs="Times New Roman"/>
          <w:noProof/>
          <w:szCs w:val="24"/>
        </w:rPr>
        <w:t>, 1–5. https://doi.org/10.1109/ICPERE.2018.8739686</w:t>
      </w:r>
    </w:p>
    <w:p w14:paraId="5303E51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Ates, Y., Boynuegri, A. R., Uzunoglu, M., Nadar, A., Yumurtacı, R., Erdinc, O., Paterakis, N. G., &amp; Catalão, J. P. S. (2016). Adaptive protection scheme for a distribution system considering grid-connected and islanded modes of operation. </w:t>
      </w:r>
      <w:r w:rsidRPr="00AC5C84">
        <w:rPr>
          <w:rFonts w:cs="Times New Roman"/>
          <w:i/>
          <w:iCs/>
          <w:noProof/>
          <w:szCs w:val="24"/>
        </w:rPr>
        <w:t>Energies</w:t>
      </w:r>
      <w:r w:rsidRPr="00AC5C84">
        <w:rPr>
          <w:rFonts w:cs="Times New Roman"/>
          <w:noProof/>
          <w:szCs w:val="24"/>
        </w:rPr>
        <w:t xml:space="preserve">, </w:t>
      </w:r>
      <w:r w:rsidRPr="00AC5C84">
        <w:rPr>
          <w:rFonts w:cs="Times New Roman"/>
          <w:i/>
          <w:iCs/>
          <w:noProof/>
          <w:szCs w:val="24"/>
        </w:rPr>
        <w:t>9</w:t>
      </w:r>
      <w:r w:rsidRPr="00AC5C84">
        <w:rPr>
          <w:rFonts w:cs="Times New Roman"/>
          <w:noProof/>
          <w:szCs w:val="24"/>
        </w:rPr>
        <w:t>(5). https://doi.org/10.3390/en9050378</w:t>
      </w:r>
    </w:p>
    <w:p w14:paraId="577864D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Ayalew, A. T. (2021). Assessment of Power Compeers Prospective of Gobecho Micro Hydropower Plant on Ganga River, Genale Dawa River Basin, Ethiopia. </w:t>
      </w:r>
      <w:r w:rsidRPr="00AC5C84">
        <w:rPr>
          <w:rFonts w:cs="Times New Roman"/>
          <w:i/>
          <w:iCs/>
          <w:noProof/>
          <w:szCs w:val="24"/>
        </w:rPr>
        <w:t>American Journal of Electrical Power and Energy Systems</w:t>
      </w:r>
      <w:r w:rsidRPr="00AC5C84">
        <w:rPr>
          <w:rFonts w:cs="Times New Roman"/>
          <w:noProof/>
          <w:szCs w:val="24"/>
        </w:rPr>
        <w:t xml:space="preserve">, </w:t>
      </w:r>
      <w:r w:rsidRPr="00AC5C84">
        <w:rPr>
          <w:rFonts w:cs="Times New Roman"/>
          <w:i/>
          <w:iCs/>
          <w:noProof/>
          <w:szCs w:val="24"/>
        </w:rPr>
        <w:t>10</w:t>
      </w:r>
      <w:r w:rsidRPr="00AC5C84">
        <w:rPr>
          <w:rFonts w:cs="Times New Roman"/>
          <w:noProof/>
          <w:szCs w:val="24"/>
        </w:rPr>
        <w:t>(2), 25. https://doi.org/10.11648/j.epes.20211002.12</w:t>
      </w:r>
    </w:p>
    <w:p w14:paraId="40C182D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Aziz, T., &amp; Ketjoy, N. (2017). PV Penetration Limits in Low Voltage Networks and Voltage Variations. </w:t>
      </w:r>
      <w:r w:rsidRPr="00AC5C84">
        <w:rPr>
          <w:rFonts w:cs="Times New Roman"/>
          <w:i/>
          <w:iCs/>
          <w:noProof/>
          <w:szCs w:val="24"/>
        </w:rPr>
        <w:t>IEEE Access</w:t>
      </w:r>
      <w:r w:rsidRPr="00AC5C84">
        <w:rPr>
          <w:rFonts w:cs="Times New Roman"/>
          <w:noProof/>
          <w:szCs w:val="24"/>
        </w:rPr>
        <w:t xml:space="preserve">, </w:t>
      </w:r>
      <w:r w:rsidRPr="00AC5C84">
        <w:rPr>
          <w:rFonts w:cs="Times New Roman"/>
          <w:i/>
          <w:iCs/>
          <w:noProof/>
          <w:szCs w:val="24"/>
        </w:rPr>
        <w:t>5</w:t>
      </w:r>
      <w:r w:rsidRPr="00AC5C84">
        <w:rPr>
          <w:rFonts w:cs="Times New Roman"/>
          <w:noProof/>
          <w:szCs w:val="24"/>
        </w:rPr>
        <w:t>, 16784–16792. https://doi.org/10.1109/ACCESS.2017.2747086</w:t>
      </w:r>
    </w:p>
    <w:p w14:paraId="5AC654A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Badal, F. R., Das, P., Sarker, S. K., &amp; Das, S. K. (2019). A survey on control issues in renewable energy integration and microgrid. </w:t>
      </w:r>
      <w:r w:rsidRPr="00AC5C84">
        <w:rPr>
          <w:rFonts w:cs="Times New Roman"/>
          <w:i/>
          <w:iCs/>
          <w:noProof/>
          <w:szCs w:val="24"/>
        </w:rPr>
        <w:t>Protection and Control of Modern Power Systems</w:t>
      </w:r>
      <w:r w:rsidRPr="00AC5C84">
        <w:rPr>
          <w:rFonts w:cs="Times New Roman"/>
          <w:noProof/>
          <w:szCs w:val="24"/>
        </w:rPr>
        <w:t xml:space="preserve">, </w:t>
      </w:r>
      <w:r w:rsidRPr="00AC5C84">
        <w:rPr>
          <w:rFonts w:cs="Times New Roman"/>
          <w:i/>
          <w:iCs/>
          <w:noProof/>
          <w:szCs w:val="24"/>
        </w:rPr>
        <w:t>4</w:t>
      </w:r>
      <w:r w:rsidRPr="00AC5C84">
        <w:rPr>
          <w:rFonts w:cs="Times New Roman"/>
          <w:noProof/>
          <w:szCs w:val="24"/>
        </w:rPr>
        <w:t>(1). https://doi.org/10.1186/s41601-019-0122-8</w:t>
      </w:r>
    </w:p>
    <w:p w14:paraId="05AAEBA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Baghbanzadeh, D., Salehi, J., Gazijahani, F. S., Shafie-khah, M., &amp; Catalão, J. P. S. (2021). Resilience improvement of multi-microgrid distribution networks using distributed generation. </w:t>
      </w:r>
      <w:r w:rsidRPr="00AC5C84">
        <w:rPr>
          <w:rFonts w:cs="Times New Roman"/>
          <w:i/>
          <w:iCs/>
          <w:noProof/>
          <w:szCs w:val="24"/>
        </w:rPr>
        <w:t>Sustainable Energy, Grids and Networks</w:t>
      </w:r>
      <w:r w:rsidRPr="00AC5C84">
        <w:rPr>
          <w:rFonts w:cs="Times New Roman"/>
          <w:noProof/>
          <w:szCs w:val="24"/>
        </w:rPr>
        <w:t xml:space="preserve">, </w:t>
      </w:r>
      <w:r w:rsidRPr="00AC5C84">
        <w:rPr>
          <w:rFonts w:cs="Times New Roman"/>
          <w:i/>
          <w:iCs/>
          <w:noProof/>
          <w:szCs w:val="24"/>
        </w:rPr>
        <w:t>27</w:t>
      </w:r>
      <w:r w:rsidRPr="00AC5C84">
        <w:rPr>
          <w:rFonts w:cs="Times New Roman"/>
          <w:noProof/>
          <w:szCs w:val="24"/>
        </w:rPr>
        <w:t>, 100503. https://doi.org/10.1016/j.segan.2021.100503</w:t>
      </w:r>
    </w:p>
    <w:p w14:paraId="0920379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Bajaj, M., &amp; Singh, A. K. (2020). Grid integrated renewable DG systems: A review of power quality challenges and state-of-the-art mitigation techniques. </w:t>
      </w:r>
      <w:r w:rsidRPr="00AC5C84">
        <w:rPr>
          <w:rFonts w:cs="Times New Roman"/>
          <w:i/>
          <w:iCs/>
          <w:noProof/>
          <w:szCs w:val="24"/>
        </w:rPr>
        <w:t>International Journal of Energy Research</w:t>
      </w:r>
      <w:r w:rsidRPr="00AC5C84">
        <w:rPr>
          <w:rFonts w:cs="Times New Roman"/>
          <w:noProof/>
          <w:szCs w:val="24"/>
        </w:rPr>
        <w:t xml:space="preserve">, </w:t>
      </w:r>
      <w:r w:rsidRPr="00AC5C84">
        <w:rPr>
          <w:rFonts w:cs="Times New Roman"/>
          <w:i/>
          <w:iCs/>
          <w:noProof/>
          <w:szCs w:val="24"/>
        </w:rPr>
        <w:t>44</w:t>
      </w:r>
      <w:r w:rsidRPr="00AC5C84">
        <w:rPr>
          <w:rFonts w:cs="Times New Roman"/>
          <w:noProof/>
          <w:szCs w:val="24"/>
        </w:rPr>
        <w:t>(1), 26–69. https://doi.org/10.1002/er.4847</w:t>
      </w:r>
    </w:p>
    <w:p w14:paraId="3401A3B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Bansal, R. (2017). Handbook of Distributed Generation. In </w:t>
      </w:r>
      <w:r w:rsidRPr="00AC5C84">
        <w:rPr>
          <w:rFonts w:cs="Times New Roman"/>
          <w:i/>
          <w:iCs/>
          <w:noProof/>
          <w:szCs w:val="24"/>
        </w:rPr>
        <w:t>Handbook of Distributed Generation</w:t>
      </w:r>
      <w:r w:rsidRPr="00AC5C84">
        <w:rPr>
          <w:rFonts w:cs="Times New Roman"/>
          <w:noProof/>
          <w:szCs w:val="24"/>
        </w:rPr>
        <w:t>. https://doi.org/10.1007/978-3-319-51343-0</w:t>
      </w:r>
    </w:p>
    <w:p w14:paraId="3DF1EFE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Basit, M. A., Dilshad, S., Badar, R., &amp; Sami ur Rehman, S. M. (2020). Limitations, challenges, and solution approaches in grid-connected renewable energy systems. </w:t>
      </w:r>
      <w:r w:rsidRPr="00AC5C84">
        <w:rPr>
          <w:rFonts w:cs="Times New Roman"/>
          <w:i/>
          <w:iCs/>
          <w:noProof/>
          <w:szCs w:val="24"/>
        </w:rPr>
        <w:t>International Journal of Energy Research</w:t>
      </w:r>
      <w:r w:rsidRPr="00AC5C84">
        <w:rPr>
          <w:rFonts w:cs="Times New Roman"/>
          <w:noProof/>
          <w:szCs w:val="24"/>
        </w:rPr>
        <w:t xml:space="preserve">, </w:t>
      </w:r>
      <w:r w:rsidRPr="00AC5C84">
        <w:rPr>
          <w:rFonts w:cs="Times New Roman"/>
          <w:i/>
          <w:iCs/>
          <w:noProof/>
          <w:szCs w:val="24"/>
        </w:rPr>
        <w:t>44</w:t>
      </w:r>
      <w:r w:rsidRPr="00AC5C84">
        <w:rPr>
          <w:rFonts w:cs="Times New Roman"/>
          <w:noProof/>
          <w:szCs w:val="24"/>
        </w:rPr>
        <w:t>(6), 4132–4162. https://doi.org/10.1002/er.5033</w:t>
      </w:r>
    </w:p>
    <w:p w14:paraId="058E588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Batel, S. (2020). Research on the social acceptance of renewable energy technologies: Past, present and future. </w:t>
      </w:r>
      <w:r w:rsidRPr="00AC5C84">
        <w:rPr>
          <w:rFonts w:cs="Times New Roman"/>
          <w:i/>
          <w:iCs/>
          <w:noProof/>
          <w:szCs w:val="24"/>
        </w:rPr>
        <w:t>Energy Research &amp; Social Science</w:t>
      </w:r>
      <w:r w:rsidRPr="00AC5C84">
        <w:rPr>
          <w:rFonts w:cs="Times New Roman"/>
          <w:noProof/>
          <w:szCs w:val="24"/>
        </w:rPr>
        <w:t xml:space="preserve">, </w:t>
      </w:r>
      <w:r w:rsidRPr="00AC5C84">
        <w:rPr>
          <w:rFonts w:cs="Times New Roman"/>
          <w:i/>
          <w:iCs/>
          <w:noProof/>
          <w:szCs w:val="24"/>
        </w:rPr>
        <w:t>68</w:t>
      </w:r>
      <w:r w:rsidRPr="00AC5C84">
        <w:rPr>
          <w:rFonts w:cs="Times New Roman"/>
          <w:noProof/>
          <w:szCs w:val="24"/>
        </w:rPr>
        <w:t>, 101544. https://doi.org/10.1016/J.ERSS.2020.101544</w:t>
      </w:r>
    </w:p>
    <w:p w14:paraId="40E5F49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Bhatt, D. V., Bhatt, Y. H., &amp; Pakka, V. H. (2018). Loss Sensitivity and Voltage Deviation Index Based Intelligent Technique for Optimal Placement and Operation of Distributed Generators. </w:t>
      </w:r>
      <w:r w:rsidRPr="00AC5C84">
        <w:rPr>
          <w:rFonts w:cs="Times New Roman"/>
          <w:i/>
          <w:iCs/>
          <w:noProof/>
          <w:szCs w:val="24"/>
        </w:rPr>
        <w:t>2018 IEEE 7th International Conference on Power and Energy, PECon 2018</w:t>
      </w:r>
      <w:r w:rsidRPr="00AC5C84">
        <w:rPr>
          <w:rFonts w:cs="Times New Roman"/>
          <w:noProof/>
          <w:szCs w:val="24"/>
        </w:rPr>
        <w:t>, 310–315. https://doi.org/10.1109/PECON.2018.8684177</w:t>
      </w:r>
    </w:p>
    <w:p w14:paraId="50E48F9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Blanco, I. (2019). </w:t>
      </w:r>
      <w:r w:rsidRPr="00AC5C84">
        <w:rPr>
          <w:rFonts w:cs="Times New Roman"/>
          <w:i/>
          <w:iCs/>
          <w:noProof/>
          <w:szCs w:val="24"/>
        </w:rPr>
        <w:t>Decision-making Under Uncertainty for the Operation of Integrated Energy Systems Ignacio Blanco</w:t>
      </w:r>
      <w:r w:rsidRPr="00AC5C84">
        <w:rPr>
          <w:rFonts w:cs="Times New Roman"/>
          <w:noProof/>
          <w:szCs w:val="24"/>
        </w:rPr>
        <w:t>. Technical University of Denmark.</w:t>
      </w:r>
    </w:p>
    <w:p w14:paraId="6B651B5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Bochenek, B., Jurasz, J., Jaczewski, A., Stachura, G., Sekuła, P., Strzyżewski, T., Wdowikowski, M., &amp; Figurski, M. (2021). Day-Ahead Wind Power Forecasting in Poland Based on Numerical Weather Prediction. </w:t>
      </w:r>
      <w:r w:rsidRPr="00AC5C84">
        <w:rPr>
          <w:rFonts w:cs="Times New Roman"/>
          <w:i/>
          <w:iCs/>
          <w:noProof/>
          <w:szCs w:val="24"/>
        </w:rPr>
        <w:t>Energies 2021, Vol. 14, Page 2164</w:t>
      </w:r>
      <w:r w:rsidRPr="00AC5C84">
        <w:rPr>
          <w:rFonts w:cs="Times New Roman"/>
          <w:noProof/>
          <w:szCs w:val="24"/>
        </w:rPr>
        <w:t xml:space="preserve">, </w:t>
      </w:r>
      <w:r w:rsidRPr="00AC5C84">
        <w:rPr>
          <w:rFonts w:cs="Times New Roman"/>
          <w:i/>
          <w:iCs/>
          <w:noProof/>
          <w:szCs w:val="24"/>
        </w:rPr>
        <w:t>14</w:t>
      </w:r>
      <w:r w:rsidRPr="00AC5C84">
        <w:rPr>
          <w:rFonts w:cs="Times New Roman"/>
          <w:noProof/>
          <w:szCs w:val="24"/>
        </w:rPr>
        <w:t>(8), 2164. https://doi.org/10.3390/EN14082164</w:t>
      </w:r>
    </w:p>
    <w:p w14:paraId="20D70578"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Cai, M., Pipattanasomporn, M., &amp; Rahman, S. (2019). Day-ahead building-level load forecasts using deep learning vs. traditional time-series techniques. </w:t>
      </w:r>
      <w:r w:rsidRPr="00AC5C84">
        <w:rPr>
          <w:rFonts w:cs="Times New Roman"/>
          <w:i/>
          <w:iCs/>
          <w:noProof/>
          <w:szCs w:val="24"/>
        </w:rPr>
        <w:t>Applied Energy</w:t>
      </w:r>
      <w:r w:rsidRPr="00AC5C84">
        <w:rPr>
          <w:rFonts w:cs="Times New Roman"/>
          <w:noProof/>
          <w:szCs w:val="24"/>
        </w:rPr>
        <w:t xml:space="preserve">, </w:t>
      </w:r>
      <w:r w:rsidRPr="00AC5C84">
        <w:rPr>
          <w:rFonts w:cs="Times New Roman"/>
          <w:i/>
          <w:iCs/>
          <w:noProof/>
          <w:szCs w:val="24"/>
        </w:rPr>
        <w:t>236</w:t>
      </w:r>
      <w:r w:rsidRPr="00AC5C84">
        <w:rPr>
          <w:rFonts w:cs="Times New Roman"/>
          <w:noProof/>
          <w:szCs w:val="24"/>
        </w:rPr>
        <w:t>, 1078–1088. https://doi.org/10.1016/J.APENERGY.2018.12.042</w:t>
      </w:r>
    </w:p>
    <w:p w14:paraId="73F981D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Carbajo, R., &amp; Cabeza, L. F. (2019). Sustainability and social justice dimension indicators for applied renewable energy research: A responsible approach proposal. </w:t>
      </w:r>
      <w:r w:rsidRPr="00AC5C84">
        <w:rPr>
          <w:rFonts w:cs="Times New Roman"/>
          <w:i/>
          <w:iCs/>
          <w:noProof/>
          <w:szCs w:val="24"/>
        </w:rPr>
        <w:t>Applied Energy</w:t>
      </w:r>
      <w:r w:rsidRPr="00AC5C84">
        <w:rPr>
          <w:rFonts w:cs="Times New Roman"/>
          <w:noProof/>
          <w:szCs w:val="24"/>
        </w:rPr>
        <w:t xml:space="preserve">, </w:t>
      </w:r>
      <w:r w:rsidRPr="00AC5C84">
        <w:rPr>
          <w:rFonts w:cs="Times New Roman"/>
          <w:i/>
          <w:iCs/>
          <w:noProof/>
          <w:szCs w:val="24"/>
        </w:rPr>
        <w:t>252</w:t>
      </w:r>
      <w:r w:rsidRPr="00AC5C84">
        <w:rPr>
          <w:rFonts w:cs="Times New Roman"/>
          <w:noProof/>
          <w:szCs w:val="24"/>
        </w:rPr>
        <w:t>, 113429. https://doi.org/10.1016/J.APENERGY.2019.113429</w:t>
      </w:r>
    </w:p>
    <w:p w14:paraId="45F8011B"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Chettibi, N., Massi Pavan, A., Mellit, A., Forsyth, A. J., &amp; Todd, R. (2021). Real-time prediction of grid voltage and frequency using artificial neural networks: An experimental validation. </w:t>
      </w:r>
      <w:r w:rsidRPr="00AC5C84">
        <w:rPr>
          <w:rFonts w:cs="Times New Roman"/>
          <w:i/>
          <w:iCs/>
          <w:noProof/>
          <w:szCs w:val="24"/>
        </w:rPr>
        <w:t>Sustainable Energy, Grids and Networks</w:t>
      </w:r>
      <w:r w:rsidRPr="00AC5C84">
        <w:rPr>
          <w:rFonts w:cs="Times New Roman"/>
          <w:noProof/>
          <w:szCs w:val="24"/>
        </w:rPr>
        <w:t xml:space="preserve">, </w:t>
      </w:r>
      <w:r w:rsidRPr="00AC5C84">
        <w:rPr>
          <w:rFonts w:cs="Times New Roman"/>
          <w:i/>
          <w:iCs/>
          <w:noProof/>
          <w:szCs w:val="24"/>
        </w:rPr>
        <w:t>27</w:t>
      </w:r>
      <w:r w:rsidRPr="00AC5C84">
        <w:rPr>
          <w:rFonts w:cs="Times New Roman"/>
          <w:noProof/>
          <w:szCs w:val="24"/>
        </w:rPr>
        <w:t>, 100502. https://doi.org/10.1016/j.segan.2021.100502</w:t>
      </w:r>
    </w:p>
    <w:p w14:paraId="564F5288"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Chiodo, E., Fantauzzi, M., &amp; Mazzanti, G. (2022). The Compound Inverse Rayleigh as an Extreme Wind Speed Distribution and Its Bayes Estimation. </w:t>
      </w:r>
      <w:r w:rsidRPr="00AC5C84">
        <w:rPr>
          <w:rFonts w:cs="Times New Roman"/>
          <w:i/>
          <w:iCs/>
          <w:noProof/>
          <w:szCs w:val="24"/>
        </w:rPr>
        <w:t>Energies 2022, Vol. 15, Page 861</w:t>
      </w:r>
      <w:r w:rsidRPr="00AC5C84">
        <w:rPr>
          <w:rFonts w:cs="Times New Roman"/>
          <w:noProof/>
          <w:szCs w:val="24"/>
        </w:rPr>
        <w:t xml:space="preserve">, </w:t>
      </w:r>
      <w:r w:rsidRPr="00AC5C84">
        <w:rPr>
          <w:rFonts w:cs="Times New Roman"/>
          <w:i/>
          <w:iCs/>
          <w:noProof/>
          <w:szCs w:val="24"/>
        </w:rPr>
        <w:t>15</w:t>
      </w:r>
      <w:r w:rsidRPr="00AC5C84">
        <w:rPr>
          <w:rFonts w:cs="Times New Roman"/>
          <w:noProof/>
          <w:szCs w:val="24"/>
        </w:rPr>
        <w:t>(3), 861. https://doi.org/10.3390/EN15030861</w:t>
      </w:r>
    </w:p>
    <w:p w14:paraId="3C1E108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Çolak, M., &amp; Kaya, İ. (2017). Prioritization of renewable energy alternatives by using an integrated fuzzy MCDM model: a real case application for Turkey. </w:t>
      </w:r>
      <w:r w:rsidRPr="00AC5C84">
        <w:rPr>
          <w:rFonts w:cs="Times New Roman"/>
          <w:i/>
          <w:iCs/>
          <w:noProof/>
          <w:szCs w:val="24"/>
        </w:rPr>
        <w:t>Renew Sust Energ Rev</w:t>
      </w:r>
      <w:r w:rsidRPr="00AC5C84">
        <w:rPr>
          <w:rFonts w:cs="Times New Roman"/>
          <w:noProof/>
          <w:szCs w:val="24"/>
        </w:rPr>
        <w:t xml:space="preserve">, </w:t>
      </w:r>
      <w:r w:rsidRPr="00AC5C84">
        <w:rPr>
          <w:rFonts w:cs="Times New Roman"/>
          <w:i/>
          <w:iCs/>
          <w:noProof/>
          <w:szCs w:val="24"/>
        </w:rPr>
        <w:t>80</w:t>
      </w:r>
      <w:r w:rsidRPr="00AC5C84">
        <w:rPr>
          <w:rFonts w:cs="Times New Roman"/>
          <w:noProof/>
          <w:szCs w:val="24"/>
        </w:rPr>
        <w:t>, 840–853. https://doi.org/10.1016/j.rser.2017.05.194</w:t>
      </w:r>
    </w:p>
    <w:p w14:paraId="686E200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Dawood, K. (2020). An overview of renewable energy and challenges of integrating renewable energy in a smart grid system in Turkey. </w:t>
      </w:r>
      <w:r w:rsidRPr="00AC5C84">
        <w:rPr>
          <w:rFonts w:cs="Times New Roman"/>
          <w:i/>
          <w:iCs/>
          <w:noProof/>
          <w:szCs w:val="24"/>
        </w:rPr>
        <w:t>2020 International Conference on Electrical Engineering, ICEE 2020</w:t>
      </w:r>
      <w:r w:rsidRPr="00AC5C84">
        <w:rPr>
          <w:rFonts w:cs="Times New Roman"/>
          <w:noProof/>
          <w:szCs w:val="24"/>
        </w:rPr>
        <w:t>. https://doi.org/10.1109/ICEE49691.2020.9249780</w:t>
      </w:r>
    </w:p>
    <w:p w14:paraId="63CFA3D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De Carne, G., Buticchi, G., Zou, Z., &amp; Liserre, M. (2018). Reverse Power Flow Control in a ST-Fed Distribution Grid. </w:t>
      </w:r>
      <w:r w:rsidRPr="00AC5C84">
        <w:rPr>
          <w:rFonts w:cs="Times New Roman"/>
          <w:i/>
          <w:iCs/>
          <w:noProof/>
          <w:szCs w:val="24"/>
        </w:rPr>
        <w:t>IEEE Transactions on Smart Grid</w:t>
      </w:r>
      <w:r w:rsidRPr="00AC5C84">
        <w:rPr>
          <w:rFonts w:cs="Times New Roman"/>
          <w:noProof/>
          <w:szCs w:val="24"/>
        </w:rPr>
        <w:t xml:space="preserve">, </w:t>
      </w:r>
      <w:r w:rsidRPr="00AC5C84">
        <w:rPr>
          <w:rFonts w:cs="Times New Roman"/>
          <w:i/>
          <w:iCs/>
          <w:noProof/>
          <w:szCs w:val="24"/>
        </w:rPr>
        <w:t>9</w:t>
      </w:r>
      <w:r w:rsidRPr="00AC5C84">
        <w:rPr>
          <w:rFonts w:cs="Times New Roman"/>
          <w:noProof/>
          <w:szCs w:val="24"/>
        </w:rPr>
        <w:t>(4), 3811–3819. https://doi.org/10.1109/TSG.2017.2651147</w:t>
      </w:r>
    </w:p>
    <w:p w14:paraId="2FCCDC7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De Souza, A. C. Z., &amp; Castilla, M. (2019). Microgrids Design and Implementation. In </w:t>
      </w:r>
      <w:r w:rsidRPr="00AC5C84">
        <w:rPr>
          <w:rFonts w:cs="Times New Roman"/>
          <w:i/>
          <w:iCs/>
          <w:noProof/>
          <w:szCs w:val="24"/>
        </w:rPr>
        <w:t>Microgrids Design and Implementation</w:t>
      </w:r>
      <w:r w:rsidRPr="00AC5C84">
        <w:rPr>
          <w:rFonts w:cs="Times New Roman"/>
          <w:noProof/>
          <w:szCs w:val="24"/>
        </w:rPr>
        <w:t>. https://doi.org/10.1007/978-3-319-98687-6_4</w:t>
      </w:r>
    </w:p>
    <w:p w14:paraId="6131F8D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Denholm, P., Mai, T., Kenyon, R. W., Kroposki, B., &amp; Malley, M. O. (2020). Inertia and the Power Grid : A Guide Without the Spin. </w:t>
      </w:r>
      <w:r w:rsidRPr="00AC5C84">
        <w:rPr>
          <w:rFonts w:cs="Times New Roman"/>
          <w:i/>
          <w:iCs/>
          <w:noProof/>
          <w:szCs w:val="24"/>
        </w:rPr>
        <w:t>National Renewable Energy Laboratory</w:t>
      </w:r>
      <w:r w:rsidRPr="00AC5C84">
        <w:rPr>
          <w:rFonts w:cs="Times New Roman"/>
          <w:noProof/>
          <w:szCs w:val="24"/>
        </w:rPr>
        <w:t xml:space="preserve">, </w:t>
      </w:r>
      <w:r w:rsidRPr="00AC5C84">
        <w:rPr>
          <w:rFonts w:cs="Times New Roman"/>
          <w:i/>
          <w:iCs/>
          <w:noProof/>
          <w:szCs w:val="24"/>
        </w:rPr>
        <w:t>May</w:t>
      </w:r>
      <w:r w:rsidRPr="00AC5C84">
        <w:rPr>
          <w:rFonts w:cs="Times New Roman"/>
          <w:noProof/>
          <w:szCs w:val="24"/>
        </w:rPr>
        <w:t>, 48. https://www.nrel.gov/docs/fy20osti/73856.pdf</w:t>
      </w:r>
    </w:p>
    <w:p w14:paraId="55248B3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Du, W., Bi, J., Wang, T., Wang, H., &amp; Member, S. (2015). </w:t>
      </w:r>
      <w:r w:rsidRPr="00AC5C84">
        <w:rPr>
          <w:rFonts w:cs="Times New Roman"/>
          <w:i/>
          <w:iCs/>
          <w:noProof/>
          <w:szCs w:val="24"/>
        </w:rPr>
        <w:t>Impact of Grid Connection of Large-Scale Wind Farms on Power System Small-Signal Angular Stability</w:t>
      </w:r>
      <w:r w:rsidRPr="00AC5C84">
        <w:rPr>
          <w:rFonts w:cs="Times New Roman"/>
          <w:noProof/>
          <w:szCs w:val="24"/>
        </w:rPr>
        <w:t xml:space="preserve">. </w:t>
      </w:r>
      <w:r w:rsidRPr="00AC5C84">
        <w:rPr>
          <w:rFonts w:cs="Times New Roman"/>
          <w:i/>
          <w:iCs/>
          <w:noProof/>
          <w:szCs w:val="24"/>
        </w:rPr>
        <w:t>1</w:t>
      </w:r>
      <w:r w:rsidRPr="00AC5C84">
        <w:rPr>
          <w:rFonts w:cs="Times New Roman"/>
          <w:noProof/>
          <w:szCs w:val="24"/>
        </w:rPr>
        <w:t>(2), 83–89.</w:t>
      </w:r>
    </w:p>
    <w:p w14:paraId="75FD12B8"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Dudek, G. (2020). Multilayer perceptron for short-term load forecasting: from global to local approach. </w:t>
      </w:r>
      <w:r w:rsidRPr="00AC5C84">
        <w:rPr>
          <w:rFonts w:cs="Times New Roman"/>
          <w:i/>
          <w:iCs/>
          <w:noProof/>
          <w:szCs w:val="24"/>
        </w:rPr>
        <w:t>Neural Computing and Applications</w:t>
      </w:r>
      <w:r w:rsidRPr="00AC5C84">
        <w:rPr>
          <w:rFonts w:cs="Times New Roman"/>
          <w:noProof/>
          <w:szCs w:val="24"/>
        </w:rPr>
        <w:t xml:space="preserve">, </w:t>
      </w:r>
      <w:r w:rsidRPr="00AC5C84">
        <w:rPr>
          <w:rFonts w:cs="Times New Roman"/>
          <w:i/>
          <w:iCs/>
          <w:noProof/>
          <w:szCs w:val="24"/>
        </w:rPr>
        <w:t>32</w:t>
      </w:r>
      <w:r w:rsidRPr="00AC5C84">
        <w:rPr>
          <w:rFonts w:cs="Times New Roman"/>
          <w:noProof/>
          <w:szCs w:val="24"/>
        </w:rPr>
        <w:t>(8), 3695–3707. https://doi.org/10.1007/S00521-019-04130-Y/TABLES/9</w:t>
      </w:r>
    </w:p>
    <w:p w14:paraId="08C40BF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Duong, M. Q., Tran, N. T. N., Sava, G. N., &amp; Scripcariu, M. (2017). The impacts of distributed generation penetration into the power system. </w:t>
      </w:r>
      <w:r w:rsidRPr="00AC5C84">
        <w:rPr>
          <w:rFonts w:cs="Times New Roman"/>
          <w:i/>
          <w:iCs/>
          <w:noProof/>
          <w:szCs w:val="24"/>
        </w:rPr>
        <w:t>2017 11th International Conference on Electromechanical and Power Systems, SIELMEN 2017 - Proceedings</w:t>
      </w:r>
      <w:r w:rsidRPr="00AC5C84">
        <w:rPr>
          <w:rFonts w:cs="Times New Roman"/>
          <w:noProof/>
          <w:szCs w:val="24"/>
        </w:rPr>
        <w:t xml:space="preserve">, </w:t>
      </w:r>
      <w:r w:rsidRPr="00AC5C84">
        <w:rPr>
          <w:rFonts w:cs="Times New Roman"/>
          <w:i/>
          <w:iCs/>
          <w:noProof/>
          <w:szCs w:val="24"/>
        </w:rPr>
        <w:t>2017</w:t>
      </w:r>
      <w:r w:rsidRPr="00AC5C84">
        <w:rPr>
          <w:rFonts w:cs="Times New Roman"/>
          <w:noProof/>
          <w:szCs w:val="24"/>
        </w:rPr>
        <w:t>-</w:t>
      </w:r>
      <w:r w:rsidRPr="00AC5C84">
        <w:rPr>
          <w:rFonts w:cs="Times New Roman"/>
          <w:i/>
          <w:iCs/>
          <w:noProof/>
          <w:szCs w:val="24"/>
        </w:rPr>
        <w:t>Janua</w:t>
      </w:r>
      <w:r w:rsidRPr="00AC5C84">
        <w:rPr>
          <w:rFonts w:cs="Times New Roman"/>
          <w:noProof/>
          <w:szCs w:val="24"/>
        </w:rPr>
        <w:t>, 295–301. https://doi.org/10.1109/SIELMEN.2017.8123336</w:t>
      </w:r>
    </w:p>
    <w:p w14:paraId="640BC49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Ebhota, W. S., &amp; Tabakov, P. Y. (2018). Power Inadequacy, the Thorn in Economic Growth of Nigeria. </w:t>
      </w:r>
      <w:r w:rsidRPr="00AC5C84">
        <w:rPr>
          <w:rFonts w:cs="Times New Roman"/>
          <w:i/>
          <w:iCs/>
          <w:noProof/>
          <w:szCs w:val="24"/>
        </w:rPr>
        <w:t>International Journal of Applied Engineering Research</w:t>
      </w:r>
      <w:r w:rsidRPr="00AC5C84">
        <w:rPr>
          <w:rFonts w:cs="Times New Roman"/>
          <w:noProof/>
          <w:szCs w:val="24"/>
        </w:rPr>
        <w:t xml:space="preserve">, </w:t>
      </w:r>
      <w:r w:rsidRPr="00AC5C84">
        <w:rPr>
          <w:rFonts w:cs="Times New Roman"/>
          <w:i/>
          <w:iCs/>
          <w:noProof/>
          <w:szCs w:val="24"/>
        </w:rPr>
        <w:t>13</w:t>
      </w:r>
      <w:r w:rsidRPr="00AC5C84">
        <w:rPr>
          <w:rFonts w:cs="Times New Roman"/>
          <w:noProof/>
          <w:szCs w:val="24"/>
        </w:rPr>
        <w:t>(16), 12602–12610. http://www.ripublication.com12602</w:t>
      </w:r>
    </w:p>
    <w:p w14:paraId="3281C81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Ehsan, A., &amp; Yang, Q. (2018). Optimal integration and planning of renewable distributed generation in the power distribution networks: A review of analytical techniques. </w:t>
      </w:r>
      <w:r w:rsidRPr="00AC5C84">
        <w:rPr>
          <w:rFonts w:cs="Times New Roman"/>
          <w:i/>
          <w:iCs/>
          <w:noProof/>
          <w:szCs w:val="24"/>
        </w:rPr>
        <w:t>Applied Energy</w:t>
      </w:r>
      <w:r w:rsidRPr="00AC5C84">
        <w:rPr>
          <w:rFonts w:cs="Times New Roman"/>
          <w:noProof/>
          <w:szCs w:val="24"/>
        </w:rPr>
        <w:t xml:space="preserve">, </w:t>
      </w:r>
      <w:r w:rsidRPr="00AC5C84">
        <w:rPr>
          <w:rFonts w:cs="Times New Roman"/>
          <w:i/>
          <w:iCs/>
          <w:noProof/>
          <w:szCs w:val="24"/>
        </w:rPr>
        <w:t>210</w:t>
      </w:r>
      <w:r w:rsidRPr="00AC5C84">
        <w:rPr>
          <w:rFonts w:cs="Times New Roman"/>
          <w:noProof/>
          <w:szCs w:val="24"/>
        </w:rPr>
        <w:t>, 44–59. https://doi.org/https://doi.org/10.1016/j.apenergy.2017.10.106</w:t>
      </w:r>
    </w:p>
    <w:p w14:paraId="37E6287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Einola, K., &amp; Alvesson, M. (2020). Behind the Numbers: Questioning Questionnaires: </w:t>
      </w:r>
      <w:r w:rsidRPr="00AC5C84">
        <w:rPr>
          <w:rFonts w:cs="Times New Roman"/>
          <w:i/>
          <w:iCs/>
          <w:noProof/>
          <w:szCs w:val="24"/>
        </w:rPr>
        <w:t>Https://Doi.Org/10.1177/1056492620938139</w:t>
      </w:r>
      <w:r w:rsidRPr="00AC5C84">
        <w:rPr>
          <w:rFonts w:cs="Times New Roman"/>
          <w:noProof/>
          <w:szCs w:val="24"/>
        </w:rPr>
        <w:t xml:space="preserve">, </w:t>
      </w:r>
      <w:r w:rsidRPr="00AC5C84">
        <w:rPr>
          <w:rFonts w:cs="Times New Roman"/>
          <w:i/>
          <w:iCs/>
          <w:noProof/>
          <w:szCs w:val="24"/>
        </w:rPr>
        <w:t>30</w:t>
      </w:r>
      <w:r w:rsidRPr="00AC5C84">
        <w:rPr>
          <w:rFonts w:cs="Times New Roman"/>
          <w:noProof/>
          <w:szCs w:val="24"/>
        </w:rPr>
        <w:t>(1), 102–114. https://doi.org/10.1177/1056492620938139</w:t>
      </w:r>
    </w:p>
    <w:p w14:paraId="13AC599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Elum, Z. A., &amp; Momodu, A. S. (2017). Climate change mitigation and renewable energy for sustainable development in Nigeria: A discourse approach.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76</w:t>
      </w:r>
      <w:r w:rsidRPr="00AC5C84">
        <w:rPr>
          <w:rFonts w:cs="Times New Roman"/>
          <w:noProof/>
          <w:szCs w:val="24"/>
        </w:rPr>
        <w:t>(February), 72–80. https://doi.org/10.1016/j.rser.2017.03.040</w:t>
      </w:r>
    </w:p>
    <w:p w14:paraId="55F4E9D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Emodi, N. V., &amp; Boo, K. J. (2015). Sustainable energy development in Nigeria: Current status and policy options.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51</w:t>
      </w:r>
      <w:r w:rsidRPr="00AC5C84">
        <w:rPr>
          <w:rFonts w:cs="Times New Roman"/>
          <w:noProof/>
          <w:szCs w:val="24"/>
        </w:rPr>
        <w:t>, 356–381. https://doi.org/10.1016/j.rser.2015.06.016</w:t>
      </w:r>
    </w:p>
    <w:p w14:paraId="2FBABE1C"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Emrani-Rahaghi, P., Hashemi-Dezaki, H., &amp; Hasankhani, A. (2021). Optimal stochastic operation of residential energy hubs based on plug-in hybrid electric vehicle uncertainties using two-point estimation method. </w:t>
      </w:r>
      <w:r w:rsidRPr="00AC5C84">
        <w:rPr>
          <w:rFonts w:cs="Times New Roman"/>
          <w:i/>
          <w:iCs/>
          <w:noProof/>
          <w:szCs w:val="24"/>
        </w:rPr>
        <w:t>Sustainable Cities and Society</w:t>
      </w:r>
      <w:r w:rsidRPr="00AC5C84">
        <w:rPr>
          <w:rFonts w:cs="Times New Roman"/>
          <w:noProof/>
          <w:szCs w:val="24"/>
        </w:rPr>
        <w:t xml:space="preserve">, </w:t>
      </w:r>
      <w:r w:rsidRPr="00AC5C84">
        <w:rPr>
          <w:rFonts w:cs="Times New Roman"/>
          <w:i/>
          <w:iCs/>
          <w:noProof/>
          <w:szCs w:val="24"/>
        </w:rPr>
        <w:t>72</w:t>
      </w:r>
      <w:r w:rsidRPr="00AC5C84">
        <w:rPr>
          <w:rFonts w:cs="Times New Roman"/>
          <w:noProof/>
          <w:szCs w:val="24"/>
        </w:rPr>
        <w:t>, 103059. https://doi.org/10.1016/J.SCS.2021.103059</w:t>
      </w:r>
    </w:p>
    <w:p w14:paraId="2A1C011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Fathabad, A. M., Cheng, J., Pan, K., &amp; Qiu, F. (2020). Data-Driven Planning for Renewable Distributed Generation Integration. </w:t>
      </w:r>
      <w:r w:rsidRPr="00AC5C84">
        <w:rPr>
          <w:rFonts w:cs="Times New Roman"/>
          <w:i/>
          <w:iCs/>
          <w:noProof/>
          <w:szCs w:val="24"/>
        </w:rPr>
        <w:t>IEEE Transactions on Power Systems</w:t>
      </w:r>
      <w:r w:rsidRPr="00AC5C84">
        <w:rPr>
          <w:rFonts w:cs="Times New Roman"/>
          <w:noProof/>
          <w:szCs w:val="24"/>
        </w:rPr>
        <w:t xml:space="preserve">, </w:t>
      </w:r>
      <w:r w:rsidRPr="00AC5C84">
        <w:rPr>
          <w:rFonts w:cs="Times New Roman"/>
          <w:i/>
          <w:iCs/>
          <w:noProof/>
          <w:szCs w:val="24"/>
        </w:rPr>
        <w:t>35</w:t>
      </w:r>
      <w:r w:rsidRPr="00AC5C84">
        <w:rPr>
          <w:rFonts w:cs="Times New Roman"/>
          <w:noProof/>
          <w:szCs w:val="24"/>
        </w:rPr>
        <w:t>(6), 4357–4368. https://doi.org/10.1109/TPWRS.2020.3001235</w:t>
      </w:r>
    </w:p>
    <w:p w14:paraId="0F622BF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Felder, F. A. (2014). What Future for the Grid Operator? In </w:t>
      </w:r>
      <w:r w:rsidRPr="00AC5C84">
        <w:rPr>
          <w:rFonts w:cs="Times New Roman"/>
          <w:i/>
          <w:iCs/>
          <w:noProof/>
          <w:szCs w:val="24"/>
        </w:rPr>
        <w:t>Distributed Generation and its Implications for the Utility Industry</w:t>
      </w:r>
      <w:r w:rsidRPr="00AC5C84">
        <w:rPr>
          <w:rFonts w:cs="Times New Roman"/>
          <w:noProof/>
          <w:szCs w:val="24"/>
        </w:rPr>
        <w:t xml:space="preserve"> (pp. 399–415). Elsevier Inc. https://doi.org/10.1016/B978-0-12-800240-7.00020-5</w:t>
      </w:r>
    </w:p>
    <w:p w14:paraId="443E6CF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Gaitán, L. F., David Gómez, J., Rivas-Trujillo, E., Gaitán, L. F., Gómez, J. D., &amp; Rivas-Trujillo, E. (2019). Quasi-Dynamic Analysis of a Local Distribution System with Distributed Generation. Study Case: The IEEE 13 Node System. </w:t>
      </w:r>
      <w:r w:rsidRPr="00AC5C84">
        <w:rPr>
          <w:rFonts w:cs="Times New Roman"/>
          <w:i/>
          <w:iCs/>
          <w:noProof/>
          <w:szCs w:val="24"/>
        </w:rPr>
        <w:t>TecnoLógicas</w:t>
      </w:r>
      <w:r w:rsidRPr="00AC5C84">
        <w:rPr>
          <w:rFonts w:cs="Times New Roman"/>
          <w:noProof/>
          <w:szCs w:val="24"/>
        </w:rPr>
        <w:t xml:space="preserve">, </w:t>
      </w:r>
      <w:r w:rsidRPr="00AC5C84">
        <w:rPr>
          <w:rFonts w:cs="Times New Roman"/>
          <w:i/>
          <w:iCs/>
          <w:noProof/>
          <w:szCs w:val="24"/>
        </w:rPr>
        <w:t>22</w:t>
      </w:r>
      <w:r w:rsidRPr="00AC5C84">
        <w:rPr>
          <w:rFonts w:cs="Times New Roman"/>
          <w:noProof/>
          <w:szCs w:val="24"/>
        </w:rPr>
        <w:t>(46), 195–212. https://doi.org/10.22430/22565337.1489</w:t>
      </w:r>
    </w:p>
    <w:p w14:paraId="29E61FD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Gaitan, L. F., Gómez, J. D., &amp; Trujillo, E. R. (2018). </w:t>
      </w:r>
      <w:r w:rsidRPr="00AC5C84">
        <w:rPr>
          <w:rFonts w:cs="Times New Roman"/>
          <w:i/>
          <w:iCs/>
          <w:noProof/>
          <w:szCs w:val="24"/>
        </w:rPr>
        <w:t>Simulation of a 14 Node IEEE System with Distributed Generation Using Quasi-dynamic Analysis BT  - Applied Computer Sciences in Engineering</w:t>
      </w:r>
      <w:r w:rsidRPr="00AC5C84">
        <w:rPr>
          <w:rFonts w:cs="Times New Roman"/>
          <w:noProof/>
          <w:szCs w:val="24"/>
        </w:rPr>
        <w:t xml:space="preserve"> (J. C. Figueroa-García, E. R. López-Santana, &amp; J. I. Rodriguez-Molano (eds.); pp. 497–508). Springer International Publishing.</w:t>
      </w:r>
    </w:p>
    <w:p w14:paraId="7C6016C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Gonzalez-Longatt, F., &amp; Rueda, J. (2014). PowerFactory Applications for Power System Analysis. In </w:t>
      </w:r>
      <w:r w:rsidRPr="00AC5C84">
        <w:rPr>
          <w:rFonts w:cs="Times New Roman"/>
          <w:i/>
          <w:iCs/>
          <w:noProof/>
          <w:szCs w:val="24"/>
        </w:rPr>
        <w:t>Power Systems</w:t>
      </w:r>
      <w:r w:rsidRPr="00AC5C84">
        <w:rPr>
          <w:rFonts w:cs="Times New Roman"/>
          <w:noProof/>
          <w:szCs w:val="24"/>
        </w:rPr>
        <w:t>.</w:t>
      </w:r>
    </w:p>
    <w:p w14:paraId="0D55C4E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Guo, J., Feng, T., Cai, Z., Yu, Z., Gu, Y., Qian, T., Huang, K., &amp; Tang, W. (2020). Security risk assessment of power system based on latin hypercube sampling and daily peak load forecasting. </w:t>
      </w:r>
      <w:r w:rsidRPr="00AC5C84">
        <w:rPr>
          <w:rFonts w:cs="Times New Roman"/>
          <w:i/>
          <w:iCs/>
          <w:noProof/>
          <w:szCs w:val="24"/>
        </w:rPr>
        <w:t>2020 IEEE 4th Conference on Energy Internet and Energy System Integration: Connecting the Grids Towards a Low-Carbon High-Efficiency Energy System, EI2 2020</w:t>
      </w:r>
      <w:r w:rsidRPr="00AC5C84">
        <w:rPr>
          <w:rFonts w:cs="Times New Roman"/>
          <w:noProof/>
          <w:szCs w:val="24"/>
        </w:rPr>
        <w:t>, 2787–2792. https://doi.org/10.1109/EI250167.2020.9347328</w:t>
      </w:r>
    </w:p>
    <w:p w14:paraId="2E7097A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Herath, H., &amp; Varathan, N. (2018). </w:t>
      </w:r>
      <w:r w:rsidRPr="00AC5C84">
        <w:rPr>
          <w:rFonts w:cs="Times New Roman"/>
          <w:i/>
          <w:iCs/>
          <w:noProof/>
          <w:szCs w:val="24"/>
        </w:rPr>
        <w:t>Statistical modelling of monthly electricity sales in Colombo: ARIMA approach</w:t>
      </w:r>
      <w:r w:rsidRPr="00AC5C84">
        <w:rPr>
          <w:rFonts w:cs="Times New Roman"/>
          <w:noProof/>
          <w:szCs w:val="24"/>
        </w:rPr>
        <w:t>.</w:t>
      </w:r>
    </w:p>
    <w:p w14:paraId="3075EC08"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Hirsch, A., Parag, Y., &amp; Guerrero, J. (2018). Microgrids: A review of technologies, key drivers, and outstanding issues.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90</w:t>
      </w:r>
      <w:r w:rsidRPr="00AC5C84">
        <w:rPr>
          <w:rFonts w:cs="Times New Roman"/>
          <w:noProof/>
          <w:szCs w:val="24"/>
        </w:rPr>
        <w:t>, 402–411. https://doi.org/10.1016/j.rser.2018.03.040</w:t>
      </w:r>
    </w:p>
    <w:p w14:paraId="36ECC20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Hossain, M. A., Pota, H. R., Squartini, S., Zaman, F., &amp; Muttaqi, K. M. (2019). Energy management of community microgrids considering degradation cost of battery. </w:t>
      </w:r>
      <w:r w:rsidRPr="00AC5C84">
        <w:rPr>
          <w:rFonts w:cs="Times New Roman"/>
          <w:i/>
          <w:iCs/>
          <w:noProof/>
          <w:szCs w:val="24"/>
        </w:rPr>
        <w:t>Journal of Energy Storage</w:t>
      </w:r>
      <w:r w:rsidRPr="00AC5C84">
        <w:rPr>
          <w:rFonts w:cs="Times New Roman"/>
          <w:noProof/>
          <w:szCs w:val="24"/>
        </w:rPr>
        <w:t xml:space="preserve">, </w:t>
      </w:r>
      <w:r w:rsidRPr="00AC5C84">
        <w:rPr>
          <w:rFonts w:cs="Times New Roman"/>
          <w:i/>
          <w:iCs/>
          <w:noProof/>
          <w:szCs w:val="24"/>
        </w:rPr>
        <w:t>22</w:t>
      </w:r>
      <w:r w:rsidRPr="00AC5C84">
        <w:rPr>
          <w:rFonts w:cs="Times New Roman"/>
          <w:noProof/>
          <w:szCs w:val="24"/>
        </w:rPr>
        <w:t>, 257–269. https://doi.org/10.1016/J.EST.2018.12.021</w:t>
      </w:r>
    </w:p>
    <w:p w14:paraId="33DB64B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Hu, Y., Wang, Z., &amp; Li, X. (2020). Impact of policies on electric vehicle diffusion: An evolutionary game of small world network analysis. </w:t>
      </w:r>
      <w:r w:rsidRPr="00AC5C84">
        <w:rPr>
          <w:rFonts w:cs="Times New Roman"/>
          <w:i/>
          <w:iCs/>
          <w:noProof/>
          <w:szCs w:val="24"/>
        </w:rPr>
        <w:t>Journal of Cleaner Production</w:t>
      </w:r>
      <w:r w:rsidRPr="00AC5C84">
        <w:rPr>
          <w:rFonts w:cs="Times New Roman"/>
          <w:noProof/>
          <w:szCs w:val="24"/>
        </w:rPr>
        <w:t xml:space="preserve">, </w:t>
      </w:r>
      <w:r w:rsidRPr="00AC5C84">
        <w:rPr>
          <w:rFonts w:cs="Times New Roman"/>
          <w:i/>
          <w:iCs/>
          <w:noProof/>
          <w:szCs w:val="24"/>
        </w:rPr>
        <w:t>265</w:t>
      </w:r>
      <w:r w:rsidRPr="00AC5C84">
        <w:rPr>
          <w:rFonts w:cs="Times New Roman"/>
          <w:noProof/>
          <w:szCs w:val="24"/>
        </w:rPr>
        <w:t>, 121703. https://doi.org/10.1016/J.JCLEPRO.2020.121703</w:t>
      </w:r>
    </w:p>
    <w:p w14:paraId="02B2F3A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Husein, M., &amp; Chung, I. Y. (2018). Optimal design and financial feasibility of a university campus microgrid considering renewable energy incentives. </w:t>
      </w:r>
      <w:r w:rsidRPr="00AC5C84">
        <w:rPr>
          <w:rFonts w:cs="Times New Roman"/>
          <w:i/>
          <w:iCs/>
          <w:noProof/>
          <w:szCs w:val="24"/>
        </w:rPr>
        <w:t>Applied Energy</w:t>
      </w:r>
      <w:r w:rsidRPr="00AC5C84">
        <w:rPr>
          <w:rFonts w:cs="Times New Roman"/>
          <w:noProof/>
          <w:szCs w:val="24"/>
        </w:rPr>
        <w:t xml:space="preserve">, </w:t>
      </w:r>
      <w:r w:rsidRPr="00AC5C84">
        <w:rPr>
          <w:rFonts w:cs="Times New Roman"/>
          <w:i/>
          <w:iCs/>
          <w:noProof/>
          <w:szCs w:val="24"/>
        </w:rPr>
        <w:t>225</w:t>
      </w:r>
      <w:r w:rsidRPr="00AC5C84">
        <w:rPr>
          <w:rFonts w:cs="Times New Roman"/>
          <w:noProof/>
          <w:szCs w:val="24"/>
        </w:rPr>
        <w:t>, 273–289. https://doi.org/10.1016/J.APENERGY.2018.05.036</w:t>
      </w:r>
    </w:p>
    <w:p w14:paraId="263B2D1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Ikart, E. M. (2019). Survey Questionnaire Survey Pretesting Method: An Evaluation of Survey Questionnaire via Expert Reviews Technique. </w:t>
      </w:r>
      <w:r w:rsidRPr="00AC5C84">
        <w:rPr>
          <w:rFonts w:cs="Times New Roman"/>
          <w:i/>
          <w:iCs/>
          <w:noProof/>
          <w:szCs w:val="24"/>
        </w:rPr>
        <w:t>Asian Journal of Social Science Studies</w:t>
      </w:r>
      <w:r w:rsidRPr="00AC5C84">
        <w:rPr>
          <w:rFonts w:cs="Times New Roman"/>
          <w:noProof/>
          <w:szCs w:val="24"/>
        </w:rPr>
        <w:t xml:space="preserve">, </w:t>
      </w:r>
      <w:r w:rsidRPr="00AC5C84">
        <w:rPr>
          <w:rFonts w:cs="Times New Roman"/>
          <w:i/>
          <w:iCs/>
          <w:noProof/>
          <w:szCs w:val="24"/>
        </w:rPr>
        <w:t>4</w:t>
      </w:r>
      <w:r w:rsidRPr="00AC5C84">
        <w:rPr>
          <w:rFonts w:cs="Times New Roman"/>
          <w:noProof/>
          <w:szCs w:val="24"/>
        </w:rPr>
        <w:t>(2), 1. https://doi.org/10.20849/AJSSS.V4I2.565</w:t>
      </w:r>
    </w:p>
    <w:p w14:paraId="473D546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Impram, S., Varbak Nese, S., &amp; Oral, B. (2020). Challenges of renewable energy penetration on power system flexibility: A survey. </w:t>
      </w:r>
      <w:r w:rsidRPr="00AC5C84">
        <w:rPr>
          <w:rFonts w:cs="Times New Roman"/>
          <w:i/>
          <w:iCs/>
          <w:noProof/>
          <w:szCs w:val="24"/>
        </w:rPr>
        <w:t>Energy Strategy Reviews</w:t>
      </w:r>
      <w:r w:rsidRPr="00AC5C84">
        <w:rPr>
          <w:rFonts w:cs="Times New Roman"/>
          <w:noProof/>
          <w:szCs w:val="24"/>
        </w:rPr>
        <w:t xml:space="preserve">, </w:t>
      </w:r>
      <w:r w:rsidRPr="00AC5C84">
        <w:rPr>
          <w:rFonts w:cs="Times New Roman"/>
          <w:i/>
          <w:iCs/>
          <w:noProof/>
          <w:szCs w:val="24"/>
        </w:rPr>
        <w:t>31</w:t>
      </w:r>
      <w:r w:rsidRPr="00AC5C84">
        <w:rPr>
          <w:rFonts w:cs="Times New Roman"/>
          <w:noProof/>
          <w:szCs w:val="24"/>
        </w:rPr>
        <w:t>(April), 100539. https://doi.org/10.1016/j.esr.2020.100539</w:t>
      </w:r>
    </w:p>
    <w:p w14:paraId="16DCA34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Indrawan, N., Kumar, A., Moliere, M., Sallam, K. A., &amp; Huhnke, R. L. (2020). Distributed power generation via gasification of biomass and municipal solid waste: A review. </w:t>
      </w:r>
      <w:r w:rsidRPr="00AC5C84">
        <w:rPr>
          <w:rFonts w:cs="Times New Roman"/>
          <w:i/>
          <w:iCs/>
          <w:noProof/>
          <w:szCs w:val="24"/>
        </w:rPr>
        <w:t>Journal of the Energy Institute</w:t>
      </w:r>
      <w:r w:rsidRPr="00AC5C84">
        <w:rPr>
          <w:rFonts w:cs="Times New Roman"/>
          <w:noProof/>
          <w:szCs w:val="24"/>
        </w:rPr>
        <w:t xml:space="preserve">, </w:t>
      </w:r>
      <w:r w:rsidRPr="00AC5C84">
        <w:rPr>
          <w:rFonts w:cs="Times New Roman"/>
          <w:i/>
          <w:iCs/>
          <w:noProof/>
          <w:szCs w:val="24"/>
        </w:rPr>
        <w:t>93</w:t>
      </w:r>
      <w:r w:rsidRPr="00AC5C84">
        <w:rPr>
          <w:rFonts w:cs="Times New Roman"/>
          <w:noProof/>
          <w:szCs w:val="24"/>
        </w:rPr>
        <w:t>(6), 2293–2313. https://doi.org/https://doi.org/10.1016/j.joei.2020.07.001</w:t>
      </w:r>
    </w:p>
    <w:p w14:paraId="296FBD4C"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Jain, S., &amp; Sawle, Y. (2021). Optimization and Comparative Economic Analysis of Standalone and Grid-Connected Hybrid Renewable Energy System for Remote Location. </w:t>
      </w:r>
      <w:r w:rsidRPr="00AC5C84">
        <w:rPr>
          <w:rFonts w:cs="Times New Roman"/>
          <w:i/>
          <w:iCs/>
          <w:noProof/>
          <w:szCs w:val="24"/>
        </w:rPr>
        <w:t>Frontiers in Energy Research</w:t>
      </w:r>
      <w:r w:rsidRPr="00AC5C84">
        <w:rPr>
          <w:rFonts w:cs="Times New Roman"/>
          <w:noProof/>
          <w:szCs w:val="24"/>
        </w:rPr>
        <w:t xml:space="preserve">, </w:t>
      </w:r>
      <w:r w:rsidRPr="00AC5C84">
        <w:rPr>
          <w:rFonts w:cs="Times New Roman"/>
          <w:i/>
          <w:iCs/>
          <w:noProof/>
          <w:szCs w:val="24"/>
        </w:rPr>
        <w:t>9</w:t>
      </w:r>
      <w:r w:rsidRPr="00AC5C84">
        <w:rPr>
          <w:rFonts w:cs="Times New Roman"/>
          <w:noProof/>
          <w:szCs w:val="24"/>
        </w:rPr>
        <w:t>, 518. https://www.frontiersin.org/article/10.3389/fenrg.2021.724162</w:t>
      </w:r>
    </w:p>
    <w:p w14:paraId="3EBDC76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Jamian, J. J., Mustafa, M. W., &amp; Mokhlis, H. (2015). Optimal multiple distributed generation output through rank evolutionary particle swarm optimization. </w:t>
      </w:r>
      <w:r w:rsidRPr="00AC5C84">
        <w:rPr>
          <w:rFonts w:cs="Times New Roman"/>
          <w:i/>
          <w:iCs/>
          <w:noProof/>
          <w:szCs w:val="24"/>
        </w:rPr>
        <w:t>Neurocomputing</w:t>
      </w:r>
      <w:r w:rsidRPr="00AC5C84">
        <w:rPr>
          <w:rFonts w:cs="Times New Roman"/>
          <w:noProof/>
          <w:szCs w:val="24"/>
        </w:rPr>
        <w:t xml:space="preserve">, </w:t>
      </w:r>
      <w:r w:rsidRPr="00AC5C84">
        <w:rPr>
          <w:rFonts w:cs="Times New Roman"/>
          <w:i/>
          <w:iCs/>
          <w:noProof/>
          <w:szCs w:val="24"/>
        </w:rPr>
        <w:t>152</w:t>
      </w:r>
      <w:r w:rsidRPr="00AC5C84">
        <w:rPr>
          <w:rFonts w:cs="Times New Roman"/>
          <w:noProof/>
          <w:szCs w:val="24"/>
        </w:rPr>
        <w:t>, 190–198. https://doi.org/10.1016/J.NEUCOM.2014.11.001</w:t>
      </w:r>
    </w:p>
    <w:p w14:paraId="119890F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Jiang, P., Huang, S., &amp; Zhang, T. (2020). Asymmetric information in military microgrid confrontations-evaluation metric and influence analysis. </w:t>
      </w:r>
      <w:r w:rsidRPr="00AC5C84">
        <w:rPr>
          <w:rFonts w:cs="Times New Roman"/>
          <w:i/>
          <w:iCs/>
          <w:noProof/>
          <w:szCs w:val="24"/>
        </w:rPr>
        <w:t>Energies</w:t>
      </w:r>
      <w:r w:rsidRPr="00AC5C84">
        <w:rPr>
          <w:rFonts w:cs="Times New Roman"/>
          <w:noProof/>
          <w:szCs w:val="24"/>
        </w:rPr>
        <w:t xml:space="preserve">, </w:t>
      </w:r>
      <w:r w:rsidRPr="00AC5C84">
        <w:rPr>
          <w:rFonts w:cs="Times New Roman"/>
          <w:i/>
          <w:iCs/>
          <w:noProof/>
          <w:szCs w:val="24"/>
        </w:rPr>
        <w:t>13</w:t>
      </w:r>
      <w:r w:rsidRPr="00AC5C84">
        <w:rPr>
          <w:rFonts w:cs="Times New Roman"/>
          <w:noProof/>
          <w:szCs w:val="24"/>
        </w:rPr>
        <w:t>(8). https://doi.org/10.3390/en13081954</w:t>
      </w:r>
    </w:p>
    <w:p w14:paraId="24FF256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Jurasz, J., Canales, F. A., Kies, A., Guezgouz, M., &amp; Beluco, A. (2020). A review on the complementarity of renewable energy sources: Concept, metrics, application and future research directions. </w:t>
      </w:r>
      <w:r w:rsidRPr="00AC5C84">
        <w:rPr>
          <w:rFonts w:cs="Times New Roman"/>
          <w:i/>
          <w:iCs/>
          <w:noProof/>
          <w:szCs w:val="24"/>
        </w:rPr>
        <w:t>Solar Energy</w:t>
      </w:r>
      <w:r w:rsidRPr="00AC5C84">
        <w:rPr>
          <w:rFonts w:cs="Times New Roman"/>
          <w:noProof/>
          <w:szCs w:val="24"/>
        </w:rPr>
        <w:t xml:space="preserve">, </w:t>
      </w:r>
      <w:r w:rsidRPr="00AC5C84">
        <w:rPr>
          <w:rFonts w:cs="Times New Roman"/>
          <w:i/>
          <w:iCs/>
          <w:noProof/>
          <w:szCs w:val="24"/>
        </w:rPr>
        <w:t>195</w:t>
      </w:r>
      <w:r w:rsidRPr="00AC5C84">
        <w:rPr>
          <w:rFonts w:cs="Times New Roman"/>
          <w:noProof/>
          <w:szCs w:val="24"/>
        </w:rPr>
        <w:t>, 703–724. https://doi.org/10.1016/J.SOLENER.2019.11.087</w:t>
      </w:r>
    </w:p>
    <w:p w14:paraId="6B4BDFE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Kashem, S. B. A., De Souza, S., Iqbal, A., &amp; Ahmed, J. (2018). Microgrid in military applications. </w:t>
      </w:r>
      <w:r w:rsidRPr="00AC5C84">
        <w:rPr>
          <w:rFonts w:cs="Times New Roman"/>
          <w:i/>
          <w:iCs/>
          <w:noProof/>
          <w:szCs w:val="24"/>
        </w:rPr>
        <w:t>Proceedings - 2018 IEEE 12th International Conference on Compatibility, Power Electronics and Power Engineering, CPE-POWERENG 2018</w:t>
      </w:r>
      <w:r w:rsidRPr="00AC5C84">
        <w:rPr>
          <w:rFonts w:cs="Times New Roman"/>
          <w:noProof/>
          <w:szCs w:val="24"/>
        </w:rPr>
        <w:t>, 1–5. https://doi.org/10.1109/CPE.2018.8372506</w:t>
      </w:r>
    </w:p>
    <w:p w14:paraId="58D96CD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Kenyon, R. W., Bossart, M., Marković, M., Doubleday, K., Matsuda-Dunn, R., Mitova, S., Julien, S. A., Hale, E. T., &amp; Hodge, B. M. (2020). Stability and control of power systems with high penetrations of inverter-based resources: An accessible review of current knowledge and open questions. </w:t>
      </w:r>
      <w:r w:rsidRPr="00AC5C84">
        <w:rPr>
          <w:rFonts w:cs="Times New Roman"/>
          <w:i/>
          <w:iCs/>
          <w:noProof/>
          <w:szCs w:val="24"/>
        </w:rPr>
        <w:t>Solar Energy</w:t>
      </w:r>
      <w:r w:rsidRPr="00AC5C84">
        <w:rPr>
          <w:rFonts w:cs="Times New Roman"/>
          <w:noProof/>
          <w:szCs w:val="24"/>
        </w:rPr>
        <w:t xml:space="preserve">, </w:t>
      </w:r>
      <w:r w:rsidRPr="00AC5C84">
        <w:rPr>
          <w:rFonts w:cs="Times New Roman"/>
          <w:i/>
          <w:iCs/>
          <w:noProof/>
          <w:szCs w:val="24"/>
        </w:rPr>
        <w:t>210</w:t>
      </w:r>
      <w:r w:rsidRPr="00AC5C84">
        <w:rPr>
          <w:rFonts w:cs="Times New Roman"/>
          <w:noProof/>
          <w:szCs w:val="24"/>
        </w:rPr>
        <w:t>(April), 149–168. https://doi.org/10.1016/j.solener.2020.05.053</w:t>
      </w:r>
    </w:p>
    <w:p w14:paraId="28308E48"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Khalilpour, K. R., &amp; Vassallo, A. (2016). </w:t>
      </w:r>
      <w:r w:rsidRPr="00AC5C84">
        <w:rPr>
          <w:rFonts w:cs="Times New Roman"/>
          <w:i/>
          <w:iCs/>
          <w:noProof/>
          <w:szCs w:val="24"/>
        </w:rPr>
        <w:t>Community Energy Networks With Storage</w:t>
      </w:r>
      <w:r w:rsidRPr="00AC5C84">
        <w:rPr>
          <w:rFonts w:cs="Times New Roman"/>
          <w:noProof/>
          <w:szCs w:val="24"/>
        </w:rPr>
        <w:t>. http://link.springer.com/10.1007/978-981-287-652-2</w:t>
      </w:r>
    </w:p>
    <w:p w14:paraId="69CF196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Khan, M. R. B., Pasupuleti, J., &amp; Jidin, R. (2020). Technical and Economic Analysis of Floating PV System for Putra Mosque in Malaysia. </w:t>
      </w:r>
      <w:r w:rsidRPr="00AC5C84">
        <w:rPr>
          <w:rFonts w:cs="Times New Roman"/>
          <w:i/>
          <w:iCs/>
          <w:noProof/>
          <w:szCs w:val="24"/>
        </w:rPr>
        <w:t>2020 IEEE Student Conference on Research and Development, SCOReD 2020</w:t>
      </w:r>
      <w:r w:rsidRPr="00AC5C84">
        <w:rPr>
          <w:rFonts w:cs="Times New Roman"/>
          <w:noProof/>
          <w:szCs w:val="24"/>
        </w:rPr>
        <w:t>, 39–44. https://doi.org/10.1109/SCORED50371.2020.9250936</w:t>
      </w:r>
    </w:p>
    <w:p w14:paraId="490E559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Kinnon, M. Mac, Razeghi, G., &amp; Samuelsen, S. (ORCID:0000000204203951). (2021). The role of fuel cells in port microgrids to support sustainable goods movement.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147</w:t>
      </w:r>
      <w:r w:rsidRPr="00AC5C84">
        <w:rPr>
          <w:rFonts w:cs="Times New Roman"/>
          <w:noProof/>
          <w:szCs w:val="24"/>
        </w:rPr>
        <w:t>(April), 111226. https://doi.org/10.1016/j.rser.2021.111226</w:t>
      </w:r>
    </w:p>
    <w:p w14:paraId="45F56AA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Kopas, J., York, E., Jin, X., Harish, S. P., Kennedy, R., Shen, S. V., &amp; Urpelainen, J. (2020). Environmental justice in India: Incidence of air pollution from coal-fired power plants. </w:t>
      </w:r>
      <w:r w:rsidRPr="00AC5C84">
        <w:rPr>
          <w:rFonts w:cs="Times New Roman"/>
          <w:i/>
          <w:iCs/>
          <w:noProof/>
          <w:szCs w:val="24"/>
        </w:rPr>
        <w:t>Ecological Economics</w:t>
      </w:r>
      <w:r w:rsidRPr="00AC5C84">
        <w:rPr>
          <w:rFonts w:cs="Times New Roman"/>
          <w:noProof/>
          <w:szCs w:val="24"/>
        </w:rPr>
        <w:t xml:space="preserve">, </w:t>
      </w:r>
      <w:r w:rsidRPr="00AC5C84">
        <w:rPr>
          <w:rFonts w:cs="Times New Roman"/>
          <w:i/>
          <w:iCs/>
          <w:noProof/>
          <w:szCs w:val="24"/>
        </w:rPr>
        <w:t>176</w:t>
      </w:r>
      <w:r w:rsidRPr="00AC5C84">
        <w:rPr>
          <w:rFonts w:cs="Times New Roman"/>
          <w:noProof/>
          <w:szCs w:val="24"/>
        </w:rPr>
        <w:t>, 106711.</w:t>
      </w:r>
    </w:p>
    <w:p w14:paraId="73094D6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Kwon, B. S., Park, R. J., &amp; Song, K. Bin. (2020). Short-Term Load Forecasting Based on Deep Neural Networks Using LSTM Layer. </w:t>
      </w:r>
      <w:r w:rsidRPr="00AC5C84">
        <w:rPr>
          <w:rFonts w:cs="Times New Roman"/>
          <w:i/>
          <w:iCs/>
          <w:noProof/>
          <w:szCs w:val="24"/>
        </w:rPr>
        <w:t>Journal of Electrical Engineering &amp; Technology 2020 15:4</w:t>
      </w:r>
      <w:r w:rsidRPr="00AC5C84">
        <w:rPr>
          <w:rFonts w:cs="Times New Roman"/>
          <w:noProof/>
          <w:szCs w:val="24"/>
        </w:rPr>
        <w:t xml:space="preserve">, </w:t>
      </w:r>
      <w:r w:rsidRPr="00AC5C84">
        <w:rPr>
          <w:rFonts w:cs="Times New Roman"/>
          <w:i/>
          <w:iCs/>
          <w:noProof/>
          <w:szCs w:val="24"/>
        </w:rPr>
        <w:t>15</w:t>
      </w:r>
      <w:r w:rsidRPr="00AC5C84">
        <w:rPr>
          <w:rFonts w:cs="Times New Roman"/>
          <w:noProof/>
          <w:szCs w:val="24"/>
        </w:rPr>
        <w:t>(4), 1501–1509. https://doi.org/10.1007/S42835-020-00424-7</w:t>
      </w:r>
    </w:p>
    <w:p w14:paraId="46EA4B5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Lakioti, E., Samaras, P., Kokkinos, K., Lakioti, E., &amp; Karayannis, V. (2018). Evaluation of public perception on key sustainability indicators for drinking water quality by fuzzy logic methodologies. </w:t>
      </w:r>
      <w:r w:rsidRPr="00AC5C84">
        <w:rPr>
          <w:rFonts w:cs="Times New Roman"/>
          <w:i/>
          <w:iCs/>
          <w:noProof/>
          <w:szCs w:val="24"/>
        </w:rPr>
        <w:t>Fifth International Conference on Small and Decentralized Water and Wastewater Treatment Plants</w:t>
      </w:r>
      <w:r w:rsidRPr="00AC5C84">
        <w:rPr>
          <w:rFonts w:cs="Times New Roman"/>
          <w:noProof/>
          <w:szCs w:val="24"/>
        </w:rPr>
        <w:t>, 26–29. https://doi.org/10.5004/dwt.2019.24642</w:t>
      </w:r>
    </w:p>
    <w:p w14:paraId="255A39C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Lasseter, R. H., Chen, Z., &amp; Pattabiraman, D. (2020). Grid-Forming Inverters: A Critical Asset for the Power Grid. </w:t>
      </w:r>
      <w:r w:rsidRPr="00AC5C84">
        <w:rPr>
          <w:rFonts w:cs="Times New Roman"/>
          <w:i/>
          <w:iCs/>
          <w:noProof/>
          <w:szCs w:val="24"/>
        </w:rPr>
        <w:t>IEEE Journal of Emerging and Selected Topics in Power Electronics</w:t>
      </w:r>
      <w:r w:rsidRPr="00AC5C84">
        <w:rPr>
          <w:rFonts w:cs="Times New Roman"/>
          <w:noProof/>
          <w:szCs w:val="24"/>
        </w:rPr>
        <w:t xml:space="preserve">, </w:t>
      </w:r>
      <w:r w:rsidRPr="00AC5C84">
        <w:rPr>
          <w:rFonts w:cs="Times New Roman"/>
          <w:i/>
          <w:iCs/>
          <w:noProof/>
          <w:szCs w:val="24"/>
        </w:rPr>
        <w:t>8</w:t>
      </w:r>
      <w:r w:rsidRPr="00AC5C84">
        <w:rPr>
          <w:rFonts w:cs="Times New Roman"/>
          <w:noProof/>
          <w:szCs w:val="24"/>
        </w:rPr>
        <w:t>(2), 925–935. https://doi.org/10.1109/JESTPE.2019.2959271</w:t>
      </w:r>
    </w:p>
    <w:p w14:paraId="11675EF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Lee, K. Y. (2006). The effect of DG using fuel cell under deregulated electricity energy markets. </w:t>
      </w:r>
      <w:r w:rsidRPr="00AC5C84">
        <w:rPr>
          <w:rFonts w:cs="Times New Roman"/>
          <w:i/>
          <w:iCs/>
          <w:noProof/>
          <w:szCs w:val="24"/>
        </w:rPr>
        <w:t>2006 IEEE Power Engineering Society General Meeting, PES</w:t>
      </w:r>
      <w:r w:rsidRPr="00AC5C84">
        <w:rPr>
          <w:rFonts w:cs="Times New Roman"/>
          <w:noProof/>
          <w:szCs w:val="24"/>
        </w:rPr>
        <w:t>, 1–8. https://doi.org/10.1109/pes.2006.1709637</w:t>
      </w:r>
    </w:p>
    <w:p w14:paraId="45B2CAC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Li, J., Chen, S., Wu, Y., Wang, Q., Liu, X., Qi, L., Lu, X., &amp; Gao, L. (2021). How to make better use of intermittent and variable energy? A review of wind and photovoltaic power consumption in China.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137</w:t>
      </w:r>
      <w:r w:rsidRPr="00AC5C84">
        <w:rPr>
          <w:rFonts w:cs="Times New Roman"/>
          <w:noProof/>
          <w:szCs w:val="24"/>
        </w:rPr>
        <w:t>(November 2020), 110626. https://doi.org/10.1016/j.rser.2020.110626</w:t>
      </w:r>
    </w:p>
    <w:p w14:paraId="7719EBB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Li, S., Li, Y., Chen, X., Li, T., &amp; Zhang, W. (2020). A novel flexible power support control with voltage fluctuation suppression for islanded hybrid AC/DC microgrid involving distributed energy storage units. </w:t>
      </w:r>
      <w:r w:rsidRPr="00AC5C84">
        <w:rPr>
          <w:rFonts w:cs="Times New Roman"/>
          <w:i/>
          <w:iCs/>
          <w:noProof/>
          <w:szCs w:val="24"/>
        </w:rPr>
        <w:t>International Journal of Electrical Power and Energy Systems</w:t>
      </w:r>
      <w:r w:rsidRPr="00AC5C84">
        <w:rPr>
          <w:rFonts w:cs="Times New Roman"/>
          <w:noProof/>
          <w:szCs w:val="24"/>
        </w:rPr>
        <w:t xml:space="preserve">, </w:t>
      </w:r>
      <w:r w:rsidRPr="00AC5C84">
        <w:rPr>
          <w:rFonts w:cs="Times New Roman"/>
          <w:i/>
          <w:iCs/>
          <w:noProof/>
          <w:szCs w:val="24"/>
        </w:rPr>
        <w:t>123</w:t>
      </w:r>
      <w:r w:rsidRPr="00AC5C84">
        <w:rPr>
          <w:rFonts w:cs="Times New Roman"/>
          <w:noProof/>
          <w:szCs w:val="24"/>
        </w:rPr>
        <w:t>(June), 106265. https://doi.org/10.1016/j.ijepes.2020.106265</w:t>
      </w:r>
    </w:p>
    <w:p w14:paraId="38759B6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Liang, W., Lin, S., Lei, S., Xie, Y., Tang, Z., &amp; Liu, M. (2022). Distributionally robust optimal dispatch of CCHP campus microgrids considering the time-delay of pipelines and the uncertainty of renewable energy. </w:t>
      </w:r>
      <w:r w:rsidRPr="00AC5C84">
        <w:rPr>
          <w:rFonts w:cs="Times New Roman"/>
          <w:i/>
          <w:iCs/>
          <w:noProof/>
          <w:szCs w:val="24"/>
        </w:rPr>
        <w:t>Energy</w:t>
      </w:r>
      <w:r w:rsidRPr="00AC5C84">
        <w:rPr>
          <w:rFonts w:cs="Times New Roman"/>
          <w:noProof/>
          <w:szCs w:val="24"/>
        </w:rPr>
        <w:t xml:space="preserve">, </w:t>
      </w:r>
      <w:r w:rsidRPr="00AC5C84">
        <w:rPr>
          <w:rFonts w:cs="Times New Roman"/>
          <w:i/>
          <w:iCs/>
          <w:noProof/>
          <w:szCs w:val="24"/>
        </w:rPr>
        <w:t>239</w:t>
      </w:r>
      <w:r w:rsidRPr="00AC5C84">
        <w:rPr>
          <w:rFonts w:cs="Times New Roman"/>
          <w:noProof/>
          <w:szCs w:val="24"/>
        </w:rPr>
        <w:t>, 122200. https://doi.org/10.1016/J.ENERGY.2021.122200</w:t>
      </w:r>
    </w:p>
    <w:p w14:paraId="12D6E3D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Liang, Y., Niu, D., &amp; Hong, W. C. (2019). Short term load forecasting based on feature extraction and improved general regression neural network model. </w:t>
      </w:r>
      <w:r w:rsidRPr="00AC5C84">
        <w:rPr>
          <w:rFonts w:cs="Times New Roman"/>
          <w:i/>
          <w:iCs/>
          <w:noProof/>
          <w:szCs w:val="24"/>
        </w:rPr>
        <w:t>Energy</w:t>
      </w:r>
      <w:r w:rsidRPr="00AC5C84">
        <w:rPr>
          <w:rFonts w:cs="Times New Roman"/>
          <w:noProof/>
          <w:szCs w:val="24"/>
        </w:rPr>
        <w:t xml:space="preserve">, </w:t>
      </w:r>
      <w:r w:rsidRPr="00AC5C84">
        <w:rPr>
          <w:rFonts w:cs="Times New Roman"/>
          <w:i/>
          <w:iCs/>
          <w:noProof/>
          <w:szCs w:val="24"/>
        </w:rPr>
        <w:t>166</w:t>
      </w:r>
      <w:r w:rsidRPr="00AC5C84">
        <w:rPr>
          <w:rFonts w:cs="Times New Roman"/>
          <w:noProof/>
          <w:szCs w:val="24"/>
        </w:rPr>
        <w:t>, 653–663. https://doi.org/10.1016/J.ENERGY.2018.10.119</w:t>
      </w:r>
    </w:p>
    <w:p w14:paraId="58EF251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Liu, G., Jiang, T., Ollis, T. B., Zhang, X., &amp; Tomsovic, K. (2019). Distributed energy management for community microgrids considering network operational constraints and building thermal dynamics. </w:t>
      </w:r>
      <w:r w:rsidRPr="00AC5C84">
        <w:rPr>
          <w:rFonts w:cs="Times New Roman"/>
          <w:i/>
          <w:iCs/>
          <w:noProof/>
          <w:szCs w:val="24"/>
        </w:rPr>
        <w:t>Applied Energy</w:t>
      </w:r>
      <w:r w:rsidRPr="00AC5C84">
        <w:rPr>
          <w:rFonts w:cs="Times New Roman"/>
          <w:noProof/>
          <w:szCs w:val="24"/>
        </w:rPr>
        <w:t xml:space="preserve">, </w:t>
      </w:r>
      <w:r w:rsidRPr="00AC5C84">
        <w:rPr>
          <w:rFonts w:cs="Times New Roman"/>
          <w:i/>
          <w:iCs/>
          <w:noProof/>
          <w:szCs w:val="24"/>
        </w:rPr>
        <w:t>239</w:t>
      </w:r>
      <w:r w:rsidRPr="00AC5C84">
        <w:rPr>
          <w:rFonts w:cs="Times New Roman"/>
          <w:noProof/>
          <w:szCs w:val="24"/>
        </w:rPr>
        <w:t>, 83–95. https://doi.org/10.1016/J.APENERGY.2019.01.210</w:t>
      </w:r>
    </w:p>
    <w:p w14:paraId="696DC9F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Londono, J. E. V., Mazza, A., Pons, E., Lok, H., &amp; Bompard, E. (2021). Modelling and control of a grid-connected RES-hydrogen hybrid microgrid. </w:t>
      </w:r>
      <w:r w:rsidRPr="00AC5C84">
        <w:rPr>
          <w:rFonts w:cs="Times New Roman"/>
          <w:i/>
          <w:iCs/>
          <w:noProof/>
          <w:szCs w:val="24"/>
        </w:rPr>
        <w:t>Energies</w:t>
      </w:r>
      <w:r w:rsidRPr="00AC5C84">
        <w:rPr>
          <w:rFonts w:cs="Times New Roman"/>
          <w:noProof/>
          <w:szCs w:val="24"/>
        </w:rPr>
        <w:t xml:space="preserve">, </w:t>
      </w:r>
      <w:r w:rsidRPr="00AC5C84">
        <w:rPr>
          <w:rFonts w:cs="Times New Roman"/>
          <w:i/>
          <w:iCs/>
          <w:noProof/>
          <w:szCs w:val="24"/>
        </w:rPr>
        <w:t>14</w:t>
      </w:r>
      <w:r w:rsidRPr="00AC5C84">
        <w:rPr>
          <w:rFonts w:cs="Times New Roman"/>
          <w:noProof/>
          <w:szCs w:val="24"/>
        </w:rPr>
        <w:t>(6), 1–25. https://doi.org/10.3390/en14061540</w:t>
      </w:r>
    </w:p>
    <w:p w14:paraId="33EA5CA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Lu, X., &amp; Wang, J. (2017). A game changer: Electrifying remote communities by using isolated microgrids. </w:t>
      </w:r>
      <w:r w:rsidRPr="00AC5C84">
        <w:rPr>
          <w:rFonts w:cs="Times New Roman"/>
          <w:i/>
          <w:iCs/>
          <w:noProof/>
          <w:szCs w:val="24"/>
        </w:rPr>
        <w:t>IEEE Electrification Magazine</w:t>
      </w:r>
      <w:r w:rsidRPr="00AC5C84">
        <w:rPr>
          <w:rFonts w:cs="Times New Roman"/>
          <w:noProof/>
          <w:szCs w:val="24"/>
        </w:rPr>
        <w:t xml:space="preserve">, </w:t>
      </w:r>
      <w:r w:rsidRPr="00AC5C84">
        <w:rPr>
          <w:rFonts w:cs="Times New Roman"/>
          <w:i/>
          <w:iCs/>
          <w:noProof/>
          <w:szCs w:val="24"/>
        </w:rPr>
        <w:t>5</w:t>
      </w:r>
      <w:r w:rsidRPr="00AC5C84">
        <w:rPr>
          <w:rFonts w:cs="Times New Roman"/>
          <w:noProof/>
          <w:szCs w:val="24"/>
        </w:rPr>
        <w:t>(2), 56–63. https://doi.org/10.1109/MELE.2017.2685958</w:t>
      </w:r>
    </w:p>
    <w:p w14:paraId="40F05A0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Ma, Z., Gao, J., Hu, W., &amp; Dinavahi, V. (2021). Risk-adjustable stochastic schedule based on Sobol augmented Latin hypercube sampling considering correlation of wind power uncertainties. </w:t>
      </w:r>
      <w:r w:rsidRPr="00AC5C84">
        <w:rPr>
          <w:rFonts w:cs="Times New Roman"/>
          <w:i/>
          <w:iCs/>
          <w:noProof/>
          <w:szCs w:val="24"/>
        </w:rPr>
        <w:t>IET Renewable Power Generation</w:t>
      </w:r>
      <w:r w:rsidRPr="00AC5C84">
        <w:rPr>
          <w:rFonts w:cs="Times New Roman"/>
          <w:noProof/>
          <w:szCs w:val="24"/>
        </w:rPr>
        <w:t xml:space="preserve">, </w:t>
      </w:r>
      <w:r w:rsidRPr="00AC5C84">
        <w:rPr>
          <w:rFonts w:cs="Times New Roman"/>
          <w:i/>
          <w:iCs/>
          <w:noProof/>
          <w:szCs w:val="24"/>
        </w:rPr>
        <w:t>15</w:t>
      </w:r>
      <w:r w:rsidRPr="00AC5C84">
        <w:rPr>
          <w:rFonts w:cs="Times New Roman"/>
          <w:noProof/>
          <w:szCs w:val="24"/>
        </w:rPr>
        <w:t>(11), 2356–2367. https://doi.org/10.1049/RPG2.12169</w:t>
      </w:r>
    </w:p>
    <w:p w14:paraId="5FBB0B6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Machowski, J., Lubosny, Z., Bialek, J. W., &amp; Bumby, J. R. (2020). </w:t>
      </w:r>
      <w:r w:rsidRPr="00AC5C84">
        <w:rPr>
          <w:rFonts w:cs="Times New Roman"/>
          <w:i/>
          <w:iCs/>
          <w:noProof/>
          <w:szCs w:val="24"/>
        </w:rPr>
        <w:t>Power System Dynamics: Stability and Control</w:t>
      </w:r>
      <w:r w:rsidRPr="00AC5C84">
        <w:rPr>
          <w:rFonts w:cs="Times New Roman"/>
          <w:noProof/>
          <w:szCs w:val="24"/>
        </w:rPr>
        <w:t xml:space="preserve"> (3rd ed.). John Wiley &amp; Sons, Ltd.</w:t>
      </w:r>
    </w:p>
    <w:p w14:paraId="25B112C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Mahmoudian, M., &amp; Yousefi, G. (2016). Real Time Congestion Management in Power Systems Considering Quasi-Dynamic Thermal Rating and Congestion Clearing Time. </w:t>
      </w:r>
      <w:r w:rsidRPr="00AC5C84">
        <w:rPr>
          <w:rFonts w:cs="Times New Roman"/>
          <w:i/>
          <w:iCs/>
          <w:noProof/>
          <w:szCs w:val="24"/>
        </w:rPr>
        <w:t>IEEE Transactions on Industrial Informatics</w:t>
      </w:r>
      <w:r w:rsidRPr="00AC5C84">
        <w:rPr>
          <w:rFonts w:cs="Times New Roman"/>
          <w:noProof/>
          <w:szCs w:val="24"/>
        </w:rPr>
        <w:t xml:space="preserve">, </w:t>
      </w:r>
      <w:r w:rsidRPr="00AC5C84">
        <w:rPr>
          <w:rFonts w:cs="Times New Roman"/>
          <w:i/>
          <w:iCs/>
          <w:noProof/>
          <w:szCs w:val="24"/>
        </w:rPr>
        <w:t>12</w:t>
      </w:r>
      <w:r w:rsidRPr="00AC5C84">
        <w:rPr>
          <w:rFonts w:cs="Times New Roman"/>
          <w:noProof/>
          <w:szCs w:val="24"/>
        </w:rPr>
        <w:t>(2), 745–754. https://doi.org/10.1109/TII.2016.2530402</w:t>
      </w:r>
    </w:p>
    <w:p w14:paraId="152979F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Markova, A. A., Kopyrin, V. A., Deneko, M. V, Khamitov, R. N., &amp; Logunov, A. V. (2021). Investigation of transients in a submersible electric motor with a downhole compensator. </w:t>
      </w:r>
      <w:r w:rsidRPr="00AC5C84">
        <w:rPr>
          <w:rFonts w:cs="Times New Roman"/>
          <w:i/>
          <w:iCs/>
          <w:noProof/>
          <w:szCs w:val="24"/>
        </w:rPr>
        <w:t>Journal of Physics: Conference Series</w:t>
      </w:r>
      <w:r w:rsidRPr="00AC5C84">
        <w:rPr>
          <w:rFonts w:cs="Times New Roman"/>
          <w:noProof/>
          <w:szCs w:val="24"/>
        </w:rPr>
        <w:t xml:space="preserve">, </w:t>
      </w:r>
      <w:r w:rsidRPr="00AC5C84">
        <w:rPr>
          <w:rFonts w:cs="Times New Roman"/>
          <w:i/>
          <w:iCs/>
          <w:noProof/>
          <w:szCs w:val="24"/>
        </w:rPr>
        <w:t>1901</w:t>
      </w:r>
      <w:r w:rsidRPr="00AC5C84">
        <w:rPr>
          <w:rFonts w:cs="Times New Roman"/>
          <w:noProof/>
          <w:szCs w:val="24"/>
        </w:rPr>
        <w:t>(1), 12074.</w:t>
      </w:r>
    </w:p>
    <w:p w14:paraId="7339ACC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Martín García, J. A., &amp; Gil Mena, A. J. (2013). Optimal distributed generation location and size using a modified teaching–learning based optimization algorithm. </w:t>
      </w:r>
      <w:r w:rsidRPr="00AC5C84">
        <w:rPr>
          <w:rFonts w:cs="Times New Roman"/>
          <w:i/>
          <w:iCs/>
          <w:noProof/>
          <w:szCs w:val="24"/>
        </w:rPr>
        <w:t>International Journal of Electrical Power &amp; Energy Systems</w:t>
      </w:r>
      <w:r w:rsidRPr="00AC5C84">
        <w:rPr>
          <w:rFonts w:cs="Times New Roman"/>
          <w:noProof/>
          <w:szCs w:val="24"/>
        </w:rPr>
        <w:t xml:space="preserve">, </w:t>
      </w:r>
      <w:r w:rsidRPr="00AC5C84">
        <w:rPr>
          <w:rFonts w:cs="Times New Roman"/>
          <w:i/>
          <w:iCs/>
          <w:noProof/>
          <w:szCs w:val="24"/>
        </w:rPr>
        <w:t>50</w:t>
      </w:r>
      <w:r w:rsidRPr="00AC5C84">
        <w:rPr>
          <w:rFonts w:cs="Times New Roman"/>
          <w:noProof/>
          <w:szCs w:val="24"/>
        </w:rPr>
        <w:t>(1), 65–75. https://doi.org/10.1016/J.IJEPES.2013.02.023</w:t>
      </w:r>
    </w:p>
    <w:p w14:paraId="06A5841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Mas’Ud, A. A., Wirba, A. V., Ardila-Rey, J. A., Albarracín, R., Muhammad-Sukki, F., Jaramillo Duque, Á., Bani, N. A., &amp; Munir, A. B. (2017). Wind Power Potentials in Cameroon and Nigeria: Lessons from South Africa. </w:t>
      </w:r>
      <w:r w:rsidRPr="00AC5C84">
        <w:rPr>
          <w:rFonts w:cs="Times New Roman"/>
          <w:i/>
          <w:iCs/>
          <w:noProof/>
          <w:szCs w:val="24"/>
        </w:rPr>
        <w:t>Energies</w:t>
      </w:r>
      <w:r w:rsidRPr="00AC5C84">
        <w:rPr>
          <w:rFonts w:cs="Times New Roman"/>
          <w:noProof/>
          <w:szCs w:val="24"/>
        </w:rPr>
        <w:t xml:space="preserve">, </w:t>
      </w:r>
      <w:r w:rsidRPr="00AC5C84">
        <w:rPr>
          <w:rFonts w:cs="Times New Roman"/>
          <w:i/>
          <w:iCs/>
          <w:noProof/>
          <w:szCs w:val="24"/>
        </w:rPr>
        <w:t>10</w:t>
      </w:r>
      <w:r w:rsidRPr="00AC5C84">
        <w:rPr>
          <w:rFonts w:cs="Times New Roman"/>
          <w:noProof/>
          <w:szCs w:val="24"/>
        </w:rPr>
        <w:t>(4), 443. https://doi.org/10.3390/en10040443</w:t>
      </w:r>
    </w:p>
    <w:p w14:paraId="16CA2D4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Masters, G. M. (2013). </w:t>
      </w:r>
      <w:r w:rsidRPr="00AC5C84">
        <w:rPr>
          <w:rFonts w:cs="Times New Roman"/>
          <w:i/>
          <w:iCs/>
          <w:noProof/>
          <w:szCs w:val="24"/>
        </w:rPr>
        <w:t>Renewable and efficient electric power systems</w:t>
      </w:r>
      <w:r w:rsidRPr="00AC5C84">
        <w:rPr>
          <w:rFonts w:cs="Times New Roman"/>
          <w:noProof/>
          <w:szCs w:val="24"/>
        </w:rPr>
        <w:t xml:space="preserve"> (2nd ed.). John Wiley &amp; Sons.</w:t>
      </w:r>
    </w:p>
    <w:p w14:paraId="653776A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McNutt, P., Sekulic, W. R., &amp; Dreifuerst, G. (2018). Solar/Photovoltaic DC Systems: Basics and Safety. </w:t>
      </w:r>
      <w:r w:rsidRPr="00AC5C84">
        <w:rPr>
          <w:rFonts w:cs="Times New Roman"/>
          <w:i/>
          <w:iCs/>
          <w:noProof/>
          <w:szCs w:val="24"/>
        </w:rPr>
        <w:t>IEEE IAS Electrical Safety Workshop</w:t>
      </w:r>
      <w:r w:rsidRPr="00AC5C84">
        <w:rPr>
          <w:rFonts w:cs="Times New Roman"/>
          <w:noProof/>
          <w:szCs w:val="24"/>
        </w:rPr>
        <w:t xml:space="preserve">, </w:t>
      </w:r>
      <w:r w:rsidRPr="00AC5C84">
        <w:rPr>
          <w:rFonts w:cs="Times New Roman"/>
          <w:i/>
          <w:iCs/>
          <w:noProof/>
          <w:szCs w:val="24"/>
        </w:rPr>
        <w:t>2018</w:t>
      </w:r>
      <w:r w:rsidRPr="00AC5C84">
        <w:rPr>
          <w:rFonts w:cs="Times New Roman"/>
          <w:noProof/>
          <w:szCs w:val="24"/>
        </w:rPr>
        <w:t>-</w:t>
      </w:r>
      <w:r w:rsidRPr="00AC5C84">
        <w:rPr>
          <w:rFonts w:cs="Times New Roman"/>
          <w:i/>
          <w:iCs/>
          <w:noProof/>
          <w:szCs w:val="24"/>
        </w:rPr>
        <w:t>Janua</w:t>
      </w:r>
      <w:r w:rsidRPr="00AC5C84">
        <w:rPr>
          <w:rFonts w:cs="Times New Roman"/>
          <w:noProof/>
          <w:szCs w:val="24"/>
        </w:rPr>
        <w:t>. https://doi.org/10.1109/ESW41044.2018.9063869</w:t>
      </w:r>
    </w:p>
    <w:p w14:paraId="1BCF9C3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Mdee, O. J., Kimambo, C. Z., Nielsen, T. K., &amp; Kihedu, J. (2018). </w:t>
      </w:r>
      <w:r w:rsidRPr="00AC5C84">
        <w:rPr>
          <w:rFonts w:cs="Times New Roman"/>
          <w:i/>
          <w:iCs/>
          <w:noProof/>
          <w:szCs w:val="24"/>
        </w:rPr>
        <w:t>Measurement methods for hydropower resources : a review</w:t>
      </w:r>
      <w:r w:rsidRPr="00AC5C84">
        <w:rPr>
          <w:rFonts w:cs="Times New Roman"/>
          <w:noProof/>
          <w:szCs w:val="24"/>
        </w:rPr>
        <w:t>. 21–38.</w:t>
      </w:r>
    </w:p>
    <w:p w14:paraId="06A7CE2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Meegahapola, L. G., Bu, S., Wadduwage, D. P., Chung, C. Y., &amp; Yu, X. (2021). Review on Oscillatory Stability in Power Grids with Renewable Energy Sources: Monitoring, Analysis, and Control Using Synchrophasor Technology. </w:t>
      </w:r>
      <w:r w:rsidRPr="00AC5C84">
        <w:rPr>
          <w:rFonts w:cs="Times New Roman"/>
          <w:i/>
          <w:iCs/>
          <w:noProof/>
          <w:szCs w:val="24"/>
        </w:rPr>
        <w:t>IEEE Transactions on Industrial Electronics</w:t>
      </w:r>
      <w:r w:rsidRPr="00AC5C84">
        <w:rPr>
          <w:rFonts w:cs="Times New Roman"/>
          <w:noProof/>
          <w:szCs w:val="24"/>
        </w:rPr>
        <w:t xml:space="preserve">, </w:t>
      </w:r>
      <w:r w:rsidRPr="00AC5C84">
        <w:rPr>
          <w:rFonts w:cs="Times New Roman"/>
          <w:i/>
          <w:iCs/>
          <w:noProof/>
          <w:szCs w:val="24"/>
        </w:rPr>
        <w:t>68</w:t>
      </w:r>
      <w:r w:rsidRPr="00AC5C84">
        <w:rPr>
          <w:rFonts w:cs="Times New Roman"/>
          <w:noProof/>
          <w:szCs w:val="24"/>
        </w:rPr>
        <w:t>(1), 519–531. https://doi.org/10.1109/TIE.2020.2965455</w:t>
      </w:r>
    </w:p>
    <w:p w14:paraId="6E9BA90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Melnyk, L., Kubatko, O., Dehtyarova, I., Matsenko, O., &amp; Rozhko, O. (2019). The Effect of Industrial Revolutions On The Transformation of Social and Economic Systems. </w:t>
      </w:r>
      <w:r w:rsidRPr="00AC5C84">
        <w:rPr>
          <w:rFonts w:cs="Times New Roman"/>
          <w:i/>
          <w:iCs/>
          <w:noProof/>
          <w:szCs w:val="24"/>
        </w:rPr>
        <w:t>Problems and Perspectives in Management</w:t>
      </w:r>
      <w:r w:rsidRPr="00AC5C84">
        <w:rPr>
          <w:rFonts w:cs="Times New Roman"/>
          <w:noProof/>
          <w:szCs w:val="24"/>
        </w:rPr>
        <w:t xml:space="preserve">, </w:t>
      </w:r>
      <w:r w:rsidRPr="00AC5C84">
        <w:rPr>
          <w:rFonts w:cs="Times New Roman"/>
          <w:i/>
          <w:iCs/>
          <w:noProof/>
          <w:szCs w:val="24"/>
        </w:rPr>
        <w:t>17</w:t>
      </w:r>
      <w:r w:rsidRPr="00AC5C84">
        <w:rPr>
          <w:rFonts w:cs="Times New Roman"/>
          <w:noProof/>
          <w:szCs w:val="24"/>
        </w:rPr>
        <w:t>(4), 381–391. https://doi.org/10.21511/ppm.17(4).2019.31</w:t>
      </w:r>
    </w:p>
    <w:p w14:paraId="64B0074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Mihajlović, L. S., &amp; Trajković, S. (2018). The Importance of Energy For The Economy, Sustainable Development and Environmental Protection- An Economic Aspect. </w:t>
      </w:r>
      <w:r w:rsidRPr="00AC5C84">
        <w:rPr>
          <w:rFonts w:cs="Times New Roman"/>
          <w:i/>
          <w:iCs/>
          <w:noProof/>
          <w:szCs w:val="24"/>
        </w:rPr>
        <w:t>Journal of Process Management and New Technologies</w:t>
      </w:r>
      <w:r w:rsidRPr="00AC5C84">
        <w:rPr>
          <w:rFonts w:cs="Times New Roman"/>
          <w:noProof/>
          <w:szCs w:val="24"/>
        </w:rPr>
        <w:t xml:space="preserve">, </w:t>
      </w:r>
      <w:r w:rsidRPr="00AC5C84">
        <w:rPr>
          <w:rFonts w:cs="Times New Roman"/>
          <w:i/>
          <w:iCs/>
          <w:noProof/>
          <w:szCs w:val="24"/>
        </w:rPr>
        <w:t>6</w:t>
      </w:r>
      <w:r w:rsidRPr="00AC5C84">
        <w:rPr>
          <w:rFonts w:cs="Times New Roman"/>
          <w:noProof/>
          <w:szCs w:val="24"/>
        </w:rPr>
        <w:t>(1), 20–26. https://doi.org/10.5937/JOUPROMAN6-16221</w:t>
      </w:r>
    </w:p>
    <w:p w14:paraId="5013D5FB"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Moaveni, B., Fathabadi, F. R., &amp; Molavi, A. (2020). Supervisory predictive control for wheel slip prevention and tracking of desired speed profile in electric trains. </w:t>
      </w:r>
      <w:r w:rsidRPr="00AC5C84">
        <w:rPr>
          <w:rFonts w:cs="Times New Roman"/>
          <w:i/>
          <w:iCs/>
          <w:noProof/>
          <w:szCs w:val="24"/>
        </w:rPr>
        <w:t>ISA Transactions</w:t>
      </w:r>
      <w:r w:rsidRPr="00AC5C84">
        <w:rPr>
          <w:rFonts w:cs="Times New Roman"/>
          <w:noProof/>
          <w:szCs w:val="24"/>
        </w:rPr>
        <w:t xml:space="preserve">, </w:t>
      </w:r>
      <w:r w:rsidRPr="00AC5C84">
        <w:rPr>
          <w:rFonts w:cs="Times New Roman"/>
          <w:i/>
          <w:iCs/>
          <w:noProof/>
          <w:szCs w:val="24"/>
        </w:rPr>
        <w:t>101</w:t>
      </w:r>
      <w:r w:rsidRPr="00AC5C84">
        <w:rPr>
          <w:rFonts w:cs="Times New Roman"/>
          <w:noProof/>
          <w:szCs w:val="24"/>
        </w:rPr>
        <w:t>, 102–115. https://doi.org/10.1016/J.ISATRA.2020.01.011</w:t>
      </w:r>
    </w:p>
    <w:p w14:paraId="2404D7F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Modarresi, J., Gholipour, E., &amp; Khodabakhshian, A. (2016). A comprehensive review of the voltage stability indices.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63</w:t>
      </w:r>
      <w:r w:rsidRPr="00AC5C84">
        <w:rPr>
          <w:rFonts w:cs="Times New Roman"/>
          <w:noProof/>
          <w:szCs w:val="24"/>
        </w:rPr>
        <w:t>, 1–12. https://doi.org/10.1016/j.rser.2016.05.010</w:t>
      </w:r>
    </w:p>
    <w:p w14:paraId="68DD4FFB"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Mohamed, A. K., Dan, L., Kai, S., Mohamed, M. A. A., Aldaw, E., &amp; Elubid, B. A. (2019). Hydrochemical Analysis and Fuzzy Logic Method for Evaluation of Groundwater Quality in the North Chengdu Plain, China. </w:t>
      </w:r>
      <w:r w:rsidRPr="00AC5C84">
        <w:rPr>
          <w:rFonts w:cs="Times New Roman"/>
          <w:i/>
          <w:iCs/>
          <w:noProof/>
          <w:szCs w:val="24"/>
        </w:rPr>
        <w:t>International Journal of Environmental Research and Public Health 2019, Vol. 16, Page 302</w:t>
      </w:r>
      <w:r w:rsidRPr="00AC5C84">
        <w:rPr>
          <w:rFonts w:cs="Times New Roman"/>
          <w:noProof/>
          <w:szCs w:val="24"/>
        </w:rPr>
        <w:t xml:space="preserve">, </w:t>
      </w:r>
      <w:r w:rsidRPr="00AC5C84">
        <w:rPr>
          <w:rFonts w:cs="Times New Roman"/>
          <w:i/>
          <w:iCs/>
          <w:noProof/>
          <w:szCs w:val="24"/>
        </w:rPr>
        <w:t>16</w:t>
      </w:r>
      <w:r w:rsidRPr="00AC5C84">
        <w:rPr>
          <w:rFonts w:cs="Times New Roman"/>
          <w:noProof/>
          <w:szCs w:val="24"/>
        </w:rPr>
        <w:t>(3), 302. https://doi.org/10.3390/IJERPH16030302</w:t>
      </w:r>
    </w:p>
    <w:p w14:paraId="0D522DB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Molyneaux, L., Wagner, L., &amp; Foster, J. (2016). Rural electrification in India: Galilee Basin coal versus decentralised renewable energy micro grids. </w:t>
      </w:r>
      <w:r w:rsidRPr="00AC5C84">
        <w:rPr>
          <w:rFonts w:cs="Times New Roman"/>
          <w:i/>
          <w:iCs/>
          <w:noProof/>
          <w:szCs w:val="24"/>
        </w:rPr>
        <w:t>Renewable Energy</w:t>
      </w:r>
      <w:r w:rsidRPr="00AC5C84">
        <w:rPr>
          <w:rFonts w:cs="Times New Roman"/>
          <w:noProof/>
          <w:szCs w:val="24"/>
        </w:rPr>
        <w:t xml:space="preserve">, </w:t>
      </w:r>
      <w:r w:rsidRPr="00AC5C84">
        <w:rPr>
          <w:rFonts w:cs="Times New Roman"/>
          <w:i/>
          <w:iCs/>
          <w:noProof/>
          <w:szCs w:val="24"/>
        </w:rPr>
        <w:t>89</w:t>
      </w:r>
      <w:r w:rsidRPr="00AC5C84">
        <w:rPr>
          <w:rFonts w:cs="Times New Roman"/>
          <w:noProof/>
          <w:szCs w:val="24"/>
        </w:rPr>
        <w:t>, 422–436. https://doi.org/10.1016/J.RENENE.2015.12.002</w:t>
      </w:r>
    </w:p>
    <w:p w14:paraId="24AFD38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Mostafaeipour, A., Rezaei, M., Jahangiri, M., &amp; Qolipour, M. (2019). Feasibility analysis of a new tree-shaped wind turbine for urban application: A case study: </w:t>
      </w:r>
      <w:r w:rsidRPr="00AC5C84">
        <w:rPr>
          <w:rFonts w:cs="Times New Roman"/>
          <w:i/>
          <w:iCs/>
          <w:noProof/>
          <w:szCs w:val="24"/>
        </w:rPr>
        <w:t>Https://Doi.Org/10.1177/0958305X19888878</w:t>
      </w:r>
      <w:r w:rsidRPr="00AC5C84">
        <w:rPr>
          <w:rFonts w:cs="Times New Roman"/>
          <w:noProof/>
          <w:szCs w:val="24"/>
        </w:rPr>
        <w:t xml:space="preserve">, </w:t>
      </w:r>
      <w:r w:rsidRPr="00AC5C84">
        <w:rPr>
          <w:rFonts w:cs="Times New Roman"/>
          <w:i/>
          <w:iCs/>
          <w:noProof/>
          <w:szCs w:val="24"/>
        </w:rPr>
        <w:t>31</w:t>
      </w:r>
      <w:r w:rsidRPr="00AC5C84">
        <w:rPr>
          <w:rFonts w:cs="Times New Roman"/>
          <w:noProof/>
          <w:szCs w:val="24"/>
        </w:rPr>
        <w:t>(7), 1230–1256. https://doi.org/10.1177/0958305X19888878</w:t>
      </w:r>
    </w:p>
    <w:p w14:paraId="08523E3B"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Muñoz-Cruzado-Alba, J., Rojas, C. A., Kouro, S., &amp; Díez, E. G. (2016). Power production losses study by frequency regulation in weak-grid-connected utility-scale photovoltaic plants. </w:t>
      </w:r>
      <w:r w:rsidRPr="00AC5C84">
        <w:rPr>
          <w:rFonts w:cs="Times New Roman"/>
          <w:i/>
          <w:iCs/>
          <w:noProof/>
          <w:szCs w:val="24"/>
        </w:rPr>
        <w:t>Energies</w:t>
      </w:r>
      <w:r w:rsidRPr="00AC5C84">
        <w:rPr>
          <w:rFonts w:cs="Times New Roman"/>
          <w:noProof/>
          <w:szCs w:val="24"/>
        </w:rPr>
        <w:t xml:space="preserve">, </w:t>
      </w:r>
      <w:r w:rsidRPr="00AC5C84">
        <w:rPr>
          <w:rFonts w:cs="Times New Roman"/>
          <w:i/>
          <w:iCs/>
          <w:noProof/>
          <w:szCs w:val="24"/>
        </w:rPr>
        <w:t>9</w:t>
      </w:r>
      <w:r w:rsidRPr="00AC5C84">
        <w:rPr>
          <w:rFonts w:cs="Times New Roman"/>
          <w:noProof/>
          <w:szCs w:val="24"/>
        </w:rPr>
        <w:t>(5), 1–21. https://doi.org/10.3390/en9050317</w:t>
      </w:r>
    </w:p>
    <w:p w14:paraId="562A17A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Naderipour, A., Abdul-Malek, Z., Abohamzeh, E., Ramachandaramurthy, V. K., &amp; Miveh, M. R. (2018). Control strategy of Grid-Connected PV Inverters in Microgrid with Nonlinear Operating Conditions. </w:t>
      </w:r>
      <w:r w:rsidRPr="00AC5C84">
        <w:rPr>
          <w:rFonts w:cs="Times New Roman"/>
          <w:i/>
          <w:iCs/>
          <w:noProof/>
          <w:szCs w:val="24"/>
        </w:rPr>
        <w:t>2018 IEEE 7th International Conference on Power and Energy, PECon 2018</w:t>
      </w:r>
      <w:r w:rsidRPr="00AC5C84">
        <w:rPr>
          <w:rFonts w:cs="Times New Roman"/>
          <w:noProof/>
          <w:szCs w:val="24"/>
        </w:rPr>
        <w:t>, 45–49. https://doi.org/10.1109/PECON.2018.8684119</w:t>
      </w:r>
    </w:p>
    <w:p w14:paraId="27DA40A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NASA. (2022). </w:t>
      </w:r>
      <w:r w:rsidRPr="00AC5C84">
        <w:rPr>
          <w:rFonts w:cs="Times New Roman"/>
          <w:i/>
          <w:iCs/>
          <w:noProof/>
          <w:szCs w:val="24"/>
        </w:rPr>
        <w:t>Prediction of Worldwide Energy Resources (POWER)</w:t>
      </w:r>
      <w:r w:rsidRPr="00AC5C84">
        <w:rPr>
          <w:rFonts w:cs="Times New Roman"/>
          <w:noProof/>
          <w:szCs w:val="24"/>
        </w:rPr>
        <w:t>. https://power.larc.nasa.gov/data-access-viewer/</w:t>
      </w:r>
    </w:p>
    <w:p w14:paraId="7AF012F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Niu, S., Zhang, Z., Ke, X., Zhang, G., Huo, C., &amp; Qin, B. (2022). Impact of renewable energy penetration rate on power system transient voltage stability. </w:t>
      </w:r>
      <w:r w:rsidRPr="00AC5C84">
        <w:rPr>
          <w:rFonts w:cs="Times New Roman"/>
          <w:i/>
          <w:iCs/>
          <w:noProof/>
          <w:szCs w:val="24"/>
        </w:rPr>
        <w:t>Energy Reports</w:t>
      </w:r>
      <w:r w:rsidRPr="00AC5C84">
        <w:rPr>
          <w:rFonts w:cs="Times New Roman"/>
          <w:noProof/>
          <w:szCs w:val="24"/>
        </w:rPr>
        <w:t xml:space="preserve">, </w:t>
      </w:r>
      <w:r w:rsidRPr="00AC5C84">
        <w:rPr>
          <w:rFonts w:cs="Times New Roman"/>
          <w:i/>
          <w:iCs/>
          <w:noProof/>
          <w:szCs w:val="24"/>
        </w:rPr>
        <w:t>8</w:t>
      </w:r>
      <w:r w:rsidRPr="00AC5C84">
        <w:rPr>
          <w:rFonts w:cs="Times New Roman"/>
          <w:noProof/>
          <w:szCs w:val="24"/>
        </w:rPr>
        <w:t>, 487–492. https://doi.org/10.1016/j.egyr.2021.11.160</w:t>
      </w:r>
    </w:p>
    <w:p w14:paraId="6714CA6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Ogbonnaya, C., Abeykoon, C., Damo, U. M., &amp; Turan, A. (2019). The current and emerging renewable energy technologies for power generation in Nigeria: A review. </w:t>
      </w:r>
      <w:r w:rsidRPr="00AC5C84">
        <w:rPr>
          <w:rFonts w:cs="Times New Roman"/>
          <w:i/>
          <w:iCs/>
          <w:noProof/>
          <w:szCs w:val="24"/>
        </w:rPr>
        <w:t>Thermal Science and Engineering Progress</w:t>
      </w:r>
      <w:r w:rsidRPr="00AC5C84">
        <w:rPr>
          <w:rFonts w:cs="Times New Roman"/>
          <w:noProof/>
          <w:szCs w:val="24"/>
        </w:rPr>
        <w:t xml:space="preserve">, </w:t>
      </w:r>
      <w:r w:rsidRPr="00AC5C84">
        <w:rPr>
          <w:rFonts w:cs="Times New Roman"/>
          <w:i/>
          <w:iCs/>
          <w:noProof/>
          <w:szCs w:val="24"/>
        </w:rPr>
        <w:t>13</w:t>
      </w:r>
      <w:r w:rsidRPr="00AC5C84">
        <w:rPr>
          <w:rFonts w:cs="Times New Roman"/>
          <w:noProof/>
          <w:szCs w:val="24"/>
        </w:rPr>
        <w:t>, 100390. https://doi.org/10.1016/J.TSEP.2019.100390</w:t>
      </w:r>
    </w:p>
    <w:p w14:paraId="23A59348"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Okolie, S. T. A., Ozuor, O., Fakehinde, O., Ongbali, S. O., Fayomi, O. S. I., &amp; Agu, F. A. (2019). Study of Nigeria geothermal energy resources’ viability, brief production techniques and transportation. </w:t>
      </w:r>
      <w:r w:rsidRPr="00AC5C84">
        <w:rPr>
          <w:rFonts w:cs="Times New Roman"/>
          <w:i/>
          <w:iCs/>
          <w:noProof/>
          <w:szCs w:val="24"/>
        </w:rPr>
        <w:t>Energy Procedia</w:t>
      </w:r>
      <w:r w:rsidRPr="00AC5C84">
        <w:rPr>
          <w:rFonts w:cs="Times New Roman"/>
          <w:noProof/>
          <w:szCs w:val="24"/>
        </w:rPr>
        <w:t xml:space="preserve">, </w:t>
      </w:r>
      <w:r w:rsidRPr="00AC5C84">
        <w:rPr>
          <w:rFonts w:cs="Times New Roman"/>
          <w:i/>
          <w:iCs/>
          <w:noProof/>
          <w:szCs w:val="24"/>
        </w:rPr>
        <w:t>157</w:t>
      </w:r>
      <w:r w:rsidRPr="00AC5C84">
        <w:rPr>
          <w:rFonts w:cs="Times New Roman"/>
          <w:noProof/>
          <w:szCs w:val="24"/>
        </w:rPr>
        <w:t>, 1475–1485. https://doi.org/10.1016/j.egypro.2018.11.312</w:t>
      </w:r>
    </w:p>
    <w:p w14:paraId="220FFE0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Olujobi, O. M. J., Ufua, D. E., Olokundun, M., &amp; Olujobi, O. M. J. (2021). Conversion of organic wastes to electricity in Nigeria: legal perspective on the challenges and prospects. </w:t>
      </w:r>
      <w:r w:rsidRPr="00AC5C84">
        <w:rPr>
          <w:rFonts w:cs="Times New Roman"/>
          <w:i/>
          <w:iCs/>
          <w:noProof/>
          <w:szCs w:val="24"/>
        </w:rPr>
        <w:t>International Journal of Environmental Science and Technology</w:t>
      </w:r>
      <w:r w:rsidRPr="00AC5C84">
        <w:rPr>
          <w:rFonts w:cs="Times New Roman"/>
          <w:noProof/>
          <w:szCs w:val="24"/>
        </w:rPr>
        <w:t>. https://doi.org/10.1007/s13762-020-03059-3</w:t>
      </w:r>
    </w:p>
    <w:p w14:paraId="5A9160A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Olulope, P. (2014). </w:t>
      </w:r>
      <w:r w:rsidRPr="00AC5C84">
        <w:rPr>
          <w:rFonts w:cs="Times New Roman"/>
          <w:i/>
          <w:iCs/>
          <w:noProof/>
          <w:szCs w:val="24"/>
        </w:rPr>
        <w:t>Transient Stability Assessment of Hybrid Distributed Generation Using Computational Intelligence Approaches</w:t>
      </w:r>
      <w:r w:rsidRPr="00AC5C84">
        <w:rPr>
          <w:rFonts w:cs="Times New Roman"/>
          <w:noProof/>
          <w:szCs w:val="24"/>
        </w:rPr>
        <w:t>. University of Cape Town.</w:t>
      </w:r>
    </w:p>
    <w:p w14:paraId="1636E30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Olulope, P. K., Folly, K. A., &amp; Venayagamoorthy, G. K. (2013). Modeling and simulation of hybrid distributed generation and its impact on transient stability of power system. </w:t>
      </w:r>
      <w:r w:rsidRPr="00AC5C84">
        <w:rPr>
          <w:rFonts w:cs="Times New Roman"/>
          <w:i/>
          <w:iCs/>
          <w:noProof/>
          <w:szCs w:val="24"/>
        </w:rPr>
        <w:t>Proceedings of the IEEE International Conference on Industrial Technology</w:t>
      </w:r>
      <w:r w:rsidRPr="00AC5C84">
        <w:rPr>
          <w:rFonts w:cs="Times New Roman"/>
          <w:noProof/>
          <w:szCs w:val="24"/>
        </w:rPr>
        <w:t>, 1757–1762. https://doi.org/10.1109/ICIT.2013.6505941</w:t>
      </w:r>
    </w:p>
    <w:p w14:paraId="52AF778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Osei, M. A., Amekudzi, L. K., Omari-Sasu, A. Y., Yamba, E. I., Quansah, E., Aryee, J. N. A., &amp; Preko, K. (2021). Estimation of the return periods of maxima rainfall and floods at the Pra River Catchment, Ghana, West Africa using the Gumbel extreme value theory. </w:t>
      </w:r>
      <w:r w:rsidRPr="00AC5C84">
        <w:rPr>
          <w:rFonts w:cs="Times New Roman"/>
          <w:i/>
          <w:iCs/>
          <w:noProof/>
          <w:szCs w:val="24"/>
        </w:rPr>
        <w:t>Heliyon</w:t>
      </w:r>
      <w:r w:rsidRPr="00AC5C84">
        <w:rPr>
          <w:rFonts w:cs="Times New Roman"/>
          <w:noProof/>
          <w:szCs w:val="24"/>
        </w:rPr>
        <w:t xml:space="preserve">, </w:t>
      </w:r>
      <w:r w:rsidRPr="00AC5C84">
        <w:rPr>
          <w:rFonts w:cs="Times New Roman"/>
          <w:i/>
          <w:iCs/>
          <w:noProof/>
          <w:szCs w:val="24"/>
        </w:rPr>
        <w:t>7</w:t>
      </w:r>
      <w:r w:rsidRPr="00AC5C84">
        <w:rPr>
          <w:rFonts w:cs="Times New Roman"/>
          <w:noProof/>
          <w:szCs w:val="24"/>
        </w:rPr>
        <w:t>(5), e06980. https://doi.org/10.1016/J.HELIYON.2021.E06980</w:t>
      </w:r>
    </w:p>
    <w:p w14:paraId="3088570C"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Ou, K., Yuan, W.-W., &amp; Kim, Y.-B. (2021). Development of optimal energy management for a residential fuel cell hybrid power system with heat recovery. </w:t>
      </w:r>
      <w:r w:rsidRPr="00AC5C84">
        <w:rPr>
          <w:rFonts w:cs="Times New Roman"/>
          <w:i/>
          <w:iCs/>
          <w:noProof/>
          <w:szCs w:val="24"/>
        </w:rPr>
        <w:t>Energy</w:t>
      </w:r>
      <w:r w:rsidRPr="00AC5C84">
        <w:rPr>
          <w:rFonts w:cs="Times New Roman"/>
          <w:noProof/>
          <w:szCs w:val="24"/>
        </w:rPr>
        <w:t xml:space="preserve">, </w:t>
      </w:r>
      <w:r w:rsidRPr="00AC5C84">
        <w:rPr>
          <w:rFonts w:cs="Times New Roman"/>
          <w:i/>
          <w:iCs/>
          <w:noProof/>
          <w:szCs w:val="24"/>
        </w:rPr>
        <w:t>219</w:t>
      </w:r>
      <w:r w:rsidRPr="00AC5C84">
        <w:rPr>
          <w:rFonts w:cs="Times New Roman"/>
          <w:noProof/>
          <w:szCs w:val="24"/>
        </w:rPr>
        <w:t>, 119499. https://doi.org/https://doi.org/10.1016/j.energy.2020.119499</w:t>
      </w:r>
    </w:p>
    <w:p w14:paraId="7980304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Pampillón, P., Santillán, D., Mosquera, J. C., &amp; Cueto-Felgueroso, L. (2018). Dynamic and Quasi-Dynamic Modeling of Injection-Induced Earthquakes in Poroelastic Media. </w:t>
      </w:r>
      <w:r w:rsidRPr="00AC5C84">
        <w:rPr>
          <w:rFonts w:cs="Times New Roman"/>
          <w:i/>
          <w:iCs/>
          <w:noProof/>
          <w:szCs w:val="24"/>
        </w:rPr>
        <w:t>Journal of Geophysical Research: Solid Earth</w:t>
      </w:r>
      <w:r w:rsidRPr="00AC5C84">
        <w:rPr>
          <w:rFonts w:cs="Times New Roman"/>
          <w:noProof/>
          <w:szCs w:val="24"/>
        </w:rPr>
        <w:t xml:space="preserve">, </w:t>
      </w:r>
      <w:r w:rsidRPr="00AC5C84">
        <w:rPr>
          <w:rFonts w:cs="Times New Roman"/>
          <w:i/>
          <w:iCs/>
          <w:noProof/>
          <w:szCs w:val="24"/>
        </w:rPr>
        <w:t>123</w:t>
      </w:r>
      <w:r w:rsidRPr="00AC5C84">
        <w:rPr>
          <w:rFonts w:cs="Times New Roman"/>
          <w:noProof/>
          <w:szCs w:val="24"/>
        </w:rPr>
        <w:t>(7), 5730–5759. https://doi.org/10.1029/2018JB015533</w:t>
      </w:r>
    </w:p>
    <w:p w14:paraId="45C8706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Parol, M., Piotrowski, P., Kapler, P., &amp; Piotrowski, M. (2021). Forecasting of 10-Second Power Demand of Highly Variable Loads for Microgrid Operation Control. </w:t>
      </w:r>
      <w:r w:rsidRPr="00AC5C84">
        <w:rPr>
          <w:rFonts w:cs="Times New Roman"/>
          <w:i/>
          <w:iCs/>
          <w:noProof/>
          <w:szCs w:val="24"/>
        </w:rPr>
        <w:t>Energies 2021, Vol. 14, Page 1290</w:t>
      </w:r>
      <w:r w:rsidRPr="00AC5C84">
        <w:rPr>
          <w:rFonts w:cs="Times New Roman"/>
          <w:noProof/>
          <w:szCs w:val="24"/>
        </w:rPr>
        <w:t xml:space="preserve">, </w:t>
      </w:r>
      <w:r w:rsidRPr="00AC5C84">
        <w:rPr>
          <w:rFonts w:cs="Times New Roman"/>
          <w:i/>
          <w:iCs/>
          <w:noProof/>
          <w:szCs w:val="24"/>
        </w:rPr>
        <w:t>14</w:t>
      </w:r>
      <w:r w:rsidRPr="00AC5C84">
        <w:rPr>
          <w:rFonts w:cs="Times New Roman"/>
          <w:noProof/>
          <w:szCs w:val="24"/>
        </w:rPr>
        <w:t>(5), 1290. https://doi.org/10.3390/EN14051290</w:t>
      </w:r>
    </w:p>
    <w:p w14:paraId="358DE9A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Parol, M., Piotrowski, P., &amp; Piotrowski, M. (2019). Very short-term forecasting of power demand of big dynamics objects. </w:t>
      </w:r>
      <w:r w:rsidRPr="00AC5C84">
        <w:rPr>
          <w:rFonts w:cs="Times New Roman"/>
          <w:i/>
          <w:iCs/>
          <w:noProof/>
          <w:szCs w:val="24"/>
        </w:rPr>
        <w:t>E3S Web of Conferences</w:t>
      </w:r>
      <w:r w:rsidRPr="00AC5C84">
        <w:rPr>
          <w:rFonts w:cs="Times New Roman"/>
          <w:noProof/>
          <w:szCs w:val="24"/>
        </w:rPr>
        <w:t xml:space="preserve">, </w:t>
      </w:r>
      <w:r w:rsidRPr="00AC5C84">
        <w:rPr>
          <w:rFonts w:cs="Times New Roman"/>
          <w:i/>
          <w:iCs/>
          <w:noProof/>
          <w:szCs w:val="24"/>
        </w:rPr>
        <w:t>84</w:t>
      </w:r>
      <w:r w:rsidRPr="00AC5C84">
        <w:rPr>
          <w:rFonts w:cs="Times New Roman"/>
          <w:noProof/>
          <w:szCs w:val="24"/>
        </w:rPr>
        <w:t>, 01007. https://doi.org/10.1051/E3SCONF/20198401007</w:t>
      </w:r>
    </w:p>
    <w:p w14:paraId="20488BC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Pedrycz, W., Sillitti, A., &amp; Succi, G. (2016). Computational intelligence: An introduction. In </w:t>
      </w:r>
      <w:r w:rsidRPr="00AC5C84">
        <w:rPr>
          <w:rFonts w:cs="Times New Roman"/>
          <w:i/>
          <w:iCs/>
          <w:noProof/>
          <w:szCs w:val="24"/>
        </w:rPr>
        <w:t>Studies in Computational Intelligence</w:t>
      </w:r>
      <w:r w:rsidRPr="00AC5C84">
        <w:rPr>
          <w:rFonts w:cs="Times New Roman"/>
          <w:noProof/>
          <w:szCs w:val="24"/>
        </w:rPr>
        <w:t xml:space="preserve"> (Vol. 617, pp. 13–31). https://doi.org/10.1007/978-3-319-25964-2_2</w:t>
      </w:r>
    </w:p>
    <w:p w14:paraId="1A26ECF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Pintér, G., Vincze, A., Baranyai, N. H., &amp; Zsiborács, H. (2021). Boat-to-Grid Electrical Energy Storage Potentials around the Largest Lake in Central Europe. </w:t>
      </w:r>
      <w:r w:rsidRPr="00AC5C84">
        <w:rPr>
          <w:rFonts w:cs="Times New Roman"/>
          <w:i/>
          <w:iCs/>
          <w:noProof/>
          <w:szCs w:val="24"/>
        </w:rPr>
        <w:t>Applied Sciences 2021, Vol. 11, Page 7178</w:t>
      </w:r>
      <w:r w:rsidRPr="00AC5C84">
        <w:rPr>
          <w:rFonts w:cs="Times New Roman"/>
          <w:noProof/>
          <w:szCs w:val="24"/>
        </w:rPr>
        <w:t xml:space="preserve">, </w:t>
      </w:r>
      <w:r w:rsidRPr="00AC5C84">
        <w:rPr>
          <w:rFonts w:cs="Times New Roman"/>
          <w:i/>
          <w:iCs/>
          <w:noProof/>
          <w:szCs w:val="24"/>
        </w:rPr>
        <w:t>11</w:t>
      </w:r>
      <w:r w:rsidRPr="00AC5C84">
        <w:rPr>
          <w:rFonts w:cs="Times New Roman"/>
          <w:noProof/>
          <w:szCs w:val="24"/>
        </w:rPr>
        <w:t>(16), 7178. https://doi.org/10.3390/APP11167178</w:t>
      </w:r>
    </w:p>
    <w:p w14:paraId="625CB45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Pinto, R., Mariano, S., Calado, M. D. R., &amp; De Souza, J. F. (2016). Impact of rural grid-connected photovoltaic generation systems on power quality. </w:t>
      </w:r>
      <w:r w:rsidRPr="00AC5C84">
        <w:rPr>
          <w:rFonts w:cs="Times New Roman"/>
          <w:i/>
          <w:iCs/>
          <w:noProof/>
          <w:szCs w:val="24"/>
        </w:rPr>
        <w:t>Energies</w:t>
      </w:r>
      <w:r w:rsidRPr="00AC5C84">
        <w:rPr>
          <w:rFonts w:cs="Times New Roman"/>
          <w:noProof/>
          <w:szCs w:val="24"/>
        </w:rPr>
        <w:t xml:space="preserve">, </w:t>
      </w:r>
      <w:r w:rsidRPr="00AC5C84">
        <w:rPr>
          <w:rFonts w:cs="Times New Roman"/>
          <w:i/>
          <w:iCs/>
          <w:noProof/>
          <w:szCs w:val="24"/>
        </w:rPr>
        <w:t>9</w:t>
      </w:r>
      <w:r w:rsidRPr="00AC5C84">
        <w:rPr>
          <w:rFonts w:cs="Times New Roman"/>
          <w:noProof/>
          <w:szCs w:val="24"/>
        </w:rPr>
        <w:t>(9), 1–15. https://doi.org/10.3390/en9090739</w:t>
      </w:r>
    </w:p>
    <w:p w14:paraId="1980335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Przygrodzki, M., &amp; Kubek, P. (2020). The Polish Practice of Probabilistic Approach in Power System Development Planning. </w:t>
      </w:r>
      <w:r w:rsidRPr="00AC5C84">
        <w:rPr>
          <w:rFonts w:cs="Times New Roman"/>
          <w:i/>
          <w:iCs/>
          <w:noProof/>
          <w:szCs w:val="24"/>
        </w:rPr>
        <w:t>Energies 2021, Vol. 14, Page 161</w:t>
      </w:r>
      <w:r w:rsidRPr="00AC5C84">
        <w:rPr>
          <w:rFonts w:cs="Times New Roman"/>
          <w:noProof/>
          <w:szCs w:val="24"/>
        </w:rPr>
        <w:t xml:space="preserve">, </w:t>
      </w:r>
      <w:r w:rsidRPr="00AC5C84">
        <w:rPr>
          <w:rFonts w:cs="Times New Roman"/>
          <w:i/>
          <w:iCs/>
          <w:noProof/>
          <w:szCs w:val="24"/>
        </w:rPr>
        <w:t>14</w:t>
      </w:r>
      <w:r w:rsidRPr="00AC5C84">
        <w:rPr>
          <w:rFonts w:cs="Times New Roman"/>
          <w:noProof/>
          <w:szCs w:val="24"/>
        </w:rPr>
        <w:t>(1), 161. https://doi.org/10.3390/EN14010161</w:t>
      </w:r>
    </w:p>
    <w:p w14:paraId="663D9AF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Rama Prabha, D., &amp; Jayabarathi, T. (2016). Optimal placement and sizing of multiple distributed generating units in distribution networks by invasive weed optimization algorithm. </w:t>
      </w:r>
      <w:r w:rsidRPr="00AC5C84">
        <w:rPr>
          <w:rFonts w:cs="Times New Roman"/>
          <w:i/>
          <w:iCs/>
          <w:noProof/>
          <w:szCs w:val="24"/>
        </w:rPr>
        <w:t>Ain Shams Engineering Journal</w:t>
      </w:r>
      <w:r w:rsidRPr="00AC5C84">
        <w:rPr>
          <w:rFonts w:cs="Times New Roman"/>
          <w:noProof/>
          <w:szCs w:val="24"/>
        </w:rPr>
        <w:t xml:space="preserve">, </w:t>
      </w:r>
      <w:r w:rsidRPr="00AC5C84">
        <w:rPr>
          <w:rFonts w:cs="Times New Roman"/>
          <w:i/>
          <w:iCs/>
          <w:noProof/>
          <w:szCs w:val="24"/>
        </w:rPr>
        <w:t>7</w:t>
      </w:r>
      <w:r w:rsidRPr="00AC5C84">
        <w:rPr>
          <w:rFonts w:cs="Times New Roman"/>
          <w:noProof/>
          <w:szCs w:val="24"/>
        </w:rPr>
        <w:t>(2), 683–694. https://doi.org/10.1016/J.ASEJ.2015.05.014</w:t>
      </w:r>
    </w:p>
    <w:p w14:paraId="646EEF3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Rama Prabha, D., Jayabarathi, T., Umamageswari, R., &amp; Saranya, S. (2015). Optimal location and sizing of distributed generation unit using intelligent water drop algorithm. </w:t>
      </w:r>
      <w:r w:rsidRPr="00AC5C84">
        <w:rPr>
          <w:rFonts w:cs="Times New Roman"/>
          <w:i/>
          <w:iCs/>
          <w:noProof/>
          <w:szCs w:val="24"/>
        </w:rPr>
        <w:t>Sustainable Energy Technologies and Assessments</w:t>
      </w:r>
      <w:r w:rsidRPr="00AC5C84">
        <w:rPr>
          <w:rFonts w:cs="Times New Roman"/>
          <w:noProof/>
          <w:szCs w:val="24"/>
        </w:rPr>
        <w:t xml:space="preserve">, </w:t>
      </w:r>
      <w:r w:rsidRPr="00AC5C84">
        <w:rPr>
          <w:rFonts w:cs="Times New Roman"/>
          <w:i/>
          <w:iCs/>
          <w:noProof/>
          <w:szCs w:val="24"/>
        </w:rPr>
        <w:t>11</w:t>
      </w:r>
      <w:r w:rsidRPr="00AC5C84">
        <w:rPr>
          <w:rFonts w:cs="Times New Roman"/>
          <w:noProof/>
          <w:szCs w:val="24"/>
        </w:rPr>
        <w:t>, 106–113. https://doi.org/10.1016/J.SETA.2015.07.003</w:t>
      </w:r>
    </w:p>
    <w:p w14:paraId="0EDAEF2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Rawa, M., Abusorrah, A., Bassi, H., Mekhilef, S., Ali, Z. M., Abdel Aleem, S. H. E., Hasanien, H. M., &amp; Omar, A. I. (2021). Economical-technical-environmental operation of power networks with wind-solar-hydropower generation using analytic hierarchy process and improved grey wolf algorithm. </w:t>
      </w:r>
      <w:r w:rsidRPr="00AC5C84">
        <w:rPr>
          <w:rFonts w:cs="Times New Roman"/>
          <w:i/>
          <w:iCs/>
          <w:noProof/>
          <w:szCs w:val="24"/>
        </w:rPr>
        <w:t>Ain Shams Engineering Journal</w:t>
      </w:r>
      <w:r w:rsidRPr="00AC5C84">
        <w:rPr>
          <w:rFonts w:cs="Times New Roman"/>
          <w:noProof/>
          <w:szCs w:val="24"/>
        </w:rPr>
        <w:t xml:space="preserve">, </w:t>
      </w:r>
      <w:r w:rsidRPr="00AC5C84">
        <w:rPr>
          <w:rFonts w:cs="Times New Roman"/>
          <w:i/>
          <w:iCs/>
          <w:noProof/>
          <w:szCs w:val="24"/>
        </w:rPr>
        <w:t>12</w:t>
      </w:r>
      <w:r w:rsidRPr="00AC5C84">
        <w:rPr>
          <w:rFonts w:cs="Times New Roman"/>
          <w:noProof/>
          <w:szCs w:val="24"/>
        </w:rPr>
        <w:t>(3), 2717–2734. https://doi.org/10.1016/J.ASEJ.2021.02.004</w:t>
      </w:r>
    </w:p>
    <w:p w14:paraId="0014DE5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Rawat, G. S., &amp; Sathans. (2018). Survey on DC microgrid architecture, power quality issues and control strategies. </w:t>
      </w:r>
      <w:r w:rsidRPr="00AC5C84">
        <w:rPr>
          <w:rFonts w:cs="Times New Roman"/>
          <w:i/>
          <w:iCs/>
          <w:noProof/>
          <w:szCs w:val="24"/>
        </w:rPr>
        <w:t>Proceedings of the 2nd International Conference on Inventive Systems and Control, ICISC 2018</w:t>
      </w:r>
      <w:r w:rsidRPr="00AC5C84">
        <w:rPr>
          <w:rFonts w:cs="Times New Roman"/>
          <w:noProof/>
          <w:szCs w:val="24"/>
        </w:rPr>
        <w:t xml:space="preserve">, </w:t>
      </w:r>
      <w:r w:rsidRPr="00AC5C84">
        <w:rPr>
          <w:rFonts w:cs="Times New Roman"/>
          <w:i/>
          <w:iCs/>
          <w:noProof/>
          <w:szCs w:val="24"/>
        </w:rPr>
        <w:t>Icisc</w:t>
      </w:r>
      <w:r w:rsidRPr="00AC5C84">
        <w:rPr>
          <w:rFonts w:cs="Times New Roman"/>
          <w:noProof/>
          <w:szCs w:val="24"/>
        </w:rPr>
        <w:t>, 500–505. https://doi.org/10.1109/ICISC.2018.8399123</w:t>
      </w:r>
    </w:p>
    <w:p w14:paraId="3BA38F0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Rey, J. M., Vergara, P. P., Solano, J., &amp; Ordóñez, G. (2019). Design and Optimal Sizing of Microgrids. </w:t>
      </w:r>
      <w:r w:rsidRPr="00AC5C84">
        <w:rPr>
          <w:rFonts w:cs="Times New Roman"/>
          <w:i/>
          <w:iCs/>
          <w:noProof/>
          <w:szCs w:val="24"/>
        </w:rPr>
        <w:t>Microgrids Design and Implementation</w:t>
      </w:r>
      <w:r w:rsidRPr="00AC5C84">
        <w:rPr>
          <w:rFonts w:cs="Times New Roman"/>
          <w:noProof/>
          <w:szCs w:val="24"/>
        </w:rPr>
        <w:t>, 337–367. https://doi.org/10.1007/978-3-319-98687-6_13</w:t>
      </w:r>
    </w:p>
    <w:p w14:paraId="0CB2889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Reyes, E. D., Bretas, A. S., &amp; Rivera, S. (2020). Marginal Uncertainty Cost Functions for Solar Photovoltaic, Wind Energy, Hydro Generators, and Plug-In Electric Vehicles. </w:t>
      </w:r>
      <w:r w:rsidRPr="00AC5C84">
        <w:rPr>
          <w:rFonts w:cs="Times New Roman"/>
          <w:i/>
          <w:iCs/>
          <w:noProof/>
          <w:szCs w:val="24"/>
        </w:rPr>
        <w:t>Energies 2020, Vol. 13, Page 6375</w:t>
      </w:r>
      <w:r w:rsidRPr="00AC5C84">
        <w:rPr>
          <w:rFonts w:cs="Times New Roman"/>
          <w:noProof/>
          <w:szCs w:val="24"/>
        </w:rPr>
        <w:t xml:space="preserve">, </w:t>
      </w:r>
      <w:r w:rsidRPr="00AC5C84">
        <w:rPr>
          <w:rFonts w:cs="Times New Roman"/>
          <w:i/>
          <w:iCs/>
          <w:noProof/>
          <w:szCs w:val="24"/>
        </w:rPr>
        <w:t>13</w:t>
      </w:r>
      <w:r w:rsidRPr="00AC5C84">
        <w:rPr>
          <w:rFonts w:cs="Times New Roman"/>
          <w:noProof/>
          <w:szCs w:val="24"/>
        </w:rPr>
        <w:t>(23), 6375. https://doi.org/10.3390/EN13236375</w:t>
      </w:r>
    </w:p>
    <w:p w14:paraId="382FAF5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Rodríguez, F., Martín, F., Fontán, L., &amp; Galarza, A. (2021). Ensemble of machine learning and spatiotemporal parameters to forecast very short-term solar irradiation to compute photovoltaic generators’ output power. </w:t>
      </w:r>
      <w:r w:rsidRPr="00AC5C84">
        <w:rPr>
          <w:rFonts w:cs="Times New Roman"/>
          <w:i/>
          <w:iCs/>
          <w:noProof/>
          <w:szCs w:val="24"/>
        </w:rPr>
        <w:t>Energy</w:t>
      </w:r>
      <w:r w:rsidRPr="00AC5C84">
        <w:rPr>
          <w:rFonts w:cs="Times New Roman"/>
          <w:noProof/>
          <w:szCs w:val="24"/>
        </w:rPr>
        <w:t xml:space="preserve">, </w:t>
      </w:r>
      <w:r w:rsidRPr="00AC5C84">
        <w:rPr>
          <w:rFonts w:cs="Times New Roman"/>
          <w:i/>
          <w:iCs/>
          <w:noProof/>
          <w:szCs w:val="24"/>
        </w:rPr>
        <w:t>229</w:t>
      </w:r>
      <w:r w:rsidRPr="00AC5C84">
        <w:rPr>
          <w:rFonts w:cs="Times New Roman"/>
          <w:noProof/>
          <w:szCs w:val="24"/>
        </w:rPr>
        <w:t>, 120647. https://doi.org/10.1016/J.ENERGY.2021.120647</w:t>
      </w:r>
    </w:p>
    <w:p w14:paraId="1865D72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Roy, N. B., &amp; Das, D. (2021). Optimal allocation of active and reactive power of dispatchable distributed generators in a droop controlled islanded microgrid considering renewable generation and load demand uncertainties. </w:t>
      </w:r>
      <w:r w:rsidRPr="00AC5C84">
        <w:rPr>
          <w:rFonts w:cs="Times New Roman"/>
          <w:i/>
          <w:iCs/>
          <w:noProof/>
          <w:szCs w:val="24"/>
        </w:rPr>
        <w:t>Sustainable Energy, Grids and Networks</w:t>
      </w:r>
      <w:r w:rsidRPr="00AC5C84">
        <w:rPr>
          <w:rFonts w:cs="Times New Roman"/>
          <w:noProof/>
          <w:szCs w:val="24"/>
        </w:rPr>
        <w:t xml:space="preserve">, </w:t>
      </w:r>
      <w:r w:rsidRPr="00AC5C84">
        <w:rPr>
          <w:rFonts w:cs="Times New Roman"/>
          <w:i/>
          <w:iCs/>
          <w:noProof/>
          <w:szCs w:val="24"/>
        </w:rPr>
        <w:t>27</w:t>
      </w:r>
      <w:r w:rsidRPr="00AC5C84">
        <w:rPr>
          <w:rFonts w:cs="Times New Roman"/>
          <w:noProof/>
          <w:szCs w:val="24"/>
        </w:rPr>
        <w:t>, 100482. https://doi.org/10.1016/j.segan.2021.100482</w:t>
      </w:r>
    </w:p>
    <w:p w14:paraId="15FB980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Saliu, M. A. (2003). </w:t>
      </w:r>
      <w:r w:rsidRPr="00AC5C84">
        <w:rPr>
          <w:rFonts w:cs="Times New Roman"/>
          <w:i/>
          <w:iCs/>
          <w:noProof/>
          <w:szCs w:val="24"/>
        </w:rPr>
        <w:t>DESIGN OF OPTIMUM MINING METHOD FOR TANTALITE DEPOSIT IN ARANDUN–KWARA STATE, NIGERIA</w:t>
      </w:r>
      <w:r w:rsidRPr="00AC5C84">
        <w:rPr>
          <w:rFonts w:cs="Times New Roman"/>
          <w:noProof/>
          <w:szCs w:val="24"/>
        </w:rPr>
        <w:t>. FEDERAL UNIVERSITY OF TECHNOLOGY, AKURE.</w:t>
      </w:r>
    </w:p>
    <w:p w14:paraId="700452D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Salloum, S. A., Qasim Mohammad Alhamad, A., Al-Emran, M., Abdel Monem, A., &amp; Shaalan, K. (2019). Exploring students’ acceptance of e-learning through the development of a comprehensive technology acceptance model. </w:t>
      </w:r>
      <w:r w:rsidRPr="00AC5C84">
        <w:rPr>
          <w:rFonts w:cs="Times New Roman"/>
          <w:i/>
          <w:iCs/>
          <w:noProof/>
          <w:szCs w:val="24"/>
        </w:rPr>
        <w:t>IEEE Access</w:t>
      </w:r>
      <w:r w:rsidRPr="00AC5C84">
        <w:rPr>
          <w:rFonts w:cs="Times New Roman"/>
          <w:noProof/>
          <w:szCs w:val="24"/>
        </w:rPr>
        <w:t xml:space="preserve">, </w:t>
      </w:r>
      <w:r w:rsidRPr="00AC5C84">
        <w:rPr>
          <w:rFonts w:cs="Times New Roman"/>
          <w:i/>
          <w:iCs/>
          <w:noProof/>
          <w:szCs w:val="24"/>
        </w:rPr>
        <w:t>7</w:t>
      </w:r>
      <w:r w:rsidRPr="00AC5C84">
        <w:rPr>
          <w:rFonts w:cs="Times New Roman"/>
          <w:noProof/>
          <w:szCs w:val="24"/>
        </w:rPr>
        <w:t>, 128445–128462. https://doi.org/10.1109/ACCESS.2019.2939467</w:t>
      </w:r>
    </w:p>
    <w:p w14:paraId="70EA8CB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Sechilariu, M., &amp; Locment, F. (2016). Connecting and Integrating Variable Renewable Electricity in Utility Grid. In </w:t>
      </w:r>
      <w:r w:rsidRPr="00AC5C84">
        <w:rPr>
          <w:rFonts w:cs="Times New Roman"/>
          <w:i/>
          <w:iCs/>
          <w:noProof/>
          <w:szCs w:val="24"/>
        </w:rPr>
        <w:t>Urban DC Microgrid: Intelligent Control and Power Flow Optimization</w:t>
      </w:r>
      <w:r w:rsidRPr="00AC5C84">
        <w:rPr>
          <w:rFonts w:cs="Times New Roman"/>
          <w:noProof/>
          <w:szCs w:val="24"/>
        </w:rPr>
        <w:t xml:space="preserve"> (pp. 1–33). Butterworth-Heinemann. https://doi.org/10.1016/B978-0-12-803736-2.00001-3</w:t>
      </w:r>
    </w:p>
    <w:p w14:paraId="71264D6E"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Senthil Kumar, J., Prem, P., &amp; Jagabar Sathik, M. (2021). Evaluation of DG impacts on distribution networks. In </w:t>
      </w:r>
      <w:r w:rsidRPr="00AC5C84">
        <w:rPr>
          <w:rFonts w:cs="Times New Roman"/>
          <w:i/>
          <w:iCs/>
          <w:noProof/>
          <w:szCs w:val="24"/>
        </w:rPr>
        <w:t>Uncertainties in Modern Power Systems</w:t>
      </w:r>
      <w:r w:rsidRPr="00AC5C84">
        <w:rPr>
          <w:rFonts w:cs="Times New Roman"/>
          <w:noProof/>
          <w:szCs w:val="24"/>
        </w:rPr>
        <w:t xml:space="preserve"> (pp. 195–209). Academic Press. https://doi.org/10.1016/B978-0-12-820491-7.00007-4</w:t>
      </w:r>
    </w:p>
    <w:p w14:paraId="6575714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Shabshab, S. C., Lindahl, P. A., Nowocin, J. K., Donnal, J., Blum, D., Norford, L., &amp; Leeb, S. B. (2020). Demand Smoothing in Military Microgrids through Coordinated Direct Load Control. </w:t>
      </w:r>
      <w:r w:rsidRPr="00AC5C84">
        <w:rPr>
          <w:rFonts w:cs="Times New Roman"/>
          <w:i/>
          <w:iCs/>
          <w:noProof/>
          <w:szCs w:val="24"/>
        </w:rPr>
        <w:t>IEEE Transactions on Smart Grid</w:t>
      </w:r>
      <w:r w:rsidRPr="00AC5C84">
        <w:rPr>
          <w:rFonts w:cs="Times New Roman"/>
          <w:noProof/>
          <w:szCs w:val="24"/>
        </w:rPr>
        <w:t xml:space="preserve">, </w:t>
      </w:r>
      <w:r w:rsidRPr="00AC5C84">
        <w:rPr>
          <w:rFonts w:cs="Times New Roman"/>
          <w:i/>
          <w:iCs/>
          <w:noProof/>
          <w:szCs w:val="24"/>
        </w:rPr>
        <w:t>11</w:t>
      </w:r>
      <w:r w:rsidRPr="00AC5C84">
        <w:rPr>
          <w:rFonts w:cs="Times New Roman"/>
          <w:noProof/>
          <w:szCs w:val="24"/>
        </w:rPr>
        <w:t>(3), 1917–1927. https://doi.org/10.1109/TSG.2019.2945278</w:t>
      </w:r>
    </w:p>
    <w:p w14:paraId="658724B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Shayeghi, H., &amp; Younesi, A. (2020). Microgrid Architectures, Control and Protection Methods. In </w:t>
      </w:r>
      <w:r w:rsidRPr="00AC5C84">
        <w:rPr>
          <w:rFonts w:cs="Times New Roman"/>
          <w:i/>
          <w:iCs/>
          <w:noProof/>
          <w:szCs w:val="24"/>
        </w:rPr>
        <w:t>Power Systems</w:t>
      </w:r>
      <w:r w:rsidRPr="00AC5C84">
        <w:rPr>
          <w:rFonts w:cs="Times New Roman"/>
          <w:noProof/>
          <w:szCs w:val="24"/>
        </w:rPr>
        <w:t xml:space="preserve"> (Issue January). http://link.springer.com/10.1007/978-3-030-23723-3_24</w:t>
      </w:r>
    </w:p>
    <w:p w14:paraId="0C98EA6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Starcevic, V., Zeljkovic, C., Kitic, N., Mrsic, P., Erceg, B., &amp; Jovanovic, V. (2021, March 17). PV System Integration Assessment by Automated Monte Carlo Simulation in DIgSILENT PowerFactory. </w:t>
      </w:r>
      <w:r w:rsidRPr="00AC5C84">
        <w:rPr>
          <w:rFonts w:cs="Times New Roman"/>
          <w:i/>
          <w:iCs/>
          <w:noProof/>
          <w:szCs w:val="24"/>
        </w:rPr>
        <w:t>2021 20th International Symposium INFOTEH-JAHORINA, INFOTEH 2021 - Proceedings</w:t>
      </w:r>
      <w:r w:rsidRPr="00AC5C84">
        <w:rPr>
          <w:rFonts w:cs="Times New Roman"/>
          <w:noProof/>
          <w:szCs w:val="24"/>
        </w:rPr>
        <w:t>. https://doi.org/10.1109/INFOTEH51037.2021.9400525</w:t>
      </w:r>
    </w:p>
    <w:p w14:paraId="616574C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Sumathi, S., Ashok Kumar, L., &amp; Surekha, P. (2015). Solar PV and Wind Energy Conversion Systems. In </w:t>
      </w:r>
      <w:r w:rsidRPr="00AC5C84">
        <w:rPr>
          <w:rFonts w:cs="Times New Roman"/>
          <w:i/>
          <w:iCs/>
          <w:noProof/>
          <w:szCs w:val="24"/>
        </w:rPr>
        <w:t>Green Energy and Technology</w:t>
      </w:r>
      <w:r w:rsidRPr="00AC5C84">
        <w:rPr>
          <w:rFonts w:cs="Times New Roman"/>
          <w:noProof/>
          <w:szCs w:val="24"/>
        </w:rPr>
        <w:t>. http://link.springer.com/10.1007/978-3-319-14941-7</w:t>
      </w:r>
    </w:p>
    <w:p w14:paraId="0C3D6D0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Sun, J., Li, M., Zhang, Z., Xu, T., He, J., Wang, H., &amp; Li, G. (2017). Renewable energy transmission by HVDC across the continent: system challenges and opportunities. </w:t>
      </w:r>
      <w:r w:rsidRPr="00AC5C84">
        <w:rPr>
          <w:rFonts w:cs="Times New Roman"/>
          <w:i/>
          <w:iCs/>
          <w:noProof/>
          <w:szCs w:val="24"/>
        </w:rPr>
        <w:t>CSEE Journal of Power and Energy Systems</w:t>
      </w:r>
      <w:r w:rsidRPr="00AC5C84">
        <w:rPr>
          <w:rFonts w:cs="Times New Roman"/>
          <w:noProof/>
          <w:szCs w:val="24"/>
        </w:rPr>
        <w:t xml:space="preserve">, </w:t>
      </w:r>
      <w:r w:rsidRPr="00AC5C84">
        <w:rPr>
          <w:rFonts w:cs="Times New Roman"/>
          <w:i/>
          <w:iCs/>
          <w:noProof/>
          <w:szCs w:val="24"/>
        </w:rPr>
        <w:t>3</w:t>
      </w:r>
      <w:r w:rsidRPr="00AC5C84">
        <w:rPr>
          <w:rFonts w:cs="Times New Roman"/>
          <w:noProof/>
          <w:szCs w:val="24"/>
        </w:rPr>
        <w:t>(4), 353–364. https://doi.org/10.17775/cseejpes.2017.01200</w:t>
      </w:r>
    </w:p>
    <w:p w14:paraId="2B8B852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Suvorov, A. A., Diab, A. A. Z., Gusev, A. S., Andreev, M. V, Ruban, N. Y. U., Askarov, A. B., Bay, Y. D., Rudnik, V. E., Aboelsaud, R., Ibrahim, A., &amp; Al-sumaiti, A. S. (2020). </w:t>
      </w:r>
      <w:r w:rsidRPr="00AC5C84">
        <w:rPr>
          <w:rFonts w:cs="Times New Roman"/>
          <w:i/>
          <w:iCs/>
          <w:noProof/>
          <w:szCs w:val="24"/>
        </w:rPr>
        <w:t>Comprehensive Validation of Transient Stability Calculations in Electric Power Systems and Hardware-Software Tool for Its Implementation</w:t>
      </w:r>
      <w:r w:rsidRPr="00AC5C84">
        <w:rPr>
          <w:rFonts w:cs="Times New Roman"/>
          <w:noProof/>
          <w:szCs w:val="24"/>
        </w:rPr>
        <w:t xml:space="preserve">. </w:t>
      </w:r>
      <w:r w:rsidRPr="00AC5C84">
        <w:rPr>
          <w:rFonts w:cs="Times New Roman"/>
          <w:i/>
          <w:iCs/>
          <w:noProof/>
          <w:szCs w:val="24"/>
        </w:rPr>
        <w:t>8</w:t>
      </w:r>
      <w:r w:rsidRPr="00AC5C84">
        <w:rPr>
          <w:rFonts w:cs="Times New Roman"/>
          <w:noProof/>
          <w:szCs w:val="24"/>
        </w:rPr>
        <w:t>, 136071–136091. https://doi.org/10.1109/ACCESS.2020.3011207</w:t>
      </w:r>
    </w:p>
    <w:p w14:paraId="227ED43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Taghavifar, H., &amp; Taghavifar, H. (2021). Adaptive robust control-based energy management of hybrid PV-Battery systems with improved transient performance. </w:t>
      </w:r>
      <w:r w:rsidRPr="00AC5C84">
        <w:rPr>
          <w:rFonts w:cs="Times New Roman"/>
          <w:i/>
          <w:iCs/>
          <w:noProof/>
          <w:szCs w:val="24"/>
        </w:rPr>
        <w:t>International Journal of Hydrogen Energy</w:t>
      </w:r>
      <w:r w:rsidRPr="00AC5C84">
        <w:rPr>
          <w:rFonts w:cs="Times New Roman"/>
          <w:noProof/>
          <w:szCs w:val="24"/>
        </w:rPr>
        <w:t xml:space="preserve">, </w:t>
      </w:r>
      <w:r w:rsidRPr="00AC5C84">
        <w:rPr>
          <w:rFonts w:cs="Times New Roman"/>
          <w:i/>
          <w:iCs/>
          <w:noProof/>
          <w:szCs w:val="24"/>
        </w:rPr>
        <w:t>46</w:t>
      </w:r>
      <w:r w:rsidRPr="00AC5C84">
        <w:rPr>
          <w:rFonts w:cs="Times New Roman"/>
          <w:noProof/>
          <w:szCs w:val="24"/>
        </w:rPr>
        <w:t>(10), 7442–7453. https://doi.org/https://doi.org/10.1016/j.ijhydene.2020.11.243</w:t>
      </w:r>
    </w:p>
    <w:p w14:paraId="76A06000"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Tavakoli, M., Shokridehaki, F., Funsho Akorede, M., Marzband, M., Vechiu, I., &amp; Pouresmaeil, E. (2018). CVaR-based energy management scheme for optimal resilience and operational cost in commercial building microgrids. </w:t>
      </w:r>
      <w:r w:rsidRPr="00AC5C84">
        <w:rPr>
          <w:rFonts w:cs="Times New Roman"/>
          <w:i/>
          <w:iCs/>
          <w:noProof/>
          <w:szCs w:val="24"/>
        </w:rPr>
        <w:t>International Journal of Electrical Power &amp; Energy Systems</w:t>
      </w:r>
      <w:r w:rsidRPr="00AC5C84">
        <w:rPr>
          <w:rFonts w:cs="Times New Roman"/>
          <w:noProof/>
          <w:szCs w:val="24"/>
        </w:rPr>
        <w:t xml:space="preserve">, </w:t>
      </w:r>
      <w:r w:rsidRPr="00AC5C84">
        <w:rPr>
          <w:rFonts w:cs="Times New Roman"/>
          <w:i/>
          <w:iCs/>
          <w:noProof/>
          <w:szCs w:val="24"/>
        </w:rPr>
        <w:t>100</w:t>
      </w:r>
      <w:r w:rsidRPr="00AC5C84">
        <w:rPr>
          <w:rFonts w:cs="Times New Roman"/>
          <w:noProof/>
          <w:szCs w:val="24"/>
        </w:rPr>
        <w:t>, 1–9. https://doi.org/10.1016/J.IJEPES.2018.02.022</w:t>
      </w:r>
    </w:p>
    <w:p w14:paraId="018FE34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Tian, W., Heo, Y., de Wilde, P., Li, Z., Yan, D., Park, C. S., Feng, X., &amp; Augenbroe, G. (2018). A review of uncertainty analysis in building energy assessment.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93</w:t>
      </w:r>
      <w:r w:rsidRPr="00AC5C84">
        <w:rPr>
          <w:rFonts w:cs="Times New Roman"/>
          <w:noProof/>
          <w:szCs w:val="24"/>
        </w:rPr>
        <w:t>, 285–301. https://doi.org/10.1016/J.RSER.2018.05.029</w:t>
      </w:r>
    </w:p>
    <w:p w14:paraId="080ED74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Tran, M. Q., Dinh, M. C., Lee, S. J., Lee, J. I., Park, M., Lee, C. H., &amp; Yoon, J. S. (2019). Analysis and mitigation of subsynchronous resonance in a Korean power network with the first TCSC installation. </w:t>
      </w:r>
      <w:r w:rsidRPr="00AC5C84">
        <w:rPr>
          <w:rFonts w:cs="Times New Roman"/>
          <w:i/>
          <w:iCs/>
          <w:noProof/>
          <w:szCs w:val="24"/>
        </w:rPr>
        <w:t>Energies</w:t>
      </w:r>
      <w:r w:rsidRPr="00AC5C84">
        <w:rPr>
          <w:rFonts w:cs="Times New Roman"/>
          <w:noProof/>
          <w:szCs w:val="24"/>
        </w:rPr>
        <w:t xml:space="preserve">, </w:t>
      </w:r>
      <w:r w:rsidRPr="00AC5C84">
        <w:rPr>
          <w:rFonts w:cs="Times New Roman"/>
          <w:i/>
          <w:iCs/>
          <w:noProof/>
          <w:szCs w:val="24"/>
        </w:rPr>
        <w:t>12</w:t>
      </w:r>
      <w:r w:rsidRPr="00AC5C84">
        <w:rPr>
          <w:rFonts w:cs="Times New Roman"/>
          <w:noProof/>
          <w:szCs w:val="24"/>
        </w:rPr>
        <w:t>(15). https://doi.org/10.3390/en12152847</w:t>
      </w:r>
    </w:p>
    <w:p w14:paraId="3C64EF3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Venkata, M., Eremia, M., &amp; Toma, L. (2013). Background of Power System Stability. In M. Shahidehpour (Ed.), </w:t>
      </w:r>
      <w:r w:rsidRPr="00AC5C84">
        <w:rPr>
          <w:rFonts w:cs="Times New Roman"/>
          <w:i/>
          <w:iCs/>
          <w:noProof/>
          <w:szCs w:val="24"/>
        </w:rPr>
        <w:t>Handbook of Electrical Power System Dynamics: Modelling, Stability, and Control</w:t>
      </w:r>
      <w:r w:rsidRPr="00AC5C84">
        <w:rPr>
          <w:rFonts w:cs="Times New Roman"/>
          <w:noProof/>
          <w:szCs w:val="24"/>
        </w:rPr>
        <w:t xml:space="preserve"> (pp. 451–475). Wiley-IEEE Press.</w:t>
      </w:r>
    </w:p>
    <w:p w14:paraId="073A206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Vidyasagar, S., Vijayakumar, K., Sattianadan, D., &amp; George Fernandez, S. (2016). Optimal placement of DG based on voltage stability index and voltage deviation index. </w:t>
      </w:r>
      <w:r w:rsidRPr="00AC5C84">
        <w:rPr>
          <w:rFonts w:cs="Times New Roman"/>
          <w:i/>
          <w:iCs/>
          <w:noProof/>
          <w:szCs w:val="24"/>
        </w:rPr>
        <w:t>Indian Journal of Science and Technology</w:t>
      </w:r>
      <w:r w:rsidRPr="00AC5C84">
        <w:rPr>
          <w:rFonts w:cs="Times New Roman"/>
          <w:noProof/>
          <w:szCs w:val="24"/>
        </w:rPr>
        <w:t xml:space="preserve">, </w:t>
      </w:r>
      <w:r w:rsidRPr="00AC5C84">
        <w:rPr>
          <w:rFonts w:cs="Times New Roman"/>
          <w:i/>
          <w:iCs/>
          <w:noProof/>
          <w:szCs w:val="24"/>
        </w:rPr>
        <w:t>9</w:t>
      </w:r>
      <w:r w:rsidRPr="00AC5C84">
        <w:rPr>
          <w:rFonts w:cs="Times New Roman"/>
          <w:noProof/>
          <w:szCs w:val="24"/>
        </w:rPr>
        <w:t>(38). https://doi.org/10.17485/ijst/2016/v9i38/101930</w:t>
      </w:r>
    </w:p>
    <w:p w14:paraId="5BFAFF77"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Wali, U.G. (2013). Estimating hydropower potential of an ungaged stream. </w:t>
      </w:r>
      <w:r w:rsidRPr="00AC5C84">
        <w:rPr>
          <w:rFonts w:cs="Times New Roman"/>
          <w:i/>
          <w:iCs/>
          <w:noProof/>
          <w:szCs w:val="24"/>
        </w:rPr>
        <w:t>International Journal of Emerging Technology and Advanced Engineering</w:t>
      </w:r>
      <w:r w:rsidRPr="00AC5C84">
        <w:rPr>
          <w:rFonts w:cs="Times New Roman"/>
          <w:noProof/>
          <w:szCs w:val="24"/>
        </w:rPr>
        <w:t xml:space="preserve">, </w:t>
      </w:r>
      <w:r w:rsidRPr="00AC5C84">
        <w:rPr>
          <w:rFonts w:cs="Times New Roman"/>
          <w:i/>
          <w:iCs/>
          <w:noProof/>
          <w:szCs w:val="24"/>
        </w:rPr>
        <w:t>3</w:t>
      </w:r>
      <w:r w:rsidRPr="00AC5C84">
        <w:rPr>
          <w:rFonts w:cs="Times New Roman"/>
          <w:noProof/>
          <w:szCs w:val="24"/>
        </w:rPr>
        <w:t>(11), 592–600.</w:t>
      </w:r>
    </w:p>
    <w:p w14:paraId="47275A7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Walz, D., Caplan, S. R., Scriven, D. R. L., &amp; Mikulecky, D. C. (1995). Methods of mathematical modelling. In </w:t>
      </w:r>
      <w:r w:rsidRPr="00AC5C84">
        <w:rPr>
          <w:rFonts w:cs="Times New Roman"/>
          <w:i/>
          <w:iCs/>
          <w:noProof/>
          <w:szCs w:val="24"/>
        </w:rPr>
        <w:t>Bioelectrochemistry: General Introduction</w:t>
      </w:r>
      <w:r w:rsidRPr="00AC5C84">
        <w:rPr>
          <w:rFonts w:cs="Times New Roman"/>
          <w:noProof/>
          <w:szCs w:val="24"/>
        </w:rPr>
        <w:t>. https://doi.org/10.1007/978-3-0348-7318-5_2</w:t>
      </w:r>
    </w:p>
    <w:p w14:paraId="4BC63FBA"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Wang, Q. (2001). </w:t>
      </w:r>
      <w:r w:rsidRPr="00AC5C84">
        <w:rPr>
          <w:rFonts w:cs="Times New Roman"/>
          <w:i/>
          <w:iCs/>
          <w:noProof/>
          <w:szCs w:val="24"/>
        </w:rPr>
        <w:t>A novel continuation-based quasi-steady-state analysis approach to mitigate long-term voltage instability</w:t>
      </w:r>
      <w:r w:rsidRPr="00AC5C84">
        <w:rPr>
          <w:rFonts w:cs="Times New Roman"/>
          <w:noProof/>
          <w:szCs w:val="24"/>
        </w:rPr>
        <w:t>. Iowa State University.</w:t>
      </w:r>
    </w:p>
    <w:p w14:paraId="0F879AC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Wang, R., Hsu, S. C., Zheng, S., Chen, J. H., &amp; Li, X. I. (2020). Renewable energy microgrids: Economic evaluation and decision making for government policies to contribute to affordable and clean energy. </w:t>
      </w:r>
      <w:r w:rsidRPr="00AC5C84">
        <w:rPr>
          <w:rFonts w:cs="Times New Roman"/>
          <w:i/>
          <w:iCs/>
          <w:noProof/>
          <w:szCs w:val="24"/>
        </w:rPr>
        <w:t>Applied Energy</w:t>
      </w:r>
      <w:r w:rsidRPr="00AC5C84">
        <w:rPr>
          <w:rFonts w:cs="Times New Roman"/>
          <w:noProof/>
          <w:szCs w:val="24"/>
        </w:rPr>
        <w:t xml:space="preserve">, </w:t>
      </w:r>
      <w:r w:rsidRPr="00AC5C84">
        <w:rPr>
          <w:rFonts w:cs="Times New Roman"/>
          <w:i/>
          <w:iCs/>
          <w:noProof/>
          <w:szCs w:val="24"/>
        </w:rPr>
        <w:t>274</w:t>
      </w:r>
      <w:r w:rsidRPr="00AC5C84">
        <w:rPr>
          <w:rFonts w:cs="Times New Roman"/>
          <w:noProof/>
          <w:szCs w:val="24"/>
        </w:rPr>
        <w:t>, 115287. https://doi.org/10.1016/j.apenergy.2020.115287</w:t>
      </w:r>
    </w:p>
    <w:p w14:paraId="6048FCA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Wang, X., &amp; Cheng, Z. (2020). Cross-Sectional Studies: Strengths, Weaknesses, and Recommendations. </w:t>
      </w:r>
      <w:r w:rsidRPr="00AC5C84">
        <w:rPr>
          <w:rFonts w:cs="Times New Roman"/>
          <w:i/>
          <w:iCs/>
          <w:noProof/>
          <w:szCs w:val="24"/>
        </w:rPr>
        <w:t>Chest</w:t>
      </w:r>
      <w:r w:rsidRPr="00AC5C84">
        <w:rPr>
          <w:rFonts w:cs="Times New Roman"/>
          <w:noProof/>
          <w:szCs w:val="24"/>
        </w:rPr>
        <w:t xml:space="preserve">, </w:t>
      </w:r>
      <w:r w:rsidRPr="00AC5C84">
        <w:rPr>
          <w:rFonts w:cs="Times New Roman"/>
          <w:i/>
          <w:iCs/>
          <w:noProof/>
          <w:szCs w:val="24"/>
        </w:rPr>
        <w:t>158</w:t>
      </w:r>
      <w:r w:rsidRPr="00AC5C84">
        <w:rPr>
          <w:rFonts w:cs="Times New Roman"/>
          <w:noProof/>
          <w:szCs w:val="24"/>
        </w:rPr>
        <w:t>(1), S65–S71. https://doi.org/10.1016/J.CHEST.2020.03.012</w:t>
      </w:r>
    </w:p>
    <w:p w14:paraId="6B11C6B8"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Warneryd, M., Håkansson, M., &amp; Karltorp, K. (2020). Unpacking the complexity of community microgrids: A review of institutions’ roles for development of microgrids. </w:t>
      </w:r>
      <w:r w:rsidRPr="00AC5C84">
        <w:rPr>
          <w:rFonts w:cs="Times New Roman"/>
          <w:i/>
          <w:iCs/>
          <w:noProof/>
          <w:szCs w:val="24"/>
        </w:rPr>
        <w:t>Renewable and Sustainable Energy Reviews</w:t>
      </w:r>
      <w:r w:rsidRPr="00AC5C84">
        <w:rPr>
          <w:rFonts w:cs="Times New Roman"/>
          <w:noProof/>
          <w:szCs w:val="24"/>
        </w:rPr>
        <w:t xml:space="preserve">, </w:t>
      </w:r>
      <w:r w:rsidRPr="00AC5C84">
        <w:rPr>
          <w:rFonts w:cs="Times New Roman"/>
          <w:i/>
          <w:iCs/>
          <w:noProof/>
          <w:szCs w:val="24"/>
        </w:rPr>
        <w:t>121</w:t>
      </w:r>
      <w:r w:rsidRPr="00AC5C84">
        <w:rPr>
          <w:rFonts w:cs="Times New Roman"/>
          <w:noProof/>
          <w:szCs w:val="24"/>
        </w:rPr>
        <w:t>, 109690. https://doi.org/10.1016/J.RSER.2019.109690</w:t>
      </w:r>
    </w:p>
    <w:p w14:paraId="24016D31"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Wen, Y., Chung, C. Y., Liu, X., &amp; Che, L. (2019). Microgrid dispatch with frequency-aware islanding constraints. </w:t>
      </w:r>
      <w:r w:rsidRPr="00AC5C84">
        <w:rPr>
          <w:rFonts w:cs="Times New Roman"/>
          <w:i/>
          <w:iCs/>
          <w:noProof/>
          <w:szCs w:val="24"/>
        </w:rPr>
        <w:t>IEEE Transactions on Power Systems</w:t>
      </w:r>
      <w:r w:rsidRPr="00AC5C84">
        <w:rPr>
          <w:rFonts w:cs="Times New Roman"/>
          <w:noProof/>
          <w:szCs w:val="24"/>
        </w:rPr>
        <w:t xml:space="preserve">, </w:t>
      </w:r>
      <w:r w:rsidRPr="00AC5C84">
        <w:rPr>
          <w:rFonts w:cs="Times New Roman"/>
          <w:i/>
          <w:iCs/>
          <w:noProof/>
          <w:szCs w:val="24"/>
        </w:rPr>
        <w:t>34</w:t>
      </w:r>
      <w:r w:rsidRPr="00AC5C84">
        <w:rPr>
          <w:rFonts w:cs="Times New Roman"/>
          <w:noProof/>
          <w:szCs w:val="24"/>
        </w:rPr>
        <w:t>(3), 2465–2468. https://doi.org/10.1109/TPWRS.2019.2895573</w:t>
      </w:r>
    </w:p>
    <w:p w14:paraId="65C6BD7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Wen, Y., Chung, C. Y., &amp; Ye, X. (2018). Enhancing Frequency Stability of Asynchronous Grids Interconnected with HVDC Links. </w:t>
      </w:r>
      <w:r w:rsidRPr="00AC5C84">
        <w:rPr>
          <w:rFonts w:cs="Times New Roman"/>
          <w:i/>
          <w:iCs/>
          <w:noProof/>
          <w:szCs w:val="24"/>
        </w:rPr>
        <w:t>IEEE Transactions on Power Systems</w:t>
      </w:r>
      <w:r w:rsidRPr="00AC5C84">
        <w:rPr>
          <w:rFonts w:cs="Times New Roman"/>
          <w:noProof/>
          <w:szCs w:val="24"/>
        </w:rPr>
        <w:t xml:space="preserve">, </w:t>
      </w:r>
      <w:r w:rsidRPr="00AC5C84">
        <w:rPr>
          <w:rFonts w:cs="Times New Roman"/>
          <w:i/>
          <w:iCs/>
          <w:noProof/>
          <w:szCs w:val="24"/>
        </w:rPr>
        <w:t>33</w:t>
      </w:r>
      <w:r w:rsidRPr="00AC5C84">
        <w:rPr>
          <w:rFonts w:cs="Times New Roman"/>
          <w:noProof/>
          <w:szCs w:val="24"/>
        </w:rPr>
        <w:t>(2), 1800–1810. https://doi.org/10.1109/TPWRS.2017.2726444</w:t>
      </w:r>
    </w:p>
    <w:p w14:paraId="145EDE0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Wu, Y., Li, L., Song, Z., &amp; Lin, X. (2019). Risk assessment on offshore photovoltaic power generation projects in China based on a fuzzy analysis framework. </w:t>
      </w:r>
      <w:r w:rsidRPr="00AC5C84">
        <w:rPr>
          <w:rFonts w:cs="Times New Roman"/>
          <w:i/>
          <w:iCs/>
          <w:noProof/>
          <w:szCs w:val="24"/>
        </w:rPr>
        <w:t>Journal of Cleaner Production</w:t>
      </w:r>
      <w:r w:rsidRPr="00AC5C84">
        <w:rPr>
          <w:rFonts w:cs="Times New Roman"/>
          <w:noProof/>
          <w:szCs w:val="24"/>
        </w:rPr>
        <w:t xml:space="preserve">, </w:t>
      </w:r>
      <w:r w:rsidRPr="00AC5C84">
        <w:rPr>
          <w:rFonts w:cs="Times New Roman"/>
          <w:i/>
          <w:iCs/>
          <w:noProof/>
          <w:szCs w:val="24"/>
        </w:rPr>
        <w:t>215</w:t>
      </w:r>
      <w:r w:rsidRPr="00AC5C84">
        <w:rPr>
          <w:rFonts w:cs="Times New Roman"/>
          <w:noProof/>
          <w:szCs w:val="24"/>
        </w:rPr>
        <w:t>, 46–62. https://doi.org/10.1016/J.JCLEPRO.2019.01.024</w:t>
      </w:r>
    </w:p>
    <w:p w14:paraId="1677EEE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Wu, Y., Zhang, T., Xu, C., Zhang, B., Li, L., Ke, Y., Yan, Y., &amp; Xu, R. (2019). Optimal location selection for offshore wind-PV-seawater pumped storage power plant using a hybrid MCDM approach: A two-stage framework. </w:t>
      </w:r>
      <w:r w:rsidRPr="00AC5C84">
        <w:rPr>
          <w:rFonts w:cs="Times New Roman"/>
          <w:i/>
          <w:iCs/>
          <w:noProof/>
          <w:szCs w:val="24"/>
        </w:rPr>
        <w:t>Energy Conversion and Management</w:t>
      </w:r>
      <w:r w:rsidRPr="00AC5C84">
        <w:rPr>
          <w:rFonts w:cs="Times New Roman"/>
          <w:noProof/>
          <w:szCs w:val="24"/>
        </w:rPr>
        <w:t xml:space="preserve">, </w:t>
      </w:r>
      <w:r w:rsidRPr="00AC5C84">
        <w:rPr>
          <w:rFonts w:cs="Times New Roman"/>
          <w:i/>
          <w:iCs/>
          <w:noProof/>
          <w:szCs w:val="24"/>
        </w:rPr>
        <w:t>199</w:t>
      </w:r>
      <w:r w:rsidRPr="00AC5C84">
        <w:rPr>
          <w:rFonts w:cs="Times New Roman"/>
          <w:noProof/>
          <w:szCs w:val="24"/>
        </w:rPr>
        <w:t>, 112066. https://doi.org/10.1016/J.ENCONMAN.2019.112066</w:t>
      </w:r>
    </w:p>
    <w:p w14:paraId="12142D1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Xie, M., Cheng, X., Cai, H., Wang, J., Liu, S., Chen, Q., &amp; Liu, X. (2021). A hydropower scheduling model to analyze the impacts from integrated wind and solar powers. </w:t>
      </w:r>
      <w:r w:rsidRPr="00AC5C84">
        <w:rPr>
          <w:rFonts w:cs="Times New Roman"/>
          <w:i/>
          <w:iCs/>
          <w:noProof/>
          <w:szCs w:val="24"/>
        </w:rPr>
        <w:t>Sustainable Energy, Grids and Networks</w:t>
      </w:r>
      <w:r w:rsidRPr="00AC5C84">
        <w:rPr>
          <w:rFonts w:cs="Times New Roman"/>
          <w:noProof/>
          <w:szCs w:val="24"/>
        </w:rPr>
        <w:t xml:space="preserve">, </w:t>
      </w:r>
      <w:r w:rsidRPr="00AC5C84">
        <w:rPr>
          <w:rFonts w:cs="Times New Roman"/>
          <w:i/>
          <w:iCs/>
          <w:noProof/>
          <w:szCs w:val="24"/>
        </w:rPr>
        <w:t>27</w:t>
      </w:r>
      <w:r w:rsidRPr="00AC5C84">
        <w:rPr>
          <w:rFonts w:cs="Times New Roman"/>
          <w:noProof/>
          <w:szCs w:val="24"/>
        </w:rPr>
        <w:t>, 100499. https://doi.org/10.1016/j.segan.2021.100499</w:t>
      </w:r>
    </w:p>
    <w:p w14:paraId="2B13A9A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Xie, X., Zhang, X., Liu, H., Liu, H., Li, Y., &amp; Zhang, C. (2017). Characteristic analysis of subsynchronous resonance in practical wind farms connected to series-compensated transmissions. </w:t>
      </w:r>
      <w:r w:rsidRPr="00AC5C84">
        <w:rPr>
          <w:rFonts w:cs="Times New Roman"/>
          <w:i/>
          <w:iCs/>
          <w:noProof/>
          <w:szCs w:val="24"/>
        </w:rPr>
        <w:t>IEEE Transactions on Energy Conversion</w:t>
      </w:r>
      <w:r w:rsidRPr="00AC5C84">
        <w:rPr>
          <w:rFonts w:cs="Times New Roman"/>
          <w:noProof/>
          <w:szCs w:val="24"/>
        </w:rPr>
        <w:t xml:space="preserve">, </w:t>
      </w:r>
      <w:r w:rsidRPr="00AC5C84">
        <w:rPr>
          <w:rFonts w:cs="Times New Roman"/>
          <w:i/>
          <w:iCs/>
          <w:noProof/>
          <w:szCs w:val="24"/>
        </w:rPr>
        <w:t>32</w:t>
      </w:r>
      <w:r w:rsidRPr="00AC5C84">
        <w:rPr>
          <w:rFonts w:cs="Times New Roman"/>
          <w:noProof/>
          <w:szCs w:val="24"/>
        </w:rPr>
        <w:t>(3), 1117–1126.</w:t>
      </w:r>
    </w:p>
    <w:p w14:paraId="2C5FFF4D"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Yammani, C., Maheswarapu, S., &amp; Matam, S. (2012). Multiobjective Optimization for Optimal Placement and Size of DG using Shuffled Frog Leaping Algorithm. </w:t>
      </w:r>
      <w:r w:rsidRPr="00AC5C84">
        <w:rPr>
          <w:rFonts w:cs="Times New Roman"/>
          <w:i/>
          <w:iCs/>
          <w:noProof/>
          <w:szCs w:val="24"/>
        </w:rPr>
        <w:t>Energy Procedia</w:t>
      </w:r>
      <w:r w:rsidRPr="00AC5C84">
        <w:rPr>
          <w:rFonts w:cs="Times New Roman"/>
          <w:noProof/>
          <w:szCs w:val="24"/>
        </w:rPr>
        <w:t xml:space="preserve">, </w:t>
      </w:r>
      <w:r w:rsidRPr="00AC5C84">
        <w:rPr>
          <w:rFonts w:cs="Times New Roman"/>
          <w:i/>
          <w:iCs/>
          <w:noProof/>
          <w:szCs w:val="24"/>
        </w:rPr>
        <w:t>14</w:t>
      </w:r>
      <w:r w:rsidRPr="00AC5C84">
        <w:rPr>
          <w:rFonts w:cs="Times New Roman"/>
          <w:noProof/>
          <w:szCs w:val="24"/>
        </w:rPr>
        <w:t>, 990–995. https://doi.org/10.1016/J.EGYPRO.2011.12.1044</w:t>
      </w:r>
    </w:p>
    <w:p w14:paraId="79D1F713"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Yang, C. F., Lai, G. G., Lee, C. H., Su, C. T., &amp; Chang, G. W. (2012). Optimal setting of reactive compensation devices with an improved voltage stability index for voltage stability enhancement. </w:t>
      </w:r>
      <w:r w:rsidRPr="00AC5C84">
        <w:rPr>
          <w:rFonts w:cs="Times New Roman"/>
          <w:i/>
          <w:iCs/>
          <w:noProof/>
          <w:szCs w:val="24"/>
        </w:rPr>
        <w:t>International Journal of Electrical Power and Energy Systems</w:t>
      </w:r>
      <w:r w:rsidRPr="00AC5C84">
        <w:rPr>
          <w:rFonts w:cs="Times New Roman"/>
          <w:noProof/>
          <w:szCs w:val="24"/>
        </w:rPr>
        <w:t xml:space="preserve">, </w:t>
      </w:r>
      <w:r w:rsidRPr="00AC5C84">
        <w:rPr>
          <w:rFonts w:cs="Times New Roman"/>
          <w:i/>
          <w:iCs/>
          <w:noProof/>
          <w:szCs w:val="24"/>
        </w:rPr>
        <w:t>37</w:t>
      </w:r>
      <w:r w:rsidRPr="00AC5C84">
        <w:rPr>
          <w:rFonts w:cs="Times New Roman"/>
          <w:noProof/>
          <w:szCs w:val="24"/>
        </w:rPr>
        <w:t>(1), 50–57. https://doi.org/10.1016/j.ijepes.2011.12.003</w:t>
      </w:r>
    </w:p>
    <w:p w14:paraId="0700866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Yao, R., Huang, S., Sun, K., Liu, F., Zhang, X., &amp; Mei, S. (2016). A Multi-Timescale Quasi-Dynamic Model for Simulation of Cascading Outages. </w:t>
      </w:r>
      <w:r w:rsidRPr="00AC5C84">
        <w:rPr>
          <w:rFonts w:cs="Times New Roman"/>
          <w:i/>
          <w:iCs/>
          <w:noProof/>
          <w:szCs w:val="24"/>
        </w:rPr>
        <w:t>IEEE Transactions on Power Systems</w:t>
      </w:r>
      <w:r w:rsidRPr="00AC5C84">
        <w:rPr>
          <w:rFonts w:cs="Times New Roman"/>
          <w:noProof/>
          <w:szCs w:val="24"/>
        </w:rPr>
        <w:t xml:space="preserve">, </w:t>
      </w:r>
      <w:r w:rsidRPr="00AC5C84">
        <w:rPr>
          <w:rFonts w:cs="Times New Roman"/>
          <w:i/>
          <w:iCs/>
          <w:noProof/>
          <w:szCs w:val="24"/>
        </w:rPr>
        <w:t>31</w:t>
      </w:r>
      <w:r w:rsidRPr="00AC5C84">
        <w:rPr>
          <w:rFonts w:cs="Times New Roman"/>
          <w:noProof/>
          <w:szCs w:val="24"/>
        </w:rPr>
        <w:t>(4), 3189–3201. https://doi.org/10.1109/TPWRS.2015.2466116</w:t>
      </w:r>
    </w:p>
    <w:p w14:paraId="3A309926"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Yokoyama, R., &amp; Zhu, J. (2000). Tutorial on Fuzzy Logic Applications in Power Systems. </w:t>
      </w:r>
      <w:r w:rsidRPr="00AC5C84">
        <w:rPr>
          <w:rFonts w:cs="Times New Roman"/>
          <w:i/>
          <w:iCs/>
          <w:noProof/>
          <w:szCs w:val="24"/>
        </w:rPr>
        <w:t>Control</w:t>
      </w:r>
      <w:r w:rsidRPr="00AC5C84">
        <w:rPr>
          <w:rFonts w:cs="Times New Roman"/>
          <w:noProof/>
          <w:szCs w:val="24"/>
        </w:rPr>
        <w:t>, 87.</w:t>
      </w:r>
    </w:p>
    <w:p w14:paraId="75701314"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Youssef, E., Sharaf, A., Amin, A., &amp; El Samhey, A. (2018). Wind Energy FACTS Applications and Stabilization Schemes. In </w:t>
      </w:r>
      <w:r w:rsidRPr="00AC5C84">
        <w:rPr>
          <w:rFonts w:cs="Times New Roman"/>
          <w:i/>
          <w:iCs/>
          <w:noProof/>
          <w:szCs w:val="24"/>
        </w:rPr>
        <w:t>Advances in Renewable Energies and Power Technologies</w:t>
      </w:r>
      <w:r w:rsidRPr="00AC5C84">
        <w:rPr>
          <w:rFonts w:cs="Times New Roman"/>
          <w:noProof/>
          <w:szCs w:val="24"/>
        </w:rPr>
        <w:t xml:space="preserve"> (Vol. 1). Elsevier Inc. https://doi.org/10.1016/B978-0-12-812959-3.00014-9</w:t>
      </w:r>
    </w:p>
    <w:p w14:paraId="6798E305"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Yousuf, H., Zainal, A. Y., Alshurideh, M., &amp; Salloum, S. A. (2021). Artificial intelligence models in power system analysis. </w:t>
      </w:r>
      <w:r w:rsidRPr="00AC5C84">
        <w:rPr>
          <w:rFonts w:cs="Times New Roman"/>
          <w:i/>
          <w:iCs/>
          <w:noProof/>
          <w:szCs w:val="24"/>
        </w:rPr>
        <w:t>Studies in Computational Intelligence</w:t>
      </w:r>
      <w:r w:rsidRPr="00AC5C84">
        <w:rPr>
          <w:rFonts w:cs="Times New Roman"/>
          <w:noProof/>
          <w:szCs w:val="24"/>
        </w:rPr>
        <w:t xml:space="preserve">, </w:t>
      </w:r>
      <w:r w:rsidRPr="00AC5C84">
        <w:rPr>
          <w:rFonts w:cs="Times New Roman"/>
          <w:i/>
          <w:iCs/>
          <w:noProof/>
          <w:szCs w:val="24"/>
        </w:rPr>
        <w:t>912</w:t>
      </w:r>
      <w:r w:rsidRPr="00AC5C84">
        <w:rPr>
          <w:rFonts w:cs="Times New Roman"/>
          <w:noProof/>
          <w:szCs w:val="24"/>
        </w:rPr>
        <w:t>, 231–242. https://doi.org/10.1007/978-3-030-51920-9_12</w:t>
      </w:r>
    </w:p>
    <w:p w14:paraId="6F4A2149"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Zachar, M., &amp; Daoutidis, P. (2018). Energy management and load shaping for commercial microgrids coupled with flexible building environment control. </w:t>
      </w:r>
      <w:r w:rsidRPr="00AC5C84">
        <w:rPr>
          <w:rFonts w:cs="Times New Roman"/>
          <w:i/>
          <w:iCs/>
          <w:noProof/>
          <w:szCs w:val="24"/>
        </w:rPr>
        <w:t>Journal of Energy Storage</w:t>
      </w:r>
      <w:r w:rsidRPr="00AC5C84">
        <w:rPr>
          <w:rFonts w:cs="Times New Roman"/>
          <w:noProof/>
          <w:szCs w:val="24"/>
        </w:rPr>
        <w:t xml:space="preserve">, </w:t>
      </w:r>
      <w:r w:rsidRPr="00AC5C84">
        <w:rPr>
          <w:rFonts w:cs="Times New Roman"/>
          <w:i/>
          <w:iCs/>
          <w:noProof/>
          <w:szCs w:val="24"/>
        </w:rPr>
        <w:t>16</w:t>
      </w:r>
      <w:r w:rsidRPr="00AC5C84">
        <w:rPr>
          <w:rFonts w:cs="Times New Roman"/>
          <w:noProof/>
          <w:szCs w:val="24"/>
        </w:rPr>
        <w:t>, 61–75. https://doi.org/10.1016/J.EST.2017.12.017</w:t>
      </w:r>
    </w:p>
    <w:p w14:paraId="09EBF1FF"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Zafar, M. W., Shahbaz, M., Hou, F., &amp; Sinha, A. (2019). From nonrenewable to renewable energy and its impact on economic growth: The role of research &amp; development expenditures in Asia-Pacific Economic Cooperation countries. </w:t>
      </w:r>
      <w:r w:rsidRPr="00AC5C84">
        <w:rPr>
          <w:rFonts w:cs="Times New Roman"/>
          <w:i/>
          <w:iCs/>
          <w:noProof/>
          <w:szCs w:val="24"/>
        </w:rPr>
        <w:t>Journal of Cleaner Production</w:t>
      </w:r>
      <w:r w:rsidRPr="00AC5C84">
        <w:rPr>
          <w:rFonts w:cs="Times New Roman"/>
          <w:noProof/>
          <w:szCs w:val="24"/>
        </w:rPr>
        <w:t xml:space="preserve">, </w:t>
      </w:r>
      <w:r w:rsidRPr="00AC5C84">
        <w:rPr>
          <w:rFonts w:cs="Times New Roman"/>
          <w:i/>
          <w:iCs/>
          <w:noProof/>
          <w:szCs w:val="24"/>
        </w:rPr>
        <w:t>212</w:t>
      </w:r>
      <w:r w:rsidRPr="00AC5C84">
        <w:rPr>
          <w:rFonts w:cs="Times New Roman"/>
          <w:noProof/>
          <w:szCs w:val="24"/>
        </w:rPr>
        <w:t>, 1166–1178. https://doi.org/10.1016/J.JCLEPRO.2018.12.081</w:t>
      </w:r>
    </w:p>
    <w:p w14:paraId="3BAF7C82" w14:textId="77777777" w:rsidR="00AC5C84" w:rsidRPr="00AC5C84" w:rsidRDefault="00AC5C84" w:rsidP="00AC5C84">
      <w:pPr>
        <w:widowControl w:val="0"/>
        <w:autoSpaceDE w:val="0"/>
        <w:autoSpaceDN w:val="0"/>
        <w:adjustRightInd w:val="0"/>
        <w:ind w:left="480" w:hanging="480"/>
        <w:rPr>
          <w:rFonts w:cs="Times New Roman"/>
          <w:noProof/>
          <w:szCs w:val="24"/>
        </w:rPr>
      </w:pPr>
      <w:r w:rsidRPr="00AC5C84">
        <w:rPr>
          <w:rFonts w:cs="Times New Roman"/>
          <w:noProof/>
          <w:szCs w:val="24"/>
        </w:rPr>
        <w:t xml:space="preserve">Zhang, G., Hu, W., Cao, D., Liu, W., Huang, R., Huang, Q., Chen, Z., &amp; Blaabjerg, F. (2021). Data-driven optimal energy management for a wind-solar-diesel-battery-reverse osmosis hybrid energy system using a deep reinforcement learning approach. </w:t>
      </w:r>
      <w:r w:rsidRPr="00AC5C84">
        <w:rPr>
          <w:rFonts w:cs="Times New Roman"/>
          <w:i/>
          <w:iCs/>
          <w:noProof/>
          <w:szCs w:val="24"/>
        </w:rPr>
        <w:t>Energy Conversion and Management</w:t>
      </w:r>
      <w:r w:rsidRPr="00AC5C84">
        <w:rPr>
          <w:rFonts w:cs="Times New Roman"/>
          <w:noProof/>
          <w:szCs w:val="24"/>
        </w:rPr>
        <w:t xml:space="preserve">, </w:t>
      </w:r>
      <w:r w:rsidRPr="00AC5C84">
        <w:rPr>
          <w:rFonts w:cs="Times New Roman"/>
          <w:i/>
          <w:iCs/>
          <w:noProof/>
          <w:szCs w:val="24"/>
        </w:rPr>
        <w:t>227</w:t>
      </w:r>
      <w:r w:rsidRPr="00AC5C84">
        <w:rPr>
          <w:rFonts w:cs="Times New Roman"/>
          <w:noProof/>
          <w:szCs w:val="24"/>
        </w:rPr>
        <w:t>, 113608. https://doi.org/https://doi.org/10.1016/j.enconman.2020.113608</w:t>
      </w:r>
    </w:p>
    <w:p w14:paraId="56485BE5" w14:textId="77777777" w:rsidR="00AC5C84" w:rsidRPr="00AC5C84" w:rsidRDefault="00AC5C84" w:rsidP="00AC5C84">
      <w:pPr>
        <w:widowControl w:val="0"/>
        <w:autoSpaceDE w:val="0"/>
        <w:autoSpaceDN w:val="0"/>
        <w:adjustRightInd w:val="0"/>
        <w:ind w:left="480" w:hanging="480"/>
        <w:rPr>
          <w:rFonts w:cs="Times New Roman"/>
          <w:noProof/>
        </w:rPr>
      </w:pPr>
      <w:r w:rsidRPr="00AC5C84">
        <w:rPr>
          <w:rFonts w:cs="Times New Roman"/>
          <w:noProof/>
          <w:szCs w:val="24"/>
        </w:rPr>
        <w:t xml:space="preserve">Zobaa, A. F., &amp; Aleem, S. H. E. A. (2021). </w:t>
      </w:r>
      <w:r w:rsidRPr="00AC5C84">
        <w:rPr>
          <w:rFonts w:cs="Times New Roman"/>
          <w:i/>
          <w:iCs/>
          <w:noProof/>
          <w:szCs w:val="24"/>
        </w:rPr>
        <w:t>Uncertainties in Modern Power Systems</w:t>
      </w:r>
      <w:r w:rsidRPr="00AC5C84">
        <w:rPr>
          <w:rFonts w:cs="Times New Roman"/>
          <w:noProof/>
          <w:szCs w:val="24"/>
        </w:rPr>
        <w:t>. Academic Press. https://doi.org/10.1016/B978-0-12-820491-7.01001-X</w:t>
      </w:r>
    </w:p>
    <w:p w14:paraId="79D6F001" w14:textId="41A06213" w:rsidR="00356566" w:rsidRDefault="001063E9" w:rsidP="0035249E">
      <w:pPr>
        <w:rPr>
          <w:lang w:val="en-US"/>
        </w:rPr>
      </w:pPr>
      <w:r>
        <w:rPr>
          <w:lang w:val="en-US"/>
        </w:rPr>
        <w:fldChar w:fldCharType="end"/>
      </w:r>
    </w:p>
    <w:p w14:paraId="40DF3C55" w14:textId="77777777" w:rsidR="00356566" w:rsidRDefault="00356566">
      <w:pPr>
        <w:spacing w:line="259" w:lineRule="auto"/>
        <w:jc w:val="left"/>
        <w:rPr>
          <w:lang w:val="en-US"/>
        </w:rPr>
      </w:pPr>
      <w:r>
        <w:rPr>
          <w:lang w:val="en-US"/>
        </w:rPr>
        <w:br w:type="page"/>
      </w:r>
    </w:p>
    <w:p w14:paraId="6F03A4AC" w14:textId="77777777" w:rsidR="00BE03A5" w:rsidRDefault="00BE03A5" w:rsidP="00BE03A5">
      <w:pPr>
        <w:pStyle w:val="Heading1"/>
        <w:rPr>
          <w:lang w:val="en-US"/>
        </w:rPr>
      </w:pPr>
      <w:bookmarkStart w:id="100" w:name="_Toc103521897"/>
      <w:bookmarkStart w:id="101" w:name="_Toc110502638"/>
      <w:r>
        <w:rPr>
          <w:lang w:val="en-US"/>
        </w:rPr>
        <w:t>APPENDICES</w:t>
      </w:r>
      <w:bookmarkEnd w:id="100"/>
      <w:bookmarkEnd w:id="101"/>
    </w:p>
    <w:p w14:paraId="79D158F6" w14:textId="77777777" w:rsidR="00BE03A5" w:rsidRDefault="00BE03A5" w:rsidP="00BE03A5">
      <w:pPr>
        <w:pStyle w:val="Heading2"/>
        <w:rPr>
          <w:lang w:val="en-US"/>
        </w:rPr>
      </w:pPr>
      <w:bookmarkStart w:id="102" w:name="_Toc103521898"/>
      <w:bookmarkStart w:id="103" w:name="_Toc110502639"/>
      <w:r>
        <w:rPr>
          <w:lang w:val="en-US"/>
        </w:rPr>
        <w:t>APPENDIX I: RESEARCH TIMELINE</w:t>
      </w:r>
      <w:bookmarkEnd w:id="102"/>
      <w:bookmarkEnd w:id="103"/>
    </w:p>
    <w:p w14:paraId="6F4EC695" w14:textId="379D0458" w:rsidR="00BE03A5" w:rsidRPr="00471FDA" w:rsidRDefault="00635E9E" w:rsidP="00BE03A5">
      <w:pPr>
        <w:rPr>
          <w:lang w:val="en-US"/>
        </w:rPr>
      </w:pPr>
      <w:r>
        <w:rPr>
          <w:noProof/>
          <w:lang w:val="en-US"/>
        </w:rPr>
        <w:drawing>
          <wp:inline distT="0" distB="0" distL="0" distR="0" wp14:anchorId="62286966" wp14:editId="74813A83">
            <wp:extent cx="5441306" cy="3020291"/>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6911" cy="3040054"/>
                    </a:xfrm>
                    <a:prstGeom prst="rect">
                      <a:avLst/>
                    </a:prstGeom>
                    <a:noFill/>
                  </pic:spPr>
                </pic:pic>
              </a:graphicData>
            </a:graphic>
          </wp:inline>
        </w:drawing>
      </w:r>
    </w:p>
    <w:p w14:paraId="3C252DA7" w14:textId="276B1EC4" w:rsidR="00BE03A5" w:rsidRDefault="00BE03A5" w:rsidP="00BE03A5">
      <w:pPr>
        <w:pStyle w:val="Heading2"/>
        <w:rPr>
          <w:lang w:val="en-US"/>
        </w:rPr>
      </w:pPr>
      <w:bookmarkStart w:id="104" w:name="_Toc103521899"/>
      <w:bookmarkStart w:id="105" w:name="_Toc110502640"/>
      <w:r>
        <w:rPr>
          <w:lang w:val="en-US"/>
        </w:rPr>
        <w:t xml:space="preserve">APPENDIX II: </w:t>
      </w:r>
      <w:r w:rsidR="00635E9E">
        <w:rPr>
          <w:lang w:val="en-US"/>
        </w:rPr>
        <w:t>ESTIMATED</w:t>
      </w:r>
      <w:r w:rsidR="00CE15D4">
        <w:rPr>
          <w:lang w:val="en-US"/>
        </w:rPr>
        <w:t xml:space="preserve"> </w:t>
      </w:r>
      <w:r>
        <w:rPr>
          <w:lang w:val="en-US"/>
        </w:rPr>
        <w:t>BUDGET</w:t>
      </w:r>
      <w:bookmarkEnd w:id="104"/>
      <w:bookmarkEnd w:id="105"/>
    </w:p>
    <w:tbl>
      <w:tblPr>
        <w:tblW w:w="0" w:type="auto"/>
        <w:tblLook w:val="04A0" w:firstRow="1" w:lastRow="0" w:firstColumn="1" w:lastColumn="0" w:noHBand="0" w:noVBand="1"/>
      </w:tblPr>
      <w:tblGrid>
        <w:gridCol w:w="625"/>
        <w:gridCol w:w="5128"/>
        <w:gridCol w:w="2877"/>
      </w:tblGrid>
      <w:tr w:rsidR="00BE03A5" w:rsidRPr="00DA480D" w14:paraId="03798733" w14:textId="77777777" w:rsidTr="00790F02">
        <w:tc>
          <w:tcPr>
            <w:tcW w:w="625" w:type="dxa"/>
          </w:tcPr>
          <w:p w14:paraId="79552C51" w14:textId="77777777" w:rsidR="00BE03A5" w:rsidRPr="00DA480D" w:rsidRDefault="00BE03A5" w:rsidP="00790F02">
            <w:pPr>
              <w:rPr>
                <w:lang w:val="en-US"/>
              </w:rPr>
            </w:pPr>
            <w:r w:rsidRPr="00DA480D">
              <w:rPr>
                <w:lang w:val="en-US"/>
              </w:rPr>
              <w:t>S/N</w:t>
            </w:r>
          </w:p>
        </w:tc>
        <w:tc>
          <w:tcPr>
            <w:tcW w:w="5128" w:type="dxa"/>
          </w:tcPr>
          <w:p w14:paraId="539218A9" w14:textId="77777777" w:rsidR="00BE03A5" w:rsidRPr="00DA480D" w:rsidRDefault="00BE03A5" w:rsidP="00790F02">
            <w:pPr>
              <w:rPr>
                <w:lang w:val="en-US"/>
              </w:rPr>
            </w:pPr>
            <w:r w:rsidRPr="00DA480D">
              <w:rPr>
                <w:lang w:val="en-US"/>
              </w:rPr>
              <w:t>Item Description</w:t>
            </w:r>
          </w:p>
        </w:tc>
        <w:tc>
          <w:tcPr>
            <w:tcW w:w="2877" w:type="dxa"/>
          </w:tcPr>
          <w:p w14:paraId="26C8E157" w14:textId="77777777" w:rsidR="00BE03A5" w:rsidRPr="00DA480D" w:rsidRDefault="00BE03A5" w:rsidP="00790F02">
            <w:pPr>
              <w:rPr>
                <w:lang w:val="en-US"/>
              </w:rPr>
            </w:pPr>
            <w:r w:rsidRPr="00DA480D">
              <w:rPr>
                <w:lang w:val="en-US"/>
              </w:rPr>
              <w:t>Estimated Cost (₦)</w:t>
            </w:r>
          </w:p>
        </w:tc>
      </w:tr>
      <w:tr w:rsidR="00BE03A5" w:rsidRPr="00DA480D" w14:paraId="23B2A66B" w14:textId="77777777" w:rsidTr="00790F02">
        <w:tc>
          <w:tcPr>
            <w:tcW w:w="625" w:type="dxa"/>
          </w:tcPr>
          <w:p w14:paraId="684452AB" w14:textId="77777777" w:rsidR="00BE03A5" w:rsidRPr="00DA480D" w:rsidRDefault="00BE03A5" w:rsidP="00790F02">
            <w:pPr>
              <w:rPr>
                <w:lang w:val="en-US"/>
              </w:rPr>
            </w:pPr>
            <w:r w:rsidRPr="00DA480D">
              <w:rPr>
                <w:lang w:val="en-US"/>
              </w:rPr>
              <w:t>1.</w:t>
            </w:r>
          </w:p>
        </w:tc>
        <w:tc>
          <w:tcPr>
            <w:tcW w:w="5128" w:type="dxa"/>
          </w:tcPr>
          <w:p w14:paraId="20244B3B" w14:textId="77777777" w:rsidR="00BE03A5" w:rsidRPr="00DA480D" w:rsidRDefault="00BE03A5" w:rsidP="00790F02">
            <w:pPr>
              <w:rPr>
                <w:lang w:val="en-US"/>
              </w:rPr>
            </w:pPr>
            <w:r w:rsidRPr="00DA480D">
              <w:rPr>
                <w:lang w:val="en-US"/>
              </w:rPr>
              <w:t>Literature Review</w:t>
            </w:r>
          </w:p>
        </w:tc>
        <w:tc>
          <w:tcPr>
            <w:tcW w:w="2877" w:type="dxa"/>
          </w:tcPr>
          <w:p w14:paraId="2B66D97F" w14:textId="77777777" w:rsidR="00BE03A5" w:rsidRPr="00DA480D" w:rsidRDefault="00BE03A5" w:rsidP="00790F02">
            <w:pPr>
              <w:rPr>
                <w:lang w:val="en-US"/>
              </w:rPr>
            </w:pPr>
            <w:r w:rsidRPr="00DA480D">
              <w:rPr>
                <w:lang w:val="en-US"/>
              </w:rPr>
              <w:t>5,000</w:t>
            </w:r>
          </w:p>
        </w:tc>
      </w:tr>
      <w:tr w:rsidR="00BE03A5" w:rsidRPr="00DA480D" w14:paraId="40405A41" w14:textId="77777777" w:rsidTr="00790F02">
        <w:tc>
          <w:tcPr>
            <w:tcW w:w="625" w:type="dxa"/>
          </w:tcPr>
          <w:p w14:paraId="17A72313" w14:textId="77777777" w:rsidR="00BE03A5" w:rsidRPr="00DA480D" w:rsidRDefault="00BE03A5" w:rsidP="00790F02">
            <w:pPr>
              <w:rPr>
                <w:lang w:val="en-US"/>
              </w:rPr>
            </w:pPr>
            <w:r w:rsidRPr="00DA480D">
              <w:rPr>
                <w:lang w:val="en-US"/>
              </w:rPr>
              <w:t xml:space="preserve">2. </w:t>
            </w:r>
          </w:p>
        </w:tc>
        <w:tc>
          <w:tcPr>
            <w:tcW w:w="5128" w:type="dxa"/>
          </w:tcPr>
          <w:p w14:paraId="01F95F55" w14:textId="77777777" w:rsidR="00BE03A5" w:rsidRPr="00DA480D" w:rsidRDefault="00BE03A5" w:rsidP="00790F02">
            <w:pPr>
              <w:rPr>
                <w:lang w:val="en-US"/>
              </w:rPr>
            </w:pPr>
            <w:r w:rsidRPr="00DA480D">
              <w:rPr>
                <w:lang w:val="en-US"/>
              </w:rPr>
              <w:t>Transportation</w:t>
            </w:r>
          </w:p>
        </w:tc>
        <w:tc>
          <w:tcPr>
            <w:tcW w:w="2877" w:type="dxa"/>
          </w:tcPr>
          <w:p w14:paraId="56CAE1AC" w14:textId="77777777" w:rsidR="00BE03A5" w:rsidRPr="00DA480D" w:rsidRDefault="00BE03A5" w:rsidP="00790F02">
            <w:pPr>
              <w:rPr>
                <w:lang w:val="en-US"/>
              </w:rPr>
            </w:pPr>
            <w:r w:rsidRPr="00DA480D">
              <w:rPr>
                <w:lang w:val="en-US"/>
              </w:rPr>
              <w:t>15,000</w:t>
            </w:r>
          </w:p>
        </w:tc>
      </w:tr>
      <w:tr w:rsidR="00BE03A5" w:rsidRPr="00DA480D" w14:paraId="7B117473" w14:textId="77777777" w:rsidTr="00790F02">
        <w:tc>
          <w:tcPr>
            <w:tcW w:w="625" w:type="dxa"/>
          </w:tcPr>
          <w:p w14:paraId="7FD34720" w14:textId="77777777" w:rsidR="00BE03A5" w:rsidRPr="00DA480D" w:rsidRDefault="00BE03A5" w:rsidP="00790F02">
            <w:pPr>
              <w:rPr>
                <w:lang w:val="en-US"/>
              </w:rPr>
            </w:pPr>
            <w:r w:rsidRPr="00DA480D">
              <w:rPr>
                <w:lang w:val="en-US"/>
              </w:rPr>
              <w:t>3.</w:t>
            </w:r>
          </w:p>
        </w:tc>
        <w:tc>
          <w:tcPr>
            <w:tcW w:w="5128" w:type="dxa"/>
          </w:tcPr>
          <w:p w14:paraId="675C9CD2" w14:textId="77777777" w:rsidR="00BE03A5" w:rsidRPr="00DA480D" w:rsidRDefault="00BE03A5" w:rsidP="00790F02">
            <w:pPr>
              <w:rPr>
                <w:lang w:val="en-US"/>
              </w:rPr>
            </w:pPr>
            <w:r w:rsidRPr="00DA480D">
              <w:rPr>
                <w:lang w:val="en-US"/>
              </w:rPr>
              <w:t>Streamgauging materials</w:t>
            </w:r>
          </w:p>
        </w:tc>
        <w:tc>
          <w:tcPr>
            <w:tcW w:w="2877" w:type="dxa"/>
          </w:tcPr>
          <w:p w14:paraId="66F90A6A" w14:textId="77777777" w:rsidR="00BE03A5" w:rsidRPr="00DA480D" w:rsidRDefault="00BE03A5" w:rsidP="00790F02">
            <w:pPr>
              <w:rPr>
                <w:lang w:val="en-US"/>
              </w:rPr>
            </w:pPr>
            <w:r w:rsidRPr="00DA480D">
              <w:rPr>
                <w:lang w:val="en-US"/>
              </w:rPr>
              <w:t>15,000</w:t>
            </w:r>
          </w:p>
        </w:tc>
      </w:tr>
      <w:tr w:rsidR="00BE03A5" w:rsidRPr="00DA480D" w14:paraId="77B6BC19" w14:textId="77777777" w:rsidTr="00790F02">
        <w:tc>
          <w:tcPr>
            <w:tcW w:w="625" w:type="dxa"/>
          </w:tcPr>
          <w:p w14:paraId="67AD47DA" w14:textId="77777777" w:rsidR="00BE03A5" w:rsidRPr="00DA480D" w:rsidRDefault="00BE03A5" w:rsidP="00790F02">
            <w:pPr>
              <w:rPr>
                <w:lang w:val="en-US"/>
              </w:rPr>
            </w:pPr>
            <w:r w:rsidRPr="00DA480D">
              <w:rPr>
                <w:lang w:val="en-US"/>
              </w:rPr>
              <w:t>4.</w:t>
            </w:r>
          </w:p>
        </w:tc>
        <w:tc>
          <w:tcPr>
            <w:tcW w:w="5128" w:type="dxa"/>
          </w:tcPr>
          <w:p w14:paraId="7DAA5B92" w14:textId="77777777" w:rsidR="00BE03A5" w:rsidRPr="00DA480D" w:rsidRDefault="00BE03A5" w:rsidP="00790F02">
            <w:pPr>
              <w:rPr>
                <w:lang w:val="en-US"/>
              </w:rPr>
            </w:pPr>
            <w:r w:rsidRPr="00DA480D">
              <w:rPr>
                <w:lang w:val="en-US"/>
              </w:rPr>
              <w:t>Stationery and Printing</w:t>
            </w:r>
          </w:p>
        </w:tc>
        <w:tc>
          <w:tcPr>
            <w:tcW w:w="2877" w:type="dxa"/>
          </w:tcPr>
          <w:p w14:paraId="0B87E707" w14:textId="77777777" w:rsidR="00BE03A5" w:rsidRPr="00DA480D" w:rsidRDefault="00BE03A5" w:rsidP="00790F02">
            <w:pPr>
              <w:rPr>
                <w:lang w:val="en-US"/>
              </w:rPr>
            </w:pPr>
            <w:r w:rsidRPr="00DA480D">
              <w:rPr>
                <w:lang w:val="en-US"/>
              </w:rPr>
              <w:t>30,000</w:t>
            </w:r>
          </w:p>
        </w:tc>
      </w:tr>
      <w:tr w:rsidR="00BE03A5" w:rsidRPr="00DA480D" w14:paraId="7A3194B0" w14:textId="77777777" w:rsidTr="00790F02">
        <w:tc>
          <w:tcPr>
            <w:tcW w:w="625" w:type="dxa"/>
          </w:tcPr>
          <w:p w14:paraId="385B1301" w14:textId="77777777" w:rsidR="00BE03A5" w:rsidRPr="00DA480D" w:rsidRDefault="00BE03A5" w:rsidP="00790F02">
            <w:pPr>
              <w:rPr>
                <w:lang w:val="en-US"/>
              </w:rPr>
            </w:pPr>
            <w:r w:rsidRPr="00DA480D">
              <w:rPr>
                <w:lang w:val="en-US"/>
              </w:rPr>
              <w:t>5.</w:t>
            </w:r>
          </w:p>
        </w:tc>
        <w:tc>
          <w:tcPr>
            <w:tcW w:w="5128" w:type="dxa"/>
          </w:tcPr>
          <w:p w14:paraId="18F4D406" w14:textId="77777777" w:rsidR="00BE03A5" w:rsidRPr="00DA480D" w:rsidRDefault="00BE03A5" w:rsidP="00790F02">
            <w:pPr>
              <w:rPr>
                <w:lang w:val="en-US"/>
              </w:rPr>
            </w:pPr>
            <w:r w:rsidRPr="00DA480D">
              <w:rPr>
                <w:lang w:val="en-US"/>
              </w:rPr>
              <w:t>Report Compilation</w:t>
            </w:r>
          </w:p>
        </w:tc>
        <w:tc>
          <w:tcPr>
            <w:tcW w:w="2877" w:type="dxa"/>
          </w:tcPr>
          <w:p w14:paraId="0376A8AD" w14:textId="77777777" w:rsidR="00BE03A5" w:rsidRPr="00DA480D" w:rsidRDefault="00BE03A5" w:rsidP="00790F02">
            <w:pPr>
              <w:rPr>
                <w:lang w:val="en-US"/>
              </w:rPr>
            </w:pPr>
            <w:r w:rsidRPr="00DA480D">
              <w:rPr>
                <w:lang w:val="en-US"/>
              </w:rPr>
              <w:t>15,000</w:t>
            </w:r>
          </w:p>
        </w:tc>
      </w:tr>
      <w:tr w:rsidR="00BE03A5" w:rsidRPr="00DA480D" w14:paraId="10DBB4C9" w14:textId="77777777" w:rsidTr="00790F02">
        <w:tc>
          <w:tcPr>
            <w:tcW w:w="625" w:type="dxa"/>
          </w:tcPr>
          <w:p w14:paraId="5B222BB5" w14:textId="77777777" w:rsidR="00BE03A5" w:rsidRPr="00DA480D" w:rsidRDefault="00BE03A5" w:rsidP="00790F02">
            <w:pPr>
              <w:rPr>
                <w:lang w:val="en-US"/>
              </w:rPr>
            </w:pPr>
            <w:r w:rsidRPr="00DA480D">
              <w:rPr>
                <w:lang w:val="en-US"/>
              </w:rPr>
              <w:t>6.</w:t>
            </w:r>
          </w:p>
        </w:tc>
        <w:tc>
          <w:tcPr>
            <w:tcW w:w="5128" w:type="dxa"/>
          </w:tcPr>
          <w:p w14:paraId="48F39DB0" w14:textId="77777777" w:rsidR="00BE03A5" w:rsidRPr="00DA480D" w:rsidRDefault="00BE03A5" w:rsidP="00790F02">
            <w:pPr>
              <w:rPr>
                <w:lang w:val="en-US"/>
              </w:rPr>
            </w:pPr>
            <w:r w:rsidRPr="00DA480D">
              <w:rPr>
                <w:lang w:val="en-US"/>
              </w:rPr>
              <w:t>Running Costs (Electricity and Bandwidth Access)</w:t>
            </w:r>
          </w:p>
        </w:tc>
        <w:tc>
          <w:tcPr>
            <w:tcW w:w="2877" w:type="dxa"/>
          </w:tcPr>
          <w:p w14:paraId="44F54819" w14:textId="77777777" w:rsidR="00BE03A5" w:rsidRPr="00DA480D" w:rsidRDefault="00BE03A5" w:rsidP="00790F02">
            <w:pPr>
              <w:rPr>
                <w:lang w:val="en-US"/>
              </w:rPr>
            </w:pPr>
            <w:r w:rsidRPr="00DA480D">
              <w:rPr>
                <w:lang w:val="en-US"/>
              </w:rPr>
              <w:t>20,000</w:t>
            </w:r>
          </w:p>
        </w:tc>
      </w:tr>
      <w:tr w:rsidR="00BE03A5" w:rsidRPr="00DA480D" w14:paraId="50137997" w14:textId="77777777" w:rsidTr="00790F02">
        <w:tc>
          <w:tcPr>
            <w:tcW w:w="625" w:type="dxa"/>
          </w:tcPr>
          <w:p w14:paraId="57B3445B" w14:textId="77777777" w:rsidR="00BE03A5" w:rsidRPr="00DA480D" w:rsidRDefault="00BE03A5" w:rsidP="00790F02">
            <w:pPr>
              <w:rPr>
                <w:lang w:val="en-US"/>
              </w:rPr>
            </w:pPr>
          </w:p>
        </w:tc>
        <w:tc>
          <w:tcPr>
            <w:tcW w:w="5128" w:type="dxa"/>
          </w:tcPr>
          <w:p w14:paraId="13523FE3" w14:textId="77777777" w:rsidR="00BE03A5" w:rsidRPr="00DA480D" w:rsidRDefault="00BE03A5" w:rsidP="00790F02">
            <w:pPr>
              <w:rPr>
                <w:lang w:val="en-US"/>
              </w:rPr>
            </w:pPr>
            <w:r w:rsidRPr="00DA480D">
              <w:rPr>
                <w:lang w:val="en-US"/>
              </w:rPr>
              <w:t>TOTAL</w:t>
            </w:r>
          </w:p>
        </w:tc>
        <w:tc>
          <w:tcPr>
            <w:tcW w:w="2877" w:type="dxa"/>
          </w:tcPr>
          <w:p w14:paraId="55699F5C" w14:textId="77777777" w:rsidR="00BE03A5" w:rsidRPr="00DA480D" w:rsidRDefault="00BE03A5" w:rsidP="00790F02">
            <w:pPr>
              <w:rPr>
                <w:lang w:val="en-US"/>
              </w:rPr>
            </w:pPr>
            <w:r w:rsidRPr="00DA480D">
              <w:rPr>
                <w:lang w:val="en-US"/>
              </w:rPr>
              <w:t>100,000</w:t>
            </w:r>
          </w:p>
        </w:tc>
      </w:tr>
    </w:tbl>
    <w:p w14:paraId="162C88A6" w14:textId="77777777" w:rsidR="00BE03A5" w:rsidRDefault="00BE03A5" w:rsidP="00BE03A5">
      <w:pPr>
        <w:rPr>
          <w:lang w:val="en-US"/>
        </w:rPr>
      </w:pPr>
    </w:p>
    <w:p w14:paraId="45830645" w14:textId="77777777" w:rsidR="00BE03A5" w:rsidRPr="00471FDA" w:rsidRDefault="00BE03A5" w:rsidP="00BE03A5">
      <w:pPr>
        <w:rPr>
          <w:lang w:val="en-US"/>
        </w:rPr>
      </w:pPr>
    </w:p>
    <w:p w14:paraId="4E946739" w14:textId="77777777" w:rsidR="00BE03A5" w:rsidRDefault="00BE03A5" w:rsidP="00BE03A5">
      <w:pPr>
        <w:pStyle w:val="Heading2"/>
        <w:rPr>
          <w:lang w:val="en-US"/>
        </w:rPr>
      </w:pPr>
      <w:bookmarkStart w:id="106" w:name="_Toc103521903"/>
      <w:bookmarkStart w:id="107" w:name="_Toc110502641"/>
      <w:r>
        <w:rPr>
          <w:lang w:val="en-US"/>
        </w:rPr>
        <w:t>APPENDIX III – MATLAB CODE FOR PROBABILISTIC MODELLING</w:t>
      </w:r>
      <w:bookmarkEnd w:id="106"/>
      <w:bookmarkEnd w:id="107"/>
    </w:p>
    <w:p w14:paraId="2E48CD99" w14:textId="77777777" w:rsidR="00BE03A5" w:rsidRDefault="00BE03A5" w:rsidP="00BE03A5">
      <w:pPr>
        <w:rPr>
          <w:lang w:val="en-US"/>
        </w:rPr>
      </w:pPr>
      <w:r>
        <w:rPr>
          <w:lang w:val="en-US"/>
        </w:rPr>
        <w:t>The MATLAB code written by the student for probabilistic modelling is presented. The code was developed in MATLAB R2020a and is not guaranteed to run in earlier versions. The code also refers to a data files that the student prepared using the data gathered during the research. The code starts after this sentence:</w:t>
      </w:r>
    </w:p>
    <w:p w14:paraId="3A0442E5" w14:textId="77777777" w:rsidR="00BE03A5" w:rsidRPr="005C1548" w:rsidRDefault="00BE03A5" w:rsidP="00BE03A5">
      <w:pPr>
        <w:rPr>
          <w:lang w:val="en-US"/>
        </w:rPr>
      </w:pPr>
      <w:r w:rsidRPr="005C1548">
        <w:rPr>
          <w:lang w:val="en-US"/>
        </w:rPr>
        <w:t>%% *Loading my Data.*</w:t>
      </w:r>
    </w:p>
    <w:p w14:paraId="50871CA3" w14:textId="77777777" w:rsidR="00BE03A5" w:rsidRPr="005C1548" w:rsidRDefault="00BE03A5" w:rsidP="00BE03A5">
      <w:pPr>
        <w:rPr>
          <w:lang w:val="en-US"/>
        </w:rPr>
      </w:pPr>
      <w:r w:rsidRPr="005C1548">
        <w:rPr>
          <w:lang w:val="en-US"/>
        </w:rPr>
        <w:t xml:space="preserve">% First, we load 'Windspeeds.mat' and create the timetable for the Arandun hourly </w:t>
      </w:r>
    </w:p>
    <w:p w14:paraId="6A62840F" w14:textId="77777777" w:rsidR="00BE03A5" w:rsidRPr="005C1548" w:rsidRDefault="00BE03A5" w:rsidP="00BE03A5">
      <w:pPr>
        <w:rPr>
          <w:lang w:val="en-US"/>
        </w:rPr>
      </w:pPr>
      <w:r w:rsidRPr="005C1548">
        <w:rPr>
          <w:lang w:val="en-US"/>
        </w:rPr>
        <w:t xml:space="preserve">% data with columns for datetime (from 1st January 2001 to 31st December 2021) </w:t>
      </w:r>
    </w:p>
    <w:p w14:paraId="60713466" w14:textId="77777777" w:rsidR="00BE03A5" w:rsidRPr="005C1548" w:rsidRDefault="00BE03A5" w:rsidP="00BE03A5">
      <w:pPr>
        <w:rPr>
          <w:lang w:val="en-US"/>
        </w:rPr>
      </w:pPr>
      <w:r w:rsidRPr="005C1548">
        <w:rPr>
          <w:lang w:val="en-US"/>
        </w:rPr>
        <w:t>% and then six more columns for:</w:t>
      </w:r>
    </w:p>
    <w:p w14:paraId="71F41E0B" w14:textId="77777777" w:rsidR="00BE03A5" w:rsidRPr="005C1548" w:rsidRDefault="00BE03A5" w:rsidP="00BE03A5">
      <w:pPr>
        <w:rPr>
          <w:lang w:val="en-US"/>
        </w:rPr>
      </w:pPr>
      <w:r w:rsidRPr="005C1548">
        <w:rPr>
          <w:lang w:val="en-US"/>
        </w:rPr>
        <w:t xml:space="preserve">% </w:t>
      </w:r>
    </w:p>
    <w:p w14:paraId="3D3188E7" w14:textId="77777777" w:rsidR="00BE03A5" w:rsidRPr="005C1548" w:rsidRDefault="00BE03A5" w:rsidP="00BE03A5">
      <w:pPr>
        <w:rPr>
          <w:lang w:val="en-US"/>
        </w:rPr>
      </w:pPr>
      <w:r w:rsidRPr="005C1548">
        <w:rPr>
          <w:lang w:val="en-US"/>
        </w:rPr>
        <w:t xml:space="preserve">% Hourly windspeed at 50m (in m/s), Wind direction ($\left.\circ \right)$, Temperature </w:t>
      </w:r>
    </w:p>
    <w:p w14:paraId="305DD7F7" w14:textId="77777777" w:rsidR="00BE03A5" w:rsidRPr="005C1548" w:rsidRDefault="00BE03A5" w:rsidP="00BE03A5">
      <w:pPr>
        <w:rPr>
          <w:lang w:val="en-US"/>
        </w:rPr>
      </w:pPr>
      <w:r w:rsidRPr="005C1548">
        <w:rPr>
          <w:lang w:val="en-US"/>
        </w:rPr>
        <w:t xml:space="preserve">% ($\circ$C), Precipitation(mm/hour), All Sky Surface Shortwave Downward Irradiance </w:t>
      </w:r>
    </w:p>
    <w:p w14:paraId="1B32F49A" w14:textId="77777777" w:rsidR="00BE03A5" w:rsidRPr="005C1548" w:rsidRDefault="00BE03A5" w:rsidP="00BE03A5">
      <w:pPr>
        <w:rPr>
          <w:lang w:val="en-US"/>
        </w:rPr>
      </w:pPr>
      <w:r w:rsidRPr="005C1548">
        <w:rPr>
          <w:lang w:val="en-US"/>
        </w:rPr>
        <w:t>% (Wh/m^2), and Albedo(dimensionless).</w:t>
      </w:r>
    </w:p>
    <w:p w14:paraId="0CDE7192" w14:textId="77777777" w:rsidR="00BE03A5" w:rsidRPr="005C1548" w:rsidRDefault="00BE03A5" w:rsidP="00BE03A5">
      <w:pPr>
        <w:rPr>
          <w:lang w:val="en-US"/>
        </w:rPr>
      </w:pPr>
      <w:r w:rsidRPr="005C1548">
        <w:rPr>
          <w:lang w:val="en-US"/>
        </w:rPr>
        <w:t xml:space="preserve">% </w:t>
      </w:r>
    </w:p>
    <w:p w14:paraId="4CB7954D" w14:textId="77777777" w:rsidR="00BE03A5" w:rsidRPr="005C1548" w:rsidRDefault="00BE03A5" w:rsidP="00BE03A5">
      <w:pPr>
        <w:rPr>
          <w:lang w:val="en-US"/>
        </w:rPr>
      </w:pPr>
      <w:r w:rsidRPr="005C1548">
        <w:rPr>
          <w:lang w:val="en-US"/>
        </w:rPr>
        <w:t xml:space="preserve">% We also load the 'hydrodata' as an array which it already is, since it was </w:t>
      </w:r>
    </w:p>
    <w:p w14:paraId="39E78BB5" w14:textId="77777777" w:rsidR="00BE03A5" w:rsidRPr="005C1548" w:rsidRDefault="00BE03A5" w:rsidP="00BE03A5">
      <w:pPr>
        <w:rPr>
          <w:lang w:val="en-US"/>
        </w:rPr>
      </w:pPr>
      <w:r w:rsidRPr="005C1548">
        <w:rPr>
          <w:lang w:val="en-US"/>
        </w:rPr>
        <w:t>% not sourced from NASA like the other data.</w:t>
      </w:r>
    </w:p>
    <w:p w14:paraId="02E76557" w14:textId="77777777" w:rsidR="00BE03A5" w:rsidRPr="005C1548" w:rsidRDefault="00BE03A5" w:rsidP="00BE03A5">
      <w:pPr>
        <w:rPr>
          <w:lang w:val="en-US"/>
        </w:rPr>
      </w:pPr>
      <w:r w:rsidRPr="005C1548">
        <w:rPr>
          <w:lang w:val="en-US"/>
        </w:rPr>
        <w:t xml:space="preserve">% </w:t>
      </w:r>
    </w:p>
    <w:p w14:paraId="02277222" w14:textId="77777777" w:rsidR="00BE03A5" w:rsidRPr="005C1548" w:rsidRDefault="00BE03A5" w:rsidP="00BE03A5">
      <w:pPr>
        <w:rPr>
          <w:lang w:val="en-US"/>
        </w:rPr>
      </w:pPr>
      <w:r w:rsidRPr="005C1548">
        <w:rPr>
          <w:lang w:val="en-US"/>
        </w:rPr>
        <w:t xml:space="preserve">% We also load the load data as a table containing mu and sigma as per month </w:t>
      </w:r>
    </w:p>
    <w:p w14:paraId="3E522652" w14:textId="77777777" w:rsidR="00BE03A5" w:rsidRPr="005C1548" w:rsidRDefault="00BE03A5" w:rsidP="00BE03A5">
      <w:pPr>
        <w:rPr>
          <w:lang w:val="en-US"/>
        </w:rPr>
      </w:pPr>
      <w:r w:rsidRPr="005C1548">
        <w:rPr>
          <w:lang w:val="en-US"/>
        </w:rPr>
        <w:t>% from loadmonthly.mat</w:t>
      </w:r>
    </w:p>
    <w:p w14:paraId="7094E974" w14:textId="77777777" w:rsidR="00BE03A5" w:rsidRPr="005C1548" w:rsidRDefault="00BE03A5" w:rsidP="00BE03A5">
      <w:pPr>
        <w:rPr>
          <w:lang w:val="en-US"/>
        </w:rPr>
      </w:pPr>
      <w:r w:rsidRPr="005C1548">
        <w:rPr>
          <w:lang w:val="en-US"/>
        </w:rPr>
        <w:t xml:space="preserve">% </w:t>
      </w:r>
    </w:p>
    <w:p w14:paraId="1BCCFF41" w14:textId="77777777" w:rsidR="00BE03A5" w:rsidRPr="005C1548" w:rsidRDefault="00BE03A5" w:rsidP="00BE03A5">
      <w:pPr>
        <w:rPr>
          <w:lang w:val="en-US"/>
        </w:rPr>
      </w:pPr>
      <w:r w:rsidRPr="005C1548">
        <w:rPr>
          <w:lang w:val="en-US"/>
        </w:rPr>
        <w:t xml:space="preserve">% We also load the monthsTable.mat to supply month names and lengths in days </w:t>
      </w:r>
    </w:p>
    <w:p w14:paraId="22691AAF" w14:textId="77777777" w:rsidR="00BE03A5" w:rsidRPr="005C1548" w:rsidRDefault="00BE03A5" w:rsidP="00BE03A5">
      <w:pPr>
        <w:rPr>
          <w:lang w:val="en-US"/>
        </w:rPr>
      </w:pPr>
      <w:r w:rsidRPr="005C1548">
        <w:rPr>
          <w:lang w:val="en-US"/>
        </w:rPr>
        <w:t>% and hours when needed during the simulations.</w:t>
      </w:r>
    </w:p>
    <w:p w14:paraId="35317CA6" w14:textId="77777777" w:rsidR="00BE03A5" w:rsidRPr="005C1548" w:rsidRDefault="00BE03A5" w:rsidP="00BE03A5">
      <w:pPr>
        <w:rPr>
          <w:lang w:val="en-US"/>
        </w:rPr>
      </w:pPr>
      <w:r w:rsidRPr="005C1548">
        <w:rPr>
          <w:lang w:val="en-US"/>
        </w:rPr>
        <w:t xml:space="preserve">% </w:t>
      </w:r>
    </w:p>
    <w:p w14:paraId="4687B450" w14:textId="77777777" w:rsidR="00BE03A5" w:rsidRPr="005C1548" w:rsidRDefault="00BE03A5" w:rsidP="00BE03A5">
      <w:pPr>
        <w:rPr>
          <w:lang w:val="en-US"/>
        </w:rPr>
      </w:pPr>
      <w:r w:rsidRPr="005C1548">
        <w:rPr>
          <w:lang w:val="en-US"/>
        </w:rPr>
        <w:t xml:space="preserve">% We also load the data for the DNI from </w:t>
      </w:r>
    </w:p>
    <w:p w14:paraId="5F1D29E4" w14:textId="77777777" w:rsidR="00BE03A5" w:rsidRPr="005C1548" w:rsidRDefault="00BE03A5" w:rsidP="00BE03A5">
      <w:pPr>
        <w:rPr>
          <w:lang w:val="en-US"/>
        </w:rPr>
      </w:pPr>
      <w:r w:rsidRPr="005C1548">
        <w:rPr>
          <w:lang w:val="en-US"/>
        </w:rPr>
        <w:t xml:space="preserve"> </w:t>
      </w:r>
    </w:p>
    <w:p w14:paraId="7CDCFEF2" w14:textId="77777777" w:rsidR="00BE03A5" w:rsidRPr="005C1548" w:rsidRDefault="00BE03A5" w:rsidP="00BE03A5">
      <w:pPr>
        <w:rPr>
          <w:lang w:val="en-US"/>
        </w:rPr>
      </w:pPr>
      <w:r w:rsidRPr="005C1548">
        <w:rPr>
          <w:lang w:val="en-US"/>
        </w:rPr>
        <w:t>tic</w:t>
      </w:r>
    </w:p>
    <w:p w14:paraId="452D7210" w14:textId="77777777" w:rsidR="00BE03A5" w:rsidRPr="005C1548" w:rsidRDefault="00BE03A5" w:rsidP="00BE03A5">
      <w:pPr>
        <w:rPr>
          <w:lang w:val="en-US"/>
        </w:rPr>
      </w:pPr>
      <w:r w:rsidRPr="005C1548">
        <w:rPr>
          <w:lang w:val="en-US"/>
        </w:rPr>
        <w:t>load('Windspeeds.mat');</w:t>
      </w:r>
    </w:p>
    <w:p w14:paraId="7B7DBC3B" w14:textId="77777777" w:rsidR="00BE03A5" w:rsidRPr="005C1548" w:rsidRDefault="00BE03A5" w:rsidP="00BE03A5">
      <w:pPr>
        <w:rPr>
          <w:lang w:val="en-US"/>
        </w:rPr>
      </w:pPr>
      <w:r w:rsidRPr="005C1548">
        <w:rPr>
          <w:lang w:val="en-US"/>
        </w:rPr>
        <w:t>load("hydrodata.mat");</w:t>
      </w:r>
    </w:p>
    <w:p w14:paraId="21AB1D45" w14:textId="77777777" w:rsidR="00BE03A5" w:rsidRPr="005C1548" w:rsidRDefault="00BE03A5" w:rsidP="00BE03A5">
      <w:pPr>
        <w:rPr>
          <w:lang w:val="en-US"/>
        </w:rPr>
      </w:pPr>
      <w:r w:rsidRPr="005C1548">
        <w:rPr>
          <w:lang w:val="en-US"/>
        </w:rPr>
        <w:t>hourlyData = wind_arandun;</w:t>
      </w:r>
    </w:p>
    <w:p w14:paraId="3C8EA108" w14:textId="77777777" w:rsidR="00BE03A5" w:rsidRPr="005C1548" w:rsidRDefault="00BE03A5" w:rsidP="00BE03A5">
      <w:pPr>
        <w:rPr>
          <w:lang w:val="en-US"/>
        </w:rPr>
      </w:pPr>
      <w:r w:rsidRPr="005C1548">
        <w:rPr>
          <w:lang w:val="en-US"/>
        </w:rPr>
        <w:t>load('loadmonthly.mat');</w:t>
      </w:r>
    </w:p>
    <w:p w14:paraId="46C475E4" w14:textId="77777777" w:rsidR="00BE03A5" w:rsidRPr="005C1548" w:rsidRDefault="00BE03A5" w:rsidP="00BE03A5">
      <w:pPr>
        <w:rPr>
          <w:lang w:val="en-US"/>
        </w:rPr>
      </w:pPr>
      <w:r w:rsidRPr="005C1548">
        <w:rPr>
          <w:lang w:val="en-US"/>
        </w:rPr>
        <w:t>loadmusgima = table2array(FeederMonthlyMeasurements);</w:t>
      </w:r>
    </w:p>
    <w:p w14:paraId="79EB7854" w14:textId="77777777" w:rsidR="00BE03A5" w:rsidRPr="005C1548" w:rsidRDefault="00BE03A5" w:rsidP="00BE03A5">
      <w:pPr>
        <w:rPr>
          <w:lang w:val="en-US"/>
        </w:rPr>
      </w:pPr>
      <w:r w:rsidRPr="005C1548">
        <w:rPr>
          <w:lang w:val="en-US"/>
        </w:rPr>
        <w:t>load monthsTable.mat;</w:t>
      </w:r>
    </w:p>
    <w:p w14:paraId="597419D0" w14:textId="77777777" w:rsidR="00BE03A5" w:rsidRPr="005C1548" w:rsidRDefault="00BE03A5" w:rsidP="00BE03A5">
      <w:pPr>
        <w:rPr>
          <w:lang w:val="en-US"/>
        </w:rPr>
      </w:pPr>
      <w:r w:rsidRPr="005C1548">
        <w:rPr>
          <w:lang w:val="en-US"/>
        </w:rPr>
        <w:t>load DNImonthly.mat;</w:t>
      </w:r>
    </w:p>
    <w:p w14:paraId="560F1E99" w14:textId="77777777" w:rsidR="00BE03A5" w:rsidRPr="005C1548" w:rsidRDefault="00BE03A5" w:rsidP="00BE03A5">
      <w:pPr>
        <w:rPr>
          <w:lang w:val="en-US"/>
        </w:rPr>
      </w:pPr>
      <w:r w:rsidRPr="005C1548">
        <w:rPr>
          <w:lang w:val="en-US"/>
        </w:rPr>
        <w:t>montharray = monthsTable.monthName;</w:t>
      </w:r>
    </w:p>
    <w:p w14:paraId="1D15ABDA" w14:textId="77777777" w:rsidR="00BE03A5" w:rsidRPr="005C1548" w:rsidRDefault="00BE03A5" w:rsidP="00BE03A5">
      <w:pPr>
        <w:rPr>
          <w:lang w:val="en-US"/>
        </w:rPr>
      </w:pPr>
      <w:r w:rsidRPr="005C1548">
        <w:rPr>
          <w:lang w:val="en-US"/>
        </w:rPr>
        <w:t xml:space="preserve">%% </w:t>
      </w:r>
    </w:p>
    <w:p w14:paraId="636E7C9F" w14:textId="77777777" w:rsidR="00BE03A5" w:rsidRPr="005C1548" w:rsidRDefault="00BE03A5" w:rsidP="00BE03A5">
      <w:pPr>
        <w:rPr>
          <w:lang w:val="en-US"/>
        </w:rPr>
      </w:pPr>
      <w:r w:rsidRPr="005C1548">
        <w:rPr>
          <w:lang w:val="en-US"/>
        </w:rPr>
        <w:t xml:space="preserve">% Next, we extract the data for each month. 12 tables are created from the original </w:t>
      </w:r>
    </w:p>
    <w:p w14:paraId="20AFC2F8" w14:textId="77777777" w:rsidR="00BE03A5" w:rsidRPr="005C1548" w:rsidRDefault="00BE03A5" w:rsidP="00BE03A5">
      <w:pPr>
        <w:rPr>
          <w:lang w:val="en-US"/>
        </w:rPr>
      </w:pPr>
      <w:r w:rsidRPr="005C1548">
        <w:rPr>
          <w:lang w:val="en-US"/>
        </w:rPr>
        <w:t xml:space="preserve">% table with extraction and grouping of rows sharing common months. A cell array, </w:t>
      </w:r>
    </w:p>
    <w:p w14:paraId="11D76A74" w14:textId="77777777" w:rsidR="00BE03A5" w:rsidRPr="005C1548" w:rsidRDefault="00BE03A5" w:rsidP="00BE03A5">
      <w:pPr>
        <w:rPr>
          <w:lang w:val="en-US"/>
        </w:rPr>
      </w:pPr>
      <w:r w:rsidRPr="005C1548">
        <w:rPr>
          <w:lang w:val="en-US"/>
        </w:rPr>
        <w:t>% monthCell, holds each month's timetable.</w:t>
      </w:r>
    </w:p>
    <w:p w14:paraId="101BAD20" w14:textId="77777777" w:rsidR="00BE03A5" w:rsidRPr="005C1548" w:rsidRDefault="00BE03A5" w:rsidP="00BE03A5">
      <w:pPr>
        <w:rPr>
          <w:lang w:val="en-US"/>
        </w:rPr>
      </w:pPr>
      <w:r w:rsidRPr="005C1548">
        <w:rPr>
          <w:lang w:val="en-US"/>
        </w:rPr>
        <w:t xml:space="preserve"> </w:t>
      </w:r>
    </w:p>
    <w:p w14:paraId="10CD54F5" w14:textId="77777777" w:rsidR="00BE03A5" w:rsidRPr="005C1548" w:rsidRDefault="00BE03A5" w:rsidP="00BE03A5">
      <w:pPr>
        <w:rPr>
          <w:lang w:val="en-US"/>
        </w:rPr>
      </w:pPr>
      <w:r w:rsidRPr="005C1548">
        <w:rPr>
          <w:lang w:val="en-US"/>
        </w:rPr>
        <w:t>monthCell = cell(1,12);</w:t>
      </w:r>
    </w:p>
    <w:p w14:paraId="3040F48D" w14:textId="77777777" w:rsidR="00BE03A5" w:rsidRPr="005C1548" w:rsidRDefault="00BE03A5" w:rsidP="00BE03A5">
      <w:pPr>
        <w:rPr>
          <w:lang w:val="en-US"/>
        </w:rPr>
      </w:pPr>
      <w:r w:rsidRPr="005C1548">
        <w:rPr>
          <w:lang w:val="en-US"/>
        </w:rPr>
        <w:t xml:space="preserve">%% </w:t>
      </w:r>
    </w:p>
    <w:p w14:paraId="46F28BE1" w14:textId="77777777" w:rsidR="00BE03A5" w:rsidRPr="005C1548" w:rsidRDefault="00BE03A5" w:rsidP="00BE03A5">
      <w:pPr>
        <w:rPr>
          <w:lang w:val="en-US"/>
        </w:rPr>
      </w:pPr>
      <w:r w:rsidRPr="005C1548">
        <w:rPr>
          <w:lang w:val="en-US"/>
        </w:rPr>
        <w:t>% Populating the cell array and splitting the data by months,</w:t>
      </w:r>
    </w:p>
    <w:p w14:paraId="61ED1B97" w14:textId="77777777" w:rsidR="00BE03A5" w:rsidRPr="005C1548" w:rsidRDefault="00BE03A5" w:rsidP="00BE03A5">
      <w:pPr>
        <w:rPr>
          <w:lang w:val="en-US"/>
        </w:rPr>
      </w:pPr>
      <w:r w:rsidRPr="005C1548">
        <w:rPr>
          <w:lang w:val="en-US"/>
        </w:rPr>
        <w:t xml:space="preserve"> </w:t>
      </w:r>
    </w:p>
    <w:p w14:paraId="60485C6D" w14:textId="77777777" w:rsidR="00BE03A5" w:rsidRPr="005C1548" w:rsidRDefault="00BE03A5" w:rsidP="00BE03A5">
      <w:pPr>
        <w:rPr>
          <w:lang w:val="en-US"/>
        </w:rPr>
      </w:pPr>
      <w:r w:rsidRPr="005C1548">
        <w:rPr>
          <w:lang w:val="en-US"/>
        </w:rPr>
        <w:t>for f = 1:length(monthCell)</w:t>
      </w:r>
    </w:p>
    <w:p w14:paraId="530EA301" w14:textId="77777777" w:rsidR="00BE03A5" w:rsidRPr="005C1548" w:rsidRDefault="00BE03A5" w:rsidP="00BE03A5">
      <w:pPr>
        <w:rPr>
          <w:lang w:val="en-US"/>
        </w:rPr>
      </w:pPr>
      <w:r w:rsidRPr="005C1548">
        <w:rPr>
          <w:lang w:val="en-US"/>
        </w:rPr>
        <w:t xml:space="preserve">    TR = (month(hourlyData.VarName7) == f);</w:t>
      </w:r>
    </w:p>
    <w:p w14:paraId="73903C4B" w14:textId="77777777" w:rsidR="00BE03A5" w:rsidRPr="005C1548" w:rsidRDefault="00BE03A5" w:rsidP="00BE03A5">
      <w:pPr>
        <w:rPr>
          <w:lang w:val="en-US"/>
        </w:rPr>
      </w:pPr>
      <w:r w:rsidRPr="005C1548">
        <w:rPr>
          <w:lang w:val="en-US"/>
        </w:rPr>
        <w:t xml:space="preserve">    monthCell{f} = hourlyData(TR,:);</w:t>
      </w:r>
    </w:p>
    <w:p w14:paraId="7F660EC4" w14:textId="77777777" w:rsidR="00BE03A5" w:rsidRPr="005C1548" w:rsidRDefault="00BE03A5" w:rsidP="00BE03A5">
      <w:pPr>
        <w:rPr>
          <w:lang w:val="en-US"/>
        </w:rPr>
      </w:pPr>
      <w:r w:rsidRPr="005C1548">
        <w:rPr>
          <w:lang w:val="en-US"/>
        </w:rPr>
        <w:t>end</w:t>
      </w:r>
    </w:p>
    <w:p w14:paraId="0951696C" w14:textId="77777777" w:rsidR="00BE03A5" w:rsidRPr="005C1548" w:rsidRDefault="00BE03A5" w:rsidP="00BE03A5">
      <w:pPr>
        <w:rPr>
          <w:lang w:val="en-US"/>
        </w:rPr>
      </w:pPr>
      <w:r w:rsidRPr="005C1548">
        <w:rPr>
          <w:lang w:val="en-US"/>
        </w:rPr>
        <w:t xml:space="preserve">%% </w:t>
      </w:r>
    </w:p>
    <w:p w14:paraId="1345FD39" w14:textId="77777777" w:rsidR="00BE03A5" w:rsidRPr="005C1548" w:rsidRDefault="00BE03A5" w:rsidP="00BE03A5">
      <w:pPr>
        <w:rPr>
          <w:lang w:val="en-US"/>
        </w:rPr>
      </w:pPr>
      <w:r w:rsidRPr="005C1548">
        <w:rPr>
          <w:lang w:val="en-US"/>
        </w:rPr>
        <w:t xml:space="preserve">% Now, we create the probability functions for each month and store each one </w:t>
      </w:r>
    </w:p>
    <w:p w14:paraId="7F1034E4" w14:textId="77777777" w:rsidR="00BE03A5" w:rsidRPr="005C1548" w:rsidRDefault="00BE03A5" w:rsidP="00BE03A5">
      <w:pPr>
        <w:rPr>
          <w:lang w:val="en-US"/>
        </w:rPr>
      </w:pPr>
      <w:r w:rsidRPr="005C1548">
        <w:rPr>
          <w:lang w:val="en-US"/>
        </w:rPr>
        <w:t xml:space="preserve">% in a cell array as well. To do this, we declare four cell arrays for four sets </w:t>
      </w:r>
    </w:p>
    <w:p w14:paraId="2BCA1015" w14:textId="77777777" w:rsidR="00BE03A5" w:rsidRPr="005C1548" w:rsidRDefault="00BE03A5" w:rsidP="00BE03A5">
      <w:pPr>
        <w:rPr>
          <w:lang w:val="en-US"/>
        </w:rPr>
      </w:pPr>
      <w:r w:rsidRPr="005C1548">
        <w:rPr>
          <w:lang w:val="en-US"/>
        </w:rPr>
        <w:t xml:space="preserve">% of pdfs for wind, irradiation, hydro streamflow, load demand, and DNI simultaneously </w:t>
      </w:r>
    </w:p>
    <w:p w14:paraId="01D7B5D9" w14:textId="77777777" w:rsidR="00BE03A5" w:rsidRPr="005C1548" w:rsidRDefault="00BE03A5" w:rsidP="00BE03A5">
      <w:pPr>
        <w:rPr>
          <w:lang w:val="en-US"/>
        </w:rPr>
      </w:pPr>
      <w:r w:rsidRPr="005C1548">
        <w:rPr>
          <w:lang w:val="en-US"/>
        </w:rPr>
        <w:t>% using "deal".</w:t>
      </w:r>
    </w:p>
    <w:p w14:paraId="4B67EC7F" w14:textId="77777777" w:rsidR="00BE03A5" w:rsidRPr="005C1548" w:rsidRDefault="00BE03A5" w:rsidP="00BE03A5">
      <w:pPr>
        <w:rPr>
          <w:lang w:val="en-US"/>
        </w:rPr>
      </w:pPr>
      <w:r w:rsidRPr="005C1548">
        <w:rPr>
          <w:lang w:val="en-US"/>
        </w:rPr>
        <w:t xml:space="preserve"> </w:t>
      </w:r>
    </w:p>
    <w:p w14:paraId="6CE8937C" w14:textId="77777777" w:rsidR="00BE03A5" w:rsidRPr="005C1548" w:rsidRDefault="00BE03A5" w:rsidP="00BE03A5">
      <w:pPr>
        <w:rPr>
          <w:lang w:val="en-US"/>
        </w:rPr>
      </w:pPr>
      <w:r w:rsidRPr="005C1548">
        <w:rPr>
          <w:lang w:val="en-US"/>
        </w:rPr>
        <w:t>[windPdfs,solarPdfs,hydroPdfs,loadPdfs,DniPdfs] = deal(cell(1,12));</w:t>
      </w:r>
    </w:p>
    <w:p w14:paraId="316EFA9A" w14:textId="77777777" w:rsidR="00BE03A5" w:rsidRPr="005C1548" w:rsidRDefault="00BE03A5" w:rsidP="00BE03A5">
      <w:pPr>
        <w:rPr>
          <w:lang w:val="en-US"/>
        </w:rPr>
      </w:pPr>
      <w:r w:rsidRPr="005C1548">
        <w:rPr>
          <w:lang w:val="en-US"/>
        </w:rPr>
        <w:t xml:space="preserve">%% </w:t>
      </w:r>
    </w:p>
    <w:p w14:paraId="0990B7D8" w14:textId="77777777" w:rsidR="00BE03A5" w:rsidRPr="005C1548" w:rsidRDefault="00BE03A5" w:rsidP="00BE03A5">
      <w:pPr>
        <w:rPr>
          <w:lang w:val="en-US"/>
        </w:rPr>
      </w:pPr>
      <w:r w:rsidRPr="005C1548">
        <w:rPr>
          <w:lang w:val="en-US"/>
        </w:rPr>
        <w:t>% Next, we get all 12 wind pdfs with a for loop</w:t>
      </w:r>
    </w:p>
    <w:p w14:paraId="0FE9A167" w14:textId="77777777" w:rsidR="00BE03A5" w:rsidRPr="005C1548" w:rsidRDefault="00BE03A5" w:rsidP="00BE03A5">
      <w:pPr>
        <w:rPr>
          <w:lang w:val="en-US"/>
        </w:rPr>
      </w:pPr>
      <w:r w:rsidRPr="005C1548">
        <w:rPr>
          <w:lang w:val="en-US"/>
        </w:rPr>
        <w:t xml:space="preserve"> </w:t>
      </w:r>
    </w:p>
    <w:p w14:paraId="10E1AE48" w14:textId="77777777" w:rsidR="00BE03A5" w:rsidRPr="005C1548" w:rsidRDefault="00BE03A5" w:rsidP="00BE03A5">
      <w:pPr>
        <w:rPr>
          <w:lang w:val="en-US"/>
        </w:rPr>
      </w:pPr>
      <w:r w:rsidRPr="005C1548">
        <w:rPr>
          <w:lang w:val="en-US"/>
        </w:rPr>
        <w:t>for m = 1:length(windPdfs)</w:t>
      </w:r>
    </w:p>
    <w:p w14:paraId="3CE7CD08" w14:textId="77777777" w:rsidR="00BE03A5" w:rsidRPr="005C1548" w:rsidRDefault="00BE03A5" w:rsidP="00BE03A5">
      <w:pPr>
        <w:rPr>
          <w:lang w:val="en-US"/>
        </w:rPr>
      </w:pPr>
      <w:r w:rsidRPr="005C1548">
        <w:rPr>
          <w:lang w:val="en-US"/>
        </w:rPr>
        <w:t xml:space="preserve">    x = monthCell{m}.windspeed;</w:t>
      </w:r>
    </w:p>
    <w:p w14:paraId="23B193AF" w14:textId="77777777" w:rsidR="00BE03A5" w:rsidRPr="005C1548" w:rsidRDefault="00BE03A5" w:rsidP="00BE03A5">
      <w:pPr>
        <w:rPr>
          <w:lang w:val="en-US"/>
        </w:rPr>
      </w:pPr>
      <w:r w:rsidRPr="005C1548">
        <w:rPr>
          <w:lang w:val="en-US"/>
        </w:rPr>
        <w:t xml:space="preserve">    windPdfs{m} = fitdist(x,"Weibull");</w:t>
      </w:r>
    </w:p>
    <w:p w14:paraId="6E7B6A00" w14:textId="77777777" w:rsidR="00BE03A5" w:rsidRPr="005C1548" w:rsidRDefault="00BE03A5" w:rsidP="00BE03A5">
      <w:pPr>
        <w:rPr>
          <w:lang w:val="en-US"/>
        </w:rPr>
      </w:pPr>
      <w:r w:rsidRPr="005C1548">
        <w:rPr>
          <w:lang w:val="en-US"/>
        </w:rPr>
        <w:t xml:space="preserve">    pdw = windPdfs{m};</w:t>
      </w:r>
    </w:p>
    <w:p w14:paraId="0F9E8281" w14:textId="77777777" w:rsidR="00BE03A5" w:rsidRPr="005C1548" w:rsidRDefault="00BE03A5" w:rsidP="00BE03A5">
      <w:pPr>
        <w:rPr>
          <w:lang w:val="en-US"/>
        </w:rPr>
      </w:pPr>
      <w:r w:rsidRPr="005C1548">
        <w:rPr>
          <w:lang w:val="en-US"/>
        </w:rPr>
        <w:t xml:space="preserve">    xpdfw = linspace(0.05,max(x),1000);</w:t>
      </w:r>
    </w:p>
    <w:p w14:paraId="4F01561F" w14:textId="77777777" w:rsidR="00BE03A5" w:rsidRPr="005C1548" w:rsidRDefault="00BE03A5" w:rsidP="00BE03A5">
      <w:pPr>
        <w:rPr>
          <w:lang w:val="en-US"/>
        </w:rPr>
      </w:pPr>
      <w:r w:rsidRPr="005C1548">
        <w:rPr>
          <w:lang w:val="en-US"/>
        </w:rPr>
        <w:t xml:space="preserve">    ypdfw = pdf(pdw,xpdfw);</w:t>
      </w:r>
    </w:p>
    <w:p w14:paraId="0151B324" w14:textId="77777777" w:rsidR="00BE03A5" w:rsidRPr="005C1548" w:rsidRDefault="00BE03A5" w:rsidP="00BE03A5">
      <w:pPr>
        <w:rPr>
          <w:lang w:val="en-US"/>
        </w:rPr>
      </w:pPr>
      <w:r w:rsidRPr="005C1548">
        <w:rPr>
          <w:lang w:val="en-US"/>
        </w:rPr>
        <w:t xml:space="preserve">    figure</w:t>
      </w:r>
    </w:p>
    <w:p w14:paraId="36521152" w14:textId="77777777" w:rsidR="00BE03A5" w:rsidRPr="005C1548" w:rsidRDefault="00BE03A5" w:rsidP="00BE03A5">
      <w:pPr>
        <w:rPr>
          <w:lang w:val="en-US"/>
        </w:rPr>
      </w:pPr>
      <w:r w:rsidRPr="005C1548">
        <w:rPr>
          <w:lang w:val="en-US"/>
        </w:rPr>
        <w:t xml:space="preserve">    histogram(x,'Normalization',"pdf")</w:t>
      </w:r>
    </w:p>
    <w:p w14:paraId="056F34D6" w14:textId="77777777" w:rsidR="00BE03A5" w:rsidRPr="005C1548" w:rsidRDefault="00BE03A5" w:rsidP="00BE03A5">
      <w:pPr>
        <w:rPr>
          <w:lang w:val="en-US"/>
        </w:rPr>
      </w:pPr>
      <w:r w:rsidRPr="005C1548">
        <w:rPr>
          <w:lang w:val="en-US"/>
        </w:rPr>
        <w:t xml:space="preserve">    line(xpdfw,ypdfw,'Color','red','Linewidth',1)</w:t>
      </w:r>
    </w:p>
    <w:p w14:paraId="164A9D9B" w14:textId="77777777" w:rsidR="00BE03A5" w:rsidRPr="005C1548" w:rsidRDefault="00BE03A5" w:rsidP="00BE03A5">
      <w:pPr>
        <w:rPr>
          <w:lang w:val="en-US"/>
        </w:rPr>
      </w:pPr>
      <w:r w:rsidRPr="005C1548">
        <w:rPr>
          <w:lang w:val="en-US"/>
        </w:rPr>
        <w:t xml:space="preserve">    titlestrg = ['Wind pdf ', num2str(m)];</w:t>
      </w:r>
    </w:p>
    <w:p w14:paraId="478D0F10" w14:textId="77777777" w:rsidR="00BE03A5" w:rsidRPr="005C1548" w:rsidRDefault="00BE03A5" w:rsidP="00BE03A5">
      <w:pPr>
        <w:rPr>
          <w:lang w:val="en-US"/>
        </w:rPr>
      </w:pPr>
      <w:r w:rsidRPr="005C1548">
        <w:rPr>
          <w:lang w:val="en-US"/>
        </w:rPr>
        <w:t xml:space="preserve">    xlabel('Windspeeds in '+ montharray(m)+' (m/s)')</w:t>
      </w:r>
    </w:p>
    <w:p w14:paraId="0987A4CB" w14:textId="77777777" w:rsidR="00BE03A5" w:rsidRPr="005C1548" w:rsidRDefault="00BE03A5" w:rsidP="00BE03A5">
      <w:pPr>
        <w:rPr>
          <w:lang w:val="en-US"/>
        </w:rPr>
      </w:pPr>
      <w:r w:rsidRPr="005C1548">
        <w:rPr>
          <w:lang w:val="en-US"/>
        </w:rPr>
        <w:t xml:space="preserve">    ylabel('Probability distribution')</w:t>
      </w:r>
    </w:p>
    <w:p w14:paraId="33C9BA44" w14:textId="77777777" w:rsidR="00BE03A5" w:rsidRPr="005C1548" w:rsidRDefault="00BE03A5" w:rsidP="00BE03A5">
      <w:pPr>
        <w:rPr>
          <w:lang w:val="en-US"/>
        </w:rPr>
      </w:pPr>
      <w:r w:rsidRPr="005C1548">
        <w:rPr>
          <w:lang w:val="en-US"/>
        </w:rPr>
        <w:t xml:space="preserve">    %title(titlestrg)</w:t>
      </w:r>
    </w:p>
    <w:p w14:paraId="5CFB9739" w14:textId="77777777" w:rsidR="00BE03A5" w:rsidRPr="005C1548" w:rsidRDefault="00BE03A5" w:rsidP="00BE03A5">
      <w:pPr>
        <w:rPr>
          <w:lang w:val="en-US"/>
        </w:rPr>
      </w:pPr>
      <w:r w:rsidRPr="005C1548">
        <w:rPr>
          <w:lang w:val="en-US"/>
        </w:rPr>
        <w:t>end</w:t>
      </w:r>
    </w:p>
    <w:p w14:paraId="3AE53B5A" w14:textId="77777777" w:rsidR="00BE03A5" w:rsidRPr="005C1548" w:rsidRDefault="00BE03A5" w:rsidP="00BE03A5">
      <w:pPr>
        <w:rPr>
          <w:lang w:val="en-US"/>
        </w:rPr>
      </w:pPr>
      <w:r w:rsidRPr="005C1548">
        <w:rPr>
          <w:lang w:val="en-US"/>
        </w:rPr>
        <w:t xml:space="preserve">%% </w:t>
      </w:r>
    </w:p>
    <w:p w14:paraId="0722B6C7" w14:textId="77777777" w:rsidR="00BE03A5" w:rsidRPr="005C1548" w:rsidRDefault="00BE03A5" w:rsidP="00BE03A5">
      <w:pPr>
        <w:rPr>
          <w:lang w:val="en-US"/>
        </w:rPr>
      </w:pPr>
      <w:r w:rsidRPr="005C1548">
        <w:rPr>
          <w:lang w:val="en-US"/>
        </w:rPr>
        <w:t>% And then we do the same for all solar pdfs</w:t>
      </w:r>
    </w:p>
    <w:p w14:paraId="59CAA3EB" w14:textId="77777777" w:rsidR="00BE03A5" w:rsidRPr="005C1548" w:rsidRDefault="00BE03A5" w:rsidP="00BE03A5">
      <w:pPr>
        <w:rPr>
          <w:lang w:val="en-US"/>
        </w:rPr>
      </w:pPr>
      <w:r w:rsidRPr="005C1548">
        <w:rPr>
          <w:lang w:val="en-US"/>
        </w:rPr>
        <w:t xml:space="preserve"> </w:t>
      </w:r>
    </w:p>
    <w:p w14:paraId="4DFF4DFB" w14:textId="77777777" w:rsidR="00BE03A5" w:rsidRPr="005C1548" w:rsidRDefault="00BE03A5" w:rsidP="00BE03A5">
      <w:pPr>
        <w:rPr>
          <w:lang w:val="en-US"/>
        </w:rPr>
      </w:pPr>
      <w:r w:rsidRPr="005C1548">
        <w:rPr>
          <w:lang w:val="en-US"/>
        </w:rPr>
        <w:t>for m = 1:length(solarPdfs)</w:t>
      </w:r>
    </w:p>
    <w:p w14:paraId="565F6754" w14:textId="77777777" w:rsidR="00BE03A5" w:rsidRPr="005C1548" w:rsidRDefault="00BE03A5" w:rsidP="00BE03A5">
      <w:pPr>
        <w:rPr>
          <w:lang w:val="en-US"/>
        </w:rPr>
      </w:pPr>
      <w:r w:rsidRPr="005C1548">
        <w:rPr>
          <w:lang w:val="en-US"/>
        </w:rPr>
        <w:t xml:space="preserve">    xs = monthCell{m}.Irradiance;</w:t>
      </w:r>
    </w:p>
    <w:p w14:paraId="250BF6DB" w14:textId="77777777" w:rsidR="00BE03A5" w:rsidRPr="005C1548" w:rsidRDefault="00BE03A5" w:rsidP="00BE03A5">
      <w:pPr>
        <w:rPr>
          <w:lang w:val="en-US"/>
        </w:rPr>
      </w:pPr>
      <w:r w:rsidRPr="005C1548">
        <w:rPr>
          <w:lang w:val="en-US"/>
        </w:rPr>
        <w:t xml:space="preserve">    xs(xs==0) = eps;</w:t>
      </w:r>
    </w:p>
    <w:p w14:paraId="5709F444" w14:textId="77777777" w:rsidR="00BE03A5" w:rsidRPr="005C1548" w:rsidRDefault="00BE03A5" w:rsidP="00BE03A5">
      <w:pPr>
        <w:rPr>
          <w:lang w:val="en-US"/>
        </w:rPr>
      </w:pPr>
      <w:r w:rsidRPr="005C1548">
        <w:rPr>
          <w:lang w:val="en-US"/>
        </w:rPr>
        <w:t xml:space="preserve">    solarPdfs{m} = fitdist(xs,"Lognormal");</w:t>
      </w:r>
    </w:p>
    <w:p w14:paraId="33ECC433" w14:textId="77777777" w:rsidR="00BE03A5" w:rsidRPr="005C1548" w:rsidRDefault="00BE03A5" w:rsidP="00BE03A5">
      <w:pPr>
        <w:rPr>
          <w:lang w:val="en-US"/>
        </w:rPr>
      </w:pPr>
      <w:r w:rsidRPr="005C1548">
        <w:rPr>
          <w:lang w:val="en-US"/>
        </w:rPr>
        <w:t xml:space="preserve">    pds = solarPdfs{m};</w:t>
      </w:r>
    </w:p>
    <w:p w14:paraId="1D2F96CC" w14:textId="77777777" w:rsidR="00BE03A5" w:rsidRPr="005C1548" w:rsidRDefault="00BE03A5" w:rsidP="00BE03A5">
      <w:pPr>
        <w:rPr>
          <w:lang w:val="en-US"/>
        </w:rPr>
      </w:pPr>
      <w:r w:rsidRPr="005C1548">
        <w:rPr>
          <w:lang w:val="en-US"/>
        </w:rPr>
        <w:t xml:space="preserve">    xpdfs = linspace(1,max(xs),1000);</w:t>
      </w:r>
    </w:p>
    <w:p w14:paraId="45B8C16A" w14:textId="77777777" w:rsidR="00BE03A5" w:rsidRPr="005C1548" w:rsidRDefault="00BE03A5" w:rsidP="00BE03A5">
      <w:pPr>
        <w:rPr>
          <w:lang w:val="en-US"/>
        </w:rPr>
      </w:pPr>
      <w:r w:rsidRPr="005C1548">
        <w:rPr>
          <w:lang w:val="en-US"/>
        </w:rPr>
        <w:t xml:space="preserve">    ypdfs = pdf(pds,xpdfs);</w:t>
      </w:r>
    </w:p>
    <w:p w14:paraId="5BE0C6EA" w14:textId="77777777" w:rsidR="00BE03A5" w:rsidRPr="005C1548" w:rsidRDefault="00BE03A5" w:rsidP="00BE03A5">
      <w:pPr>
        <w:rPr>
          <w:lang w:val="en-US"/>
        </w:rPr>
      </w:pPr>
      <w:r w:rsidRPr="005C1548">
        <w:rPr>
          <w:lang w:val="en-US"/>
        </w:rPr>
        <w:t xml:space="preserve">    figure</w:t>
      </w:r>
    </w:p>
    <w:p w14:paraId="593BDCD1" w14:textId="77777777" w:rsidR="00BE03A5" w:rsidRPr="005C1548" w:rsidRDefault="00BE03A5" w:rsidP="00BE03A5">
      <w:pPr>
        <w:rPr>
          <w:lang w:val="en-US"/>
        </w:rPr>
      </w:pPr>
      <w:r w:rsidRPr="005C1548">
        <w:rPr>
          <w:lang w:val="en-US"/>
        </w:rPr>
        <w:t xml:space="preserve">    histogram(xs,'Normalization',"pdf")</w:t>
      </w:r>
    </w:p>
    <w:p w14:paraId="689327A6" w14:textId="77777777" w:rsidR="00BE03A5" w:rsidRPr="005C1548" w:rsidRDefault="00BE03A5" w:rsidP="00BE03A5">
      <w:pPr>
        <w:rPr>
          <w:lang w:val="en-US"/>
        </w:rPr>
      </w:pPr>
      <w:r w:rsidRPr="005C1548">
        <w:rPr>
          <w:lang w:val="en-US"/>
        </w:rPr>
        <w:t xml:space="preserve">    line(xpdfs,ypdfs,'Color','red','Linewidth',1)</w:t>
      </w:r>
    </w:p>
    <w:p w14:paraId="7064F075" w14:textId="77777777" w:rsidR="00BE03A5" w:rsidRPr="005C1548" w:rsidRDefault="00BE03A5" w:rsidP="00BE03A5">
      <w:pPr>
        <w:rPr>
          <w:lang w:val="en-US"/>
        </w:rPr>
      </w:pPr>
      <w:r w:rsidRPr="005C1548">
        <w:rPr>
          <w:lang w:val="en-US"/>
        </w:rPr>
        <w:t xml:space="preserve">    titlestrg = ['Irradiance pdf ', num2str(m)];</w:t>
      </w:r>
    </w:p>
    <w:p w14:paraId="6B699A95" w14:textId="77777777" w:rsidR="00BE03A5" w:rsidRPr="005C1548" w:rsidRDefault="00BE03A5" w:rsidP="00BE03A5">
      <w:pPr>
        <w:rPr>
          <w:lang w:val="en-US"/>
        </w:rPr>
      </w:pPr>
      <w:r w:rsidRPr="005C1548">
        <w:rPr>
          <w:lang w:val="en-US"/>
        </w:rPr>
        <w:t xml:space="preserve">    xlabel('All-Sky Irradiation in '+montharray(m)+' (Wh/m^2)')</w:t>
      </w:r>
    </w:p>
    <w:p w14:paraId="4D5C3D7D" w14:textId="77777777" w:rsidR="00BE03A5" w:rsidRPr="005C1548" w:rsidRDefault="00BE03A5" w:rsidP="00BE03A5">
      <w:pPr>
        <w:rPr>
          <w:lang w:val="en-US"/>
        </w:rPr>
      </w:pPr>
      <w:r w:rsidRPr="005C1548">
        <w:rPr>
          <w:lang w:val="en-US"/>
        </w:rPr>
        <w:t xml:space="preserve">    ylabel('Probability distribution')</w:t>
      </w:r>
    </w:p>
    <w:p w14:paraId="66AFCBE2" w14:textId="77777777" w:rsidR="00BE03A5" w:rsidRPr="005C1548" w:rsidRDefault="00BE03A5" w:rsidP="00BE03A5">
      <w:pPr>
        <w:rPr>
          <w:lang w:val="en-US"/>
        </w:rPr>
      </w:pPr>
      <w:r w:rsidRPr="005C1548">
        <w:rPr>
          <w:lang w:val="en-US"/>
        </w:rPr>
        <w:t xml:space="preserve">    %title(titlestrg)</w:t>
      </w:r>
    </w:p>
    <w:p w14:paraId="012D9764" w14:textId="77777777" w:rsidR="00BE03A5" w:rsidRPr="005C1548" w:rsidRDefault="00BE03A5" w:rsidP="00BE03A5">
      <w:pPr>
        <w:rPr>
          <w:lang w:val="en-US"/>
        </w:rPr>
      </w:pPr>
      <w:r w:rsidRPr="005C1548">
        <w:rPr>
          <w:lang w:val="en-US"/>
        </w:rPr>
        <w:t>end</w:t>
      </w:r>
    </w:p>
    <w:p w14:paraId="4D157539" w14:textId="77777777" w:rsidR="00BE03A5" w:rsidRPr="005C1548" w:rsidRDefault="00BE03A5" w:rsidP="00BE03A5">
      <w:pPr>
        <w:rPr>
          <w:lang w:val="en-US"/>
        </w:rPr>
      </w:pPr>
      <w:r w:rsidRPr="005C1548">
        <w:rPr>
          <w:lang w:val="en-US"/>
        </w:rPr>
        <w:t xml:space="preserve">%% </w:t>
      </w:r>
    </w:p>
    <w:p w14:paraId="4B3EF7C1" w14:textId="77777777" w:rsidR="00BE03A5" w:rsidRPr="005C1548" w:rsidRDefault="00BE03A5" w:rsidP="00BE03A5">
      <w:pPr>
        <w:rPr>
          <w:lang w:val="en-US"/>
        </w:rPr>
      </w:pPr>
      <w:r w:rsidRPr="005C1548">
        <w:rPr>
          <w:lang w:val="en-US"/>
        </w:rPr>
        <w:t>% Now, we fit the hydro flow to the extreme-value distribution as follows</w:t>
      </w:r>
    </w:p>
    <w:p w14:paraId="49B38992" w14:textId="77777777" w:rsidR="00BE03A5" w:rsidRPr="005C1548" w:rsidRDefault="00BE03A5" w:rsidP="00BE03A5">
      <w:pPr>
        <w:rPr>
          <w:lang w:val="en-US"/>
        </w:rPr>
      </w:pPr>
      <w:r w:rsidRPr="005C1548">
        <w:rPr>
          <w:lang w:val="en-US"/>
        </w:rPr>
        <w:t xml:space="preserve"> </w:t>
      </w:r>
    </w:p>
    <w:p w14:paraId="07B17372" w14:textId="77777777" w:rsidR="00BE03A5" w:rsidRPr="005C1548" w:rsidRDefault="00BE03A5" w:rsidP="00BE03A5">
      <w:pPr>
        <w:rPr>
          <w:lang w:val="en-US"/>
        </w:rPr>
      </w:pPr>
      <w:r w:rsidRPr="005C1548">
        <w:rPr>
          <w:lang w:val="en-US"/>
        </w:rPr>
        <w:t>for m = 1:length(hydroPdfs)</w:t>
      </w:r>
    </w:p>
    <w:p w14:paraId="3DA681E1" w14:textId="77777777" w:rsidR="00BE03A5" w:rsidRPr="005C1548" w:rsidRDefault="00BE03A5" w:rsidP="00BE03A5">
      <w:pPr>
        <w:rPr>
          <w:lang w:val="en-US"/>
        </w:rPr>
      </w:pPr>
      <w:r w:rsidRPr="005C1548">
        <w:rPr>
          <w:lang w:val="en-US"/>
        </w:rPr>
        <w:t xml:space="preserve">    monthflow = hydrodatabig(m,:)';</w:t>
      </w:r>
    </w:p>
    <w:p w14:paraId="37D167AF" w14:textId="77777777" w:rsidR="00BE03A5" w:rsidRPr="005C1548" w:rsidRDefault="00BE03A5" w:rsidP="00BE03A5">
      <w:pPr>
        <w:rPr>
          <w:lang w:val="en-US"/>
        </w:rPr>
      </w:pPr>
      <w:r w:rsidRPr="005C1548">
        <w:rPr>
          <w:lang w:val="en-US"/>
        </w:rPr>
        <w:t xml:space="preserve">    hydroPdfs{m} = fitdist(monthflow,"ExtremeValue");</w:t>
      </w:r>
    </w:p>
    <w:p w14:paraId="77838155" w14:textId="77777777" w:rsidR="00BE03A5" w:rsidRPr="005C1548" w:rsidRDefault="00BE03A5" w:rsidP="00BE03A5">
      <w:pPr>
        <w:rPr>
          <w:lang w:val="en-US"/>
        </w:rPr>
      </w:pPr>
      <w:r w:rsidRPr="005C1548">
        <w:rPr>
          <w:lang w:val="en-US"/>
        </w:rPr>
        <w:t xml:space="preserve">    pdh = hydroPdfs{m};</w:t>
      </w:r>
    </w:p>
    <w:p w14:paraId="0B059524" w14:textId="77777777" w:rsidR="00BE03A5" w:rsidRPr="005C1548" w:rsidRDefault="00BE03A5" w:rsidP="00BE03A5">
      <w:pPr>
        <w:rPr>
          <w:lang w:val="en-US"/>
        </w:rPr>
      </w:pPr>
      <w:r w:rsidRPr="005C1548">
        <w:rPr>
          <w:lang w:val="en-US"/>
        </w:rPr>
        <w:t xml:space="preserve">    xpdfh = linspace(min(monthflow),max(monthflow),1000);</w:t>
      </w:r>
    </w:p>
    <w:p w14:paraId="703731E9" w14:textId="77777777" w:rsidR="00BE03A5" w:rsidRPr="005C1548" w:rsidRDefault="00BE03A5" w:rsidP="00BE03A5">
      <w:pPr>
        <w:rPr>
          <w:lang w:val="en-US"/>
        </w:rPr>
      </w:pPr>
      <w:r w:rsidRPr="005C1548">
        <w:rPr>
          <w:lang w:val="en-US"/>
        </w:rPr>
        <w:t xml:space="preserve">    ypdfh = pdf(pdh,xpdfh);</w:t>
      </w:r>
    </w:p>
    <w:p w14:paraId="10829B74" w14:textId="77777777" w:rsidR="00BE03A5" w:rsidRPr="005C1548" w:rsidRDefault="00BE03A5" w:rsidP="00BE03A5">
      <w:pPr>
        <w:rPr>
          <w:lang w:val="en-US"/>
        </w:rPr>
      </w:pPr>
      <w:r w:rsidRPr="005C1548">
        <w:rPr>
          <w:lang w:val="en-US"/>
        </w:rPr>
        <w:t xml:space="preserve">    figure</w:t>
      </w:r>
    </w:p>
    <w:p w14:paraId="7D926284" w14:textId="77777777" w:rsidR="00BE03A5" w:rsidRPr="005C1548" w:rsidRDefault="00BE03A5" w:rsidP="00BE03A5">
      <w:pPr>
        <w:rPr>
          <w:lang w:val="en-US"/>
        </w:rPr>
      </w:pPr>
      <w:r w:rsidRPr="005C1548">
        <w:rPr>
          <w:lang w:val="en-US"/>
        </w:rPr>
        <w:t xml:space="preserve">    histogram(monthflow,'Normalization',"pdf")</w:t>
      </w:r>
    </w:p>
    <w:p w14:paraId="73DA56B0" w14:textId="77777777" w:rsidR="00BE03A5" w:rsidRPr="005C1548" w:rsidRDefault="00BE03A5" w:rsidP="00BE03A5">
      <w:pPr>
        <w:rPr>
          <w:lang w:val="en-US"/>
        </w:rPr>
      </w:pPr>
      <w:r w:rsidRPr="005C1548">
        <w:rPr>
          <w:lang w:val="en-US"/>
        </w:rPr>
        <w:t xml:space="preserve">    line(xpdfh,ypdfh,'Color','red','Linewidth',1)</w:t>
      </w:r>
    </w:p>
    <w:p w14:paraId="1A3C9E24" w14:textId="77777777" w:rsidR="00BE03A5" w:rsidRPr="005C1548" w:rsidRDefault="00BE03A5" w:rsidP="00BE03A5">
      <w:pPr>
        <w:rPr>
          <w:lang w:val="en-US"/>
        </w:rPr>
      </w:pPr>
      <w:r w:rsidRPr="005C1548">
        <w:rPr>
          <w:lang w:val="en-US"/>
        </w:rPr>
        <w:t xml:space="preserve">    titlestrg = ['Streamflow pdf ', num2str(m)];</w:t>
      </w:r>
    </w:p>
    <w:p w14:paraId="228B9CD4" w14:textId="77777777" w:rsidR="00BE03A5" w:rsidRPr="005C1548" w:rsidRDefault="00BE03A5" w:rsidP="00BE03A5">
      <w:pPr>
        <w:rPr>
          <w:lang w:val="en-US"/>
        </w:rPr>
      </w:pPr>
      <w:r w:rsidRPr="005C1548">
        <w:rPr>
          <w:lang w:val="en-US"/>
        </w:rPr>
        <w:t xml:space="preserve">    xlabel('Streamflow (Litre/s) in '+montharray(m))</w:t>
      </w:r>
    </w:p>
    <w:p w14:paraId="610C2B02" w14:textId="77777777" w:rsidR="00BE03A5" w:rsidRPr="005C1548" w:rsidRDefault="00BE03A5" w:rsidP="00BE03A5">
      <w:pPr>
        <w:rPr>
          <w:lang w:val="en-US"/>
        </w:rPr>
      </w:pPr>
      <w:r w:rsidRPr="005C1548">
        <w:rPr>
          <w:lang w:val="en-US"/>
        </w:rPr>
        <w:t xml:space="preserve">    ylabel('Probability distribution')</w:t>
      </w:r>
    </w:p>
    <w:p w14:paraId="2ADADC32" w14:textId="77777777" w:rsidR="00BE03A5" w:rsidRPr="005C1548" w:rsidRDefault="00BE03A5" w:rsidP="00BE03A5">
      <w:pPr>
        <w:rPr>
          <w:lang w:val="en-US"/>
        </w:rPr>
      </w:pPr>
      <w:r w:rsidRPr="005C1548">
        <w:rPr>
          <w:lang w:val="en-US"/>
        </w:rPr>
        <w:t xml:space="preserve">    %title(titlestrg)</w:t>
      </w:r>
    </w:p>
    <w:p w14:paraId="293E364B" w14:textId="77777777" w:rsidR="00BE03A5" w:rsidRPr="005C1548" w:rsidRDefault="00BE03A5" w:rsidP="00BE03A5">
      <w:pPr>
        <w:rPr>
          <w:lang w:val="en-US"/>
        </w:rPr>
      </w:pPr>
      <w:r w:rsidRPr="005C1548">
        <w:rPr>
          <w:lang w:val="en-US"/>
        </w:rPr>
        <w:t>end</w:t>
      </w:r>
    </w:p>
    <w:p w14:paraId="52B5A3B3" w14:textId="77777777" w:rsidR="00BE03A5" w:rsidRPr="005C1548" w:rsidRDefault="00BE03A5" w:rsidP="00BE03A5">
      <w:pPr>
        <w:rPr>
          <w:lang w:val="en-US"/>
        </w:rPr>
      </w:pPr>
      <w:r w:rsidRPr="005C1548">
        <w:rPr>
          <w:lang w:val="en-US"/>
        </w:rPr>
        <w:t xml:space="preserve">%% </w:t>
      </w:r>
    </w:p>
    <w:p w14:paraId="1D55FCAC" w14:textId="77777777" w:rsidR="00BE03A5" w:rsidRPr="005C1548" w:rsidRDefault="00BE03A5" w:rsidP="00BE03A5">
      <w:pPr>
        <w:rPr>
          <w:lang w:val="en-US"/>
        </w:rPr>
      </w:pPr>
      <w:r w:rsidRPr="005C1548">
        <w:rPr>
          <w:lang w:val="en-US"/>
        </w:rPr>
        <w:t xml:space="preserve">% We also develop a pdf for the DNI since it is on a month-by-month basis. For </w:t>
      </w:r>
    </w:p>
    <w:p w14:paraId="06CB0284" w14:textId="77777777" w:rsidR="00BE03A5" w:rsidRPr="005C1548" w:rsidRDefault="00BE03A5" w:rsidP="00BE03A5">
      <w:pPr>
        <w:rPr>
          <w:lang w:val="en-US"/>
        </w:rPr>
      </w:pPr>
      <w:r w:rsidRPr="005C1548">
        <w:rPr>
          <w:lang w:val="en-US"/>
        </w:rPr>
        <w:t>% this, a Gaussian Distribution is used.</w:t>
      </w:r>
    </w:p>
    <w:p w14:paraId="352C45FD" w14:textId="77777777" w:rsidR="00BE03A5" w:rsidRPr="005C1548" w:rsidRDefault="00BE03A5" w:rsidP="00BE03A5">
      <w:pPr>
        <w:rPr>
          <w:lang w:val="en-US"/>
        </w:rPr>
      </w:pPr>
      <w:r w:rsidRPr="005C1548">
        <w:rPr>
          <w:lang w:val="en-US"/>
        </w:rPr>
        <w:t xml:space="preserve"> </w:t>
      </w:r>
    </w:p>
    <w:p w14:paraId="7E85D20C" w14:textId="77777777" w:rsidR="00BE03A5" w:rsidRPr="005C1548" w:rsidRDefault="00BE03A5" w:rsidP="00BE03A5">
      <w:pPr>
        <w:rPr>
          <w:lang w:val="en-US"/>
        </w:rPr>
      </w:pPr>
      <w:r w:rsidRPr="005C1548">
        <w:rPr>
          <w:lang w:val="en-US"/>
        </w:rPr>
        <w:t>% for m = 1:length(DniPdfs)</w:t>
      </w:r>
    </w:p>
    <w:p w14:paraId="6ED82013" w14:textId="77777777" w:rsidR="00BE03A5" w:rsidRPr="005C1548" w:rsidRDefault="00BE03A5" w:rsidP="00BE03A5">
      <w:pPr>
        <w:rPr>
          <w:lang w:val="en-US"/>
        </w:rPr>
      </w:pPr>
      <w:r w:rsidRPr="005C1548">
        <w:rPr>
          <w:lang w:val="en-US"/>
        </w:rPr>
        <w:t>%     meann = (DNI(m)/24*0.25); sdev = ((DNI(m)/rand/24*0.25));</w:t>
      </w:r>
    </w:p>
    <w:p w14:paraId="745373B5" w14:textId="77777777" w:rsidR="00BE03A5" w:rsidRPr="005C1548" w:rsidRDefault="00BE03A5" w:rsidP="00BE03A5">
      <w:pPr>
        <w:rPr>
          <w:lang w:val="en-US"/>
        </w:rPr>
      </w:pPr>
      <w:r w:rsidRPr="005C1548">
        <w:rPr>
          <w:lang w:val="en-US"/>
        </w:rPr>
        <w:t>%     DniPdfs{m} = makedist('Normal',"mu",meann,"sigma",sdev);</w:t>
      </w:r>
    </w:p>
    <w:p w14:paraId="408ADBDE" w14:textId="77777777" w:rsidR="00BE03A5" w:rsidRPr="005C1548" w:rsidRDefault="00BE03A5" w:rsidP="00BE03A5">
      <w:pPr>
        <w:rPr>
          <w:lang w:val="en-US"/>
        </w:rPr>
      </w:pPr>
      <w:r w:rsidRPr="005C1548">
        <w:rPr>
          <w:lang w:val="en-US"/>
        </w:rPr>
        <w:t>%     pdd = DniPdfs{m};</w:t>
      </w:r>
    </w:p>
    <w:p w14:paraId="2A21A9E4" w14:textId="77777777" w:rsidR="00BE03A5" w:rsidRPr="005C1548" w:rsidRDefault="00BE03A5" w:rsidP="00BE03A5">
      <w:pPr>
        <w:rPr>
          <w:lang w:val="en-US"/>
        </w:rPr>
      </w:pPr>
      <w:r w:rsidRPr="005C1548">
        <w:rPr>
          <w:lang w:val="en-US"/>
        </w:rPr>
        <w:t>%     xpdfd = linspace(0,(4*sdev),1000);</w:t>
      </w:r>
    </w:p>
    <w:p w14:paraId="687F6C4A" w14:textId="77777777" w:rsidR="00BE03A5" w:rsidRPr="005C1548" w:rsidRDefault="00BE03A5" w:rsidP="00BE03A5">
      <w:pPr>
        <w:rPr>
          <w:lang w:val="en-US"/>
        </w:rPr>
      </w:pPr>
      <w:r w:rsidRPr="005C1548">
        <w:rPr>
          <w:lang w:val="en-US"/>
        </w:rPr>
        <w:t>%     ypdfd = pdf(pdd,xpdfd);</w:t>
      </w:r>
    </w:p>
    <w:p w14:paraId="7B6A3243" w14:textId="77777777" w:rsidR="00BE03A5" w:rsidRPr="005C1548" w:rsidRDefault="00BE03A5" w:rsidP="00BE03A5">
      <w:pPr>
        <w:rPr>
          <w:lang w:val="en-US"/>
        </w:rPr>
      </w:pPr>
      <w:r w:rsidRPr="005C1548">
        <w:rPr>
          <w:lang w:val="en-US"/>
        </w:rPr>
        <w:t>%     figure</w:t>
      </w:r>
    </w:p>
    <w:p w14:paraId="34173D4F" w14:textId="77777777" w:rsidR="00BE03A5" w:rsidRPr="005C1548" w:rsidRDefault="00BE03A5" w:rsidP="00BE03A5">
      <w:pPr>
        <w:rPr>
          <w:lang w:val="en-US"/>
        </w:rPr>
      </w:pPr>
      <w:r w:rsidRPr="005C1548">
        <w:rPr>
          <w:lang w:val="en-US"/>
        </w:rPr>
        <w:t>%     line(xpdfd,ypdfd,'Color','red','Linewidth',1)</w:t>
      </w:r>
    </w:p>
    <w:p w14:paraId="7A97DB09" w14:textId="77777777" w:rsidR="00BE03A5" w:rsidRPr="005C1548" w:rsidRDefault="00BE03A5" w:rsidP="00BE03A5">
      <w:pPr>
        <w:rPr>
          <w:lang w:val="en-US"/>
        </w:rPr>
      </w:pPr>
      <w:r w:rsidRPr="005C1548">
        <w:rPr>
          <w:lang w:val="en-US"/>
        </w:rPr>
        <w:t>%     xlabel('Estimated Average CSP output in kW/m^2 for '+montharray(m))</w:t>
      </w:r>
    </w:p>
    <w:p w14:paraId="2EBAD238" w14:textId="77777777" w:rsidR="00BE03A5" w:rsidRPr="005C1548" w:rsidRDefault="00BE03A5" w:rsidP="00BE03A5">
      <w:pPr>
        <w:rPr>
          <w:lang w:val="en-US"/>
        </w:rPr>
      </w:pPr>
      <w:r w:rsidRPr="005C1548">
        <w:rPr>
          <w:lang w:val="en-US"/>
        </w:rPr>
        <w:t>%     ylabel('Probabilityy Distribution')</w:t>
      </w:r>
    </w:p>
    <w:p w14:paraId="501F8230" w14:textId="77777777" w:rsidR="00BE03A5" w:rsidRPr="005C1548" w:rsidRDefault="00BE03A5" w:rsidP="00BE03A5">
      <w:pPr>
        <w:rPr>
          <w:lang w:val="en-US"/>
        </w:rPr>
      </w:pPr>
      <w:r w:rsidRPr="005C1548">
        <w:rPr>
          <w:lang w:val="en-US"/>
        </w:rPr>
        <w:t>% end</w:t>
      </w:r>
    </w:p>
    <w:p w14:paraId="63D24F17" w14:textId="77777777" w:rsidR="00BE03A5" w:rsidRPr="005C1548" w:rsidRDefault="00BE03A5" w:rsidP="00BE03A5">
      <w:pPr>
        <w:rPr>
          <w:lang w:val="en-US"/>
        </w:rPr>
      </w:pPr>
      <w:r w:rsidRPr="005C1548">
        <w:rPr>
          <w:lang w:val="en-US"/>
        </w:rPr>
        <w:t xml:space="preserve">%% </w:t>
      </w:r>
    </w:p>
    <w:p w14:paraId="16311587" w14:textId="77777777" w:rsidR="00BE03A5" w:rsidRPr="005C1548" w:rsidRDefault="00BE03A5" w:rsidP="00BE03A5">
      <w:pPr>
        <w:rPr>
          <w:lang w:val="en-US"/>
        </w:rPr>
      </w:pPr>
      <w:r w:rsidRPr="005C1548">
        <w:rPr>
          <w:lang w:val="en-US"/>
        </w:rPr>
        <w:t xml:space="preserve">% Now, having dealt with the renewable resources, we model the load uncertainty </w:t>
      </w:r>
    </w:p>
    <w:p w14:paraId="74138C4B" w14:textId="77777777" w:rsidR="00BE03A5" w:rsidRPr="005C1548" w:rsidRDefault="00BE03A5" w:rsidP="00BE03A5">
      <w:pPr>
        <w:rPr>
          <w:lang w:val="en-US"/>
        </w:rPr>
      </w:pPr>
      <w:r w:rsidRPr="005C1548">
        <w:rPr>
          <w:lang w:val="en-US"/>
        </w:rPr>
        <w:t xml:space="preserve">% too with a pdf object on a nonth-by-month basis. For this a Gaussian/Normal </w:t>
      </w:r>
    </w:p>
    <w:p w14:paraId="2CFA188D" w14:textId="77777777" w:rsidR="00BE03A5" w:rsidRPr="005C1548" w:rsidRDefault="00BE03A5" w:rsidP="00BE03A5">
      <w:pPr>
        <w:rPr>
          <w:lang w:val="en-US"/>
        </w:rPr>
      </w:pPr>
      <w:r w:rsidRPr="005C1548">
        <w:rPr>
          <w:lang w:val="en-US"/>
        </w:rPr>
        <w:t xml:space="preserve">% Distribution is used. </w:t>
      </w:r>
    </w:p>
    <w:p w14:paraId="118CA414" w14:textId="77777777" w:rsidR="00BE03A5" w:rsidRPr="005C1548" w:rsidRDefault="00BE03A5" w:rsidP="00BE03A5">
      <w:pPr>
        <w:rPr>
          <w:lang w:val="en-US"/>
        </w:rPr>
      </w:pPr>
      <w:r w:rsidRPr="005C1548">
        <w:rPr>
          <w:lang w:val="en-US"/>
        </w:rPr>
        <w:t xml:space="preserve"> </w:t>
      </w:r>
    </w:p>
    <w:p w14:paraId="5B7F5859" w14:textId="77777777" w:rsidR="00BE03A5" w:rsidRPr="005C1548" w:rsidRDefault="00BE03A5" w:rsidP="00BE03A5">
      <w:pPr>
        <w:rPr>
          <w:lang w:val="en-US"/>
        </w:rPr>
      </w:pPr>
      <w:r w:rsidRPr="005C1548">
        <w:rPr>
          <w:lang w:val="en-US"/>
        </w:rPr>
        <w:t>for m = 1:length(loadPdfs)</w:t>
      </w:r>
    </w:p>
    <w:p w14:paraId="3F6D3A4E" w14:textId="77777777" w:rsidR="00BE03A5" w:rsidRPr="005C1548" w:rsidRDefault="00BE03A5" w:rsidP="00BE03A5">
      <w:pPr>
        <w:rPr>
          <w:lang w:val="en-US"/>
        </w:rPr>
      </w:pPr>
      <w:r w:rsidRPr="005C1548">
        <w:rPr>
          <w:lang w:val="en-US"/>
        </w:rPr>
        <w:t xml:space="preserve">    meann = loadmusgima(m,1); sdev = loadmusgima(m,2);</w:t>
      </w:r>
    </w:p>
    <w:p w14:paraId="5C62925C" w14:textId="77777777" w:rsidR="00BE03A5" w:rsidRPr="005C1548" w:rsidRDefault="00BE03A5" w:rsidP="00BE03A5">
      <w:pPr>
        <w:rPr>
          <w:lang w:val="en-US"/>
        </w:rPr>
      </w:pPr>
      <w:r w:rsidRPr="005C1548">
        <w:rPr>
          <w:lang w:val="en-US"/>
        </w:rPr>
        <w:t xml:space="preserve">    loadPdfs{m} = makedist('Normal','mu',meann,'sigma',sdev);</w:t>
      </w:r>
    </w:p>
    <w:p w14:paraId="4C95ACF6" w14:textId="77777777" w:rsidR="00BE03A5" w:rsidRPr="005C1548" w:rsidRDefault="00BE03A5" w:rsidP="00BE03A5">
      <w:pPr>
        <w:rPr>
          <w:lang w:val="en-US"/>
        </w:rPr>
      </w:pPr>
      <w:r w:rsidRPr="005C1548">
        <w:rPr>
          <w:lang w:val="en-US"/>
        </w:rPr>
        <w:t xml:space="preserve">    pdl = loadPdfs{m};</w:t>
      </w:r>
    </w:p>
    <w:p w14:paraId="25193588" w14:textId="77777777" w:rsidR="00BE03A5" w:rsidRPr="005C1548" w:rsidRDefault="00BE03A5" w:rsidP="00BE03A5">
      <w:pPr>
        <w:rPr>
          <w:lang w:val="en-US"/>
        </w:rPr>
      </w:pPr>
      <w:r w:rsidRPr="005C1548">
        <w:rPr>
          <w:lang w:val="en-US"/>
        </w:rPr>
        <w:t xml:space="preserve">    xpdfl = linspace(0,(4*sdev),1000);</w:t>
      </w:r>
    </w:p>
    <w:p w14:paraId="532765EA" w14:textId="77777777" w:rsidR="00BE03A5" w:rsidRPr="005C1548" w:rsidRDefault="00BE03A5" w:rsidP="00BE03A5">
      <w:pPr>
        <w:rPr>
          <w:lang w:val="en-US"/>
        </w:rPr>
      </w:pPr>
      <w:r w:rsidRPr="005C1548">
        <w:rPr>
          <w:lang w:val="en-US"/>
        </w:rPr>
        <w:t xml:space="preserve">    ypdfl = pdf(pdl,xpdfl);</w:t>
      </w:r>
    </w:p>
    <w:p w14:paraId="297DB519" w14:textId="77777777" w:rsidR="00BE03A5" w:rsidRPr="005C1548" w:rsidRDefault="00BE03A5" w:rsidP="00BE03A5">
      <w:pPr>
        <w:rPr>
          <w:lang w:val="en-US"/>
        </w:rPr>
      </w:pPr>
      <w:r w:rsidRPr="005C1548">
        <w:rPr>
          <w:lang w:val="en-US"/>
        </w:rPr>
        <w:t xml:space="preserve">    figure</w:t>
      </w:r>
    </w:p>
    <w:p w14:paraId="569959EC" w14:textId="77777777" w:rsidR="00BE03A5" w:rsidRPr="005C1548" w:rsidRDefault="00BE03A5" w:rsidP="00BE03A5">
      <w:pPr>
        <w:rPr>
          <w:lang w:val="en-US"/>
        </w:rPr>
      </w:pPr>
      <w:r w:rsidRPr="005C1548">
        <w:rPr>
          <w:lang w:val="en-US"/>
        </w:rPr>
        <w:t xml:space="preserve">    line(xpdfl,ypdfl,'Color','red','Linewidth',1)</w:t>
      </w:r>
    </w:p>
    <w:p w14:paraId="541B8468" w14:textId="77777777" w:rsidR="00BE03A5" w:rsidRPr="005C1548" w:rsidRDefault="00BE03A5" w:rsidP="00BE03A5">
      <w:pPr>
        <w:rPr>
          <w:lang w:val="en-US"/>
        </w:rPr>
      </w:pPr>
      <w:r w:rsidRPr="005C1548">
        <w:rPr>
          <w:lang w:val="en-US"/>
        </w:rPr>
        <w:t xml:space="preserve">    xlabel('Load (MW) in '+montharray(m))</w:t>
      </w:r>
    </w:p>
    <w:p w14:paraId="3EB3632C" w14:textId="77777777" w:rsidR="00BE03A5" w:rsidRPr="005C1548" w:rsidRDefault="00BE03A5" w:rsidP="00BE03A5">
      <w:pPr>
        <w:rPr>
          <w:lang w:val="en-US"/>
        </w:rPr>
      </w:pPr>
      <w:r w:rsidRPr="005C1548">
        <w:rPr>
          <w:lang w:val="en-US"/>
        </w:rPr>
        <w:t xml:space="preserve">    ylabel('Probability Distribution')</w:t>
      </w:r>
    </w:p>
    <w:p w14:paraId="02F05D37" w14:textId="77777777" w:rsidR="00BE03A5" w:rsidRPr="005C1548" w:rsidRDefault="00BE03A5" w:rsidP="00BE03A5">
      <w:pPr>
        <w:rPr>
          <w:lang w:val="en-US"/>
        </w:rPr>
      </w:pPr>
      <w:r w:rsidRPr="005C1548">
        <w:rPr>
          <w:lang w:val="en-US"/>
        </w:rPr>
        <w:t>end</w:t>
      </w:r>
    </w:p>
    <w:p w14:paraId="5A34AC5E" w14:textId="77777777" w:rsidR="00BE03A5" w:rsidRPr="005C1548" w:rsidRDefault="00BE03A5" w:rsidP="00BE03A5">
      <w:pPr>
        <w:rPr>
          <w:lang w:val="en-US"/>
        </w:rPr>
      </w:pPr>
      <w:r w:rsidRPr="005C1548">
        <w:rPr>
          <w:lang w:val="en-US"/>
        </w:rPr>
        <w:t xml:space="preserve">%% </w:t>
      </w:r>
    </w:p>
    <w:p w14:paraId="31C5847E" w14:textId="77777777" w:rsidR="00BE03A5" w:rsidRPr="005C1548" w:rsidRDefault="00BE03A5" w:rsidP="00BE03A5">
      <w:pPr>
        <w:rPr>
          <w:lang w:val="en-US"/>
        </w:rPr>
      </w:pPr>
      <w:r w:rsidRPr="005C1548">
        <w:rPr>
          <w:lang w:val="en-US"/>
        </w:rPr>
        <w:t xml:space="preserve">% *NOW, we move to Sampling the Probability distributions for our dynamic modelling </w:t>
      </w:r>
    </w:p>
    <w:p w14:paraId="0178A74D" w14:textId="77777777" w:rsidR="00BE03A5" w:rsidRPr="005C1548" w:rsidRDefault="00BE03A5" w:rsidP="00BE03A5">
      <w:pPr>
        <w:rPr>
          <w:lang w:val="en-US"/>
        </w:rPr>
      </w:pPr>
      <w:r w:rsidRPr="005C1548">
        <w:rPr>
          <w:lang w:val="en-US"/>
        </w:rPr>
        <w:t xml:space="preserve">% parameters.* </w:t>
      </w:r>
    </w:p>
    <w:p w14:paraId="0CB6DA11" w14:textId="77777777" w:rsidR="00BE03A5" w:rsidRPr="005C1548" w:rsidRDefault="00BE03A5" w:rsidP="00BE03A5">
      <w:pPr>
        <w:rPr>
          <w:lang w:val="en-US"/>
        </w:rPr>
      </w:pPr>
      <w:r w:rsidRPr="005C1548">
        <w:rPr>
          <w:lang w:val="en-US"/>
        </w:rPr>
        <w:t xml:space="preserve">% </w:t>
      </w:r>
    </w:p>
    <w:p w14:paraId="5DD86E48" w14:textId="77777777" w:rsidR="00BE03A5" w:rsidRPr="005C1548" w:rsidRDefault="00BE03A5" w:rsidP="00BE03A5">
      <w:pPr>
        <w:rPr>
          <w:lang w:val="en-US"/>
        </w:rPr>
      </w:pPr>
      <w:r w:rsidRPr="005C1548">
        <w:rPr>
          <w:lang w:val="en-US"/>
        </w:rPr>
        <w:t xml:space="preserve">% We can generate 12 rectangular array of loads for each month, 24 rows for </w:t>
      </w:r>
    </w:p>
    <w:p w14:paraId="530B96A9" w14:textId="77777777" w:rsidR="00BE03A5" w:rsidRPr="005C1548" w:rsidRDefault="00BE03A5" w:rsidP="00BE03A5">
      <w:pPr>
        <w:rPr>
          <w:lang w:val="en-US"/>
        </w:rPr>
      </w:pPr>
      <w:r w:rsidRPr="005C1548">
        <w:rPr>
          <w:lang w:val="en-US"/>
        </w:rPr>
        <w:t xml:space="preserve">% hours, columns according to number of days based on monthsTable. The loads will </w:t>
      </w:r>
    </w:p>
    <w:p w14:paraId="7E9FB319" w14:textId="77777777" w:rsidR="00BE03A5" w:rsidRPr="005C1548" w:rsidRDefault="00BE03A5" w:rsidP="00BE03A5">
      <w:pPr>
        <w:rPr>
          <w:lang w:val="en-US"/>
        </w:rPr>
      </w:pPr>
      <w:r w:rsidRPr="005C1548">
        <w:rPr>
          <w:lang w:val="en-US"/>
        </w:rPr>
        <w:t xml:space="preserve">% be sampled randomly from each load pdf. But instead of doing it this way, because </w:t>
      </w:r>
    </w:p>
    <w:p w14:paraId="4FA6C0E4" w14:textId="77777777" w:rsidR="00BE03A5" w:rsidRPr="005C1548" w:rsidRDefault="00BE03A5" w:rsidP="00BE03A5">
      <w:pPr>
        <w:rPr>
          <w:lang w:val="en-US"/>
        </w:rPr>
      </w:pPr>
      <w:r w:rsidRPr="005C1548">
        <w:rPr>
          <w:lang w:val="en-US"/>
        </w:rPr>
        <w:t xml:space="preserve">% of the ways the data will be used, we will instead generate a single column </w:t>
      </w:r>
    </w:p>
    <w:p w14:paraId="4B42B994" w14:textId="77777777" w:rsidR="00BE03A5" w:rsidRPr="005C1548" w:rsidRDefault="00BE03A5" w:rsidP="00BE03A5">
      <w:pPr>
        <w:rPr>
          <w:lang w:val="en-US"/>
        </w:rPr>
      </w:pPr>
      <w:r w:rsidRPr="005C1548">
        <w:rPr>
          <w:lang w:val="en-US"/>
        </w:rPr>
        <w:t>% vector of random samples for each hour in the month.</w:t>
      </w:r>
    </w:p>
    <w:p w14:paraId="59D638EF" w14:textId="77777777" w:rsidR="00BE03A5" w:rsidRPr="005C1548" w:rsidRDefault="00BE03A5" w:rsidP="00BE03A5">
      <w:pPr>
        <w:rPr>
          <w:lang w:val="en-US"/>
        </w:rPr>
      </w:pPr>
      <w:r w:rsidRPr="005C1548">
        <w:rPr>
          <w:lang w:val="en-US"/>
        </w:rPr>
        <w:t xml:space="preserve"> </w:t>
      </w:r>
    </w:p>
    <w:p w14:paraId="0A52FE52" w14:textId="77777777" w:rsidR="00BE03A5" w:rsidRPr="005C1548" w:rsidRDefault="00BE03A5" w:rsidP="00BE03A5">
      <w:pPr>
        <w:rPr>
          <w:lang w:val="en-US"/>
        </w:rPr>
      </w:pPr>
      <w:r w:rsidRPr="005C1548">
        <w:rPr>
          <w:lang w:val="en-US"/>
        </w:rPr>
        <w:t>loadSamplesCell = cell(1,12);</w:t>
      </w:r>
    </w:p>
    <w:p w14:paraId="2CF34CEF" w14:textId="77777777" w:rsidR="00BE03A5" w:rsidRPr="005C1548" w:rsidRDefault="00BE03A5" w:rsidP="00BE03A5">
      <w:pPr>
        <w:rPr>
          <w:lang w:val="en-US"/>
        </w:rPr>
      </w:pPr>
      <w:r w:rsidRPr="005C1548">
        <w:rPr>
          <w:lang w:val="en-US"/>
        </w:rPr>
        <w:t>for m = 1:length(loadSamplesCell)</w:t>
      </w:r>
    </w:p>
    <w:p w14:paraId="0CDB28B2" w14:textId="77777777" w:rsidR="00BE03A5" w:rsidRPr="005C1548" w:rsidRDefault="00BE03A5" w:rsidP="00BE03A5">
      <w:pPr>
        <w:rPr>
          <w:lang w:val="en-US"/>
        </w:rPr>
      </w:pPr>
      <w:r w:rsidRPr="005C1548">
        <w:rPr>
          <w:lang w:val="en-US"/>
        </w:rPr>
        <w:t xml:space="preserve">    specpdfl = loadPdfs{m};</w:t>
      </w:r>
    </w:p>
    <w:p w14:paraId="4EB4ED29" w14:textId="77777777" w:rsidR="00BE03A5" w:rsidRPr="005C1548" w:rsidRDefault="00BE03A5" w:rsidP="00BE03A5">
      <w:pPr>
        <w:rPr>
          <w:lang w:val="en-US"/>
        </w:rPr>
      </w:pPr>
      <w:r w:rsidRPr="005C1548">
        <w:rPr>
          <w:lang w:val="en-US"/>
        </w:rPr>
        <w:t xml:space="preserve">    daysl = monthsTable.monthHours(m);</w:t>
      </w:r>
    </w:p>
    <w:p w14:paraId="0DFB1617" w14:textId="77777777" w:rsidR="00BE03A5" w:rsidRPr="005C1548" w:rsidRDefault="00BE03A5" w:rsidP="00BE03A5">
      <w:pPr>
        <w:rPr>
          <w:lang w:val="en-US"/>
        </w:rPr>
      </w:pPr>
      <w:r w:rsidRPr="005C1548">
        <w:rPr>
          <w:lang w:val="en-US"/>
        </w:rPr>
        <w:t xml:space="preserve">    loadSamplesCell{m} = abs(random(specpdfl,daysl,1));</w:t>
      </w:r>
    </w:p>
    <w:p w14:paraId="748B1BD0" w14:textId="77777777" w:rsidR="00BE03A5" w:rsidRPr="005C1548" w:rsidRDefault="00BE03A5" w:rsidP="00BE03A5">
      <w:pPr>
        <w:rPr>
          <w:lang w:val="en-US"/>
        </w:rPr>
      </w:pPr>
      <w:r w:rsidRPr="005C1548">
        <w:rPr>
          <w:lang w:val="en-US"/>
        </w:rPr>
        <w:t>end</w:t>
      </w:r>
    </w:p>
    <w:p w14:paraId="17B6E1E4" w14:textId="77777777" w:rsidR="00BE03A5" w:rsidRPr="005C1548" w:rsidRDefault="00BE03A5" w:rsidP="00BE03A5">
      <w:pPr>
        <w:rPr>
          <w:lang w:val="en-US"/>
        </w:rPr>
      </w:pPr>
      <w:r w:rsidRPr="005C1548">
        <w:rPr>
          <w:lang w:val="en-US"/>
        </w:rPr>
        <w:t xml:space="preserve">%% </w:t>
      </w:r>
    </w:p>
    <w:p w14:paraId="5E04ADE2" w14:textId="77777777" w:rsidR="00BE03A5" w:rsidRPr="005C1548" w:rsidRDefault="00BE03A5" w:rsidP="00BE03A5">
      <w:pPr>
        <w:rPr>
          <w:lang w:val="en-US"/>
        </w:rPr>
      </w:pPr>
      <w:r w:rsidRPr="005C1548">
        <w:rPr>
          <w:lang w:val="en-US"/>
        </w:rPr>
        <w:t>% Next up is the sampling of windspeeds</w:t>
      </w:r>
    </w:p>
    <w:p w14:paraId="748FB0EF" w14:textId="77777777" w:rsidR="00BE03A5" w:rsidRPr="005C1548" w:rsidRDefault="00BE03A5" w:rsidP="00BE03A5">
      <w:pPr>
        <w:rPr>
          <w:lang w:val="en-US"/>
        </w:rPr>
      </w:pPr>
      <w:r w:rsidRPr="005C1548">
        <w:rPr>
          <w:lang w:val="en-US"/>
        </w:rPr>
        <w:t xml:space="preserve"> </w:t>
      </w:r>
    </w:p>
    <w:p w14:paraId="4783A800" w14:textId="77777777" w:rsidR="00BE03A5" w:rsidRPr="005C1548" w:rsidRDefault="00BE03A5" w:rsidP="00BE03A5">
      <w:pPr>
        <w:rPr>
          <w:lang w:val="en-US"/>
        </w:rPr>
      </w:pPr>
      <w:r w:rsidRPr="005C1548">
        <w:rPr>
          <w:lang w:val="en-US"/>
        </w:rPr>
        <w:t>windSamplesCell = cell(1,12);</w:t>
      </w:r>
    </w:p>
    <w:p w14:paraId="20D0E67D" w14:textId="77777777" w:rsidR="00BE03A5" w:rsidRPr="005C1548" w:rsidRDefault="00BE03A5" w:rsidP="00BE03A5">
      <w:pPr>
        <w:rPr>
          <w:lang w:val="en-US"/>
        </w:rPr>
      </w:pPr>
      <w:r w:rsidRPr="005C1548">
        <w:rPr>
          <w:lang w:val="en-US"/>
        </w:rPr>
        <w:t>for m = 1:length(windSamplesCell)</w:t>
      </w:r>
    </w:p>
    <w:p w14:paraId="0926FEC3" w14:textId="77777777" w:rsidR="00BE03A5" w:rsidRPr="005C1548" w:rsidRDefault="00BE03A5" w:rsidP="00BE03A5">
      <w:pPr>
        <w:rPr>
          <w:lang w:val="en-US"/>
        </w:rPr>
      </w:pPr>
      <w:r w:rsidRPr="005C1548">
        <w:rPr>
          <w:lang w:val="en-US"/>
        </w:rPr>
        <w:t xml:space="preserve">    specpdfw = windPdfs{m};</w:t>
      </w:r>
    </w:p>
    <w:p w14:paraId="38083EE8" w14:textId="77777777" w:rsidR="00BE03A5" w:rsidRPr="005C1548" w:rsidRDefault="00BE03A5" w:rsidP="00BE03A5">
      <w:pPr>
        <w:rPr>
          <w:lang w:val="en-US"/>
        </w:rPr>
      </w:pPr>
      <w:r w:rsidRPr="005C1548">
        <w:rPr>
          <w:lang w:val="en-US"/>
        </w:rPr>
        <w:t xml:space="preserve">    daysw = monthsTable.monthHours(m);</w:t>
      </w:r>
    </w:p>
    <w:p w14:paraId="2F62095F" w14:textId="77777777" w:rsidR="00BE03A5" w:rsidRPr="005C1548" w:rsidRDefault="00BE03A5" w:rsidP="00BE03A5">
      <w:pPr>
        <w:rPr>
          <w:lang w:val="en-US"/>
        </w:rPr>
      </w:pPr>
      <w:r w:rsidRPr="005C1548">
        <w:rPr>
          <w:lang w:val="en-US"/>
        </w:rPr>
        <w:t xml:space="preserve">    windSamplesCell{m} = abs(random(specpdfw,daysw,1));</w:t>
      </w:r>
    </w:p>
    <w:p w14:paraId="5F0E591A" w14:textId="77777777" w:rsidR="00BE03A5" w:rsidRPr="005C1548" w:rsidRDefault="00BE03A5" w:rsidP="00BE03A5">
      <w:pPr>
        <w:rPr>
          <w:lang w:val="en-US"/>
        </w:rPr>
      </w:pPr>
      <w:r w:rsidRPr="005C1548">
        <w:rPr>
          <w:lang w:val="en-US"/>
        </w:rPr>
        <w:t>end</w:t>
      </w:r>
    </w:p>
    <w:p w14:paraId="447D213F" w14:textId="77777777" w:rsidR="00BE03A5" w:rsidRPr="005C1548" w:rsidRDefault="00BE03A5" w:rsidP="00BE03A5">
      <w:pPr>
        <w:rPr>
          <w:lang w:val="en-US"/>
        </w:rPr>
      </w:pPr>
      <w:r w:rsidRPr="005C1548">
        <w:rPr>
          <w:lang w:val="en-US"/>
        </w:rPr>
        <w:t xml:space="preserve">%% </w:t>
      </w:r>
    </w:p>
    <w:p w14:paraId="0F714FD2" w14:textId="77777777" w:rsidR="00BE03A5" w:rsidRPr="005C1548" w:rsidRDefault="00BE03A5" w:rsidP="00BE03A5">
      <w:pPr>
        <w:rPr>
          <w:lang w:val="en-US"/>
        </w:rPr>
      </w:pPr>
      <w:r w:rsidRPr="005C1548">
        <w:rPr>
          <w:lang w:val="en-US"/>
        </w:rPr>
        <w:t>% Next up is the sampling of solar irradiances</w:t>
      </w:r>
    </w:p>
    <w:p w14:paraId="090FEE47" w14:textId="77777777" w:rsidR="00BE03A5" w:rsidRPr="005C1548" w:rsidRDefault="00BE03A5" w:rsidP="00BE03A5">
      <w:pPr>
        <w:rPr>
          <w:lang w:val="en-US"/>
        </w:rPr>
      </w:pPr>
      <w:r w:rsidRPr="005C1548">
        <w:rPr>
          <w:lang w:val="en-US"/>
        </w:rPr>
        <w:t xml:space="preserve"> </w:t>
      </w:r>
    </w:p>
    <w:p w14:paraId="4334DC1B" w14:textId="77777777" w:rsidR="00BE03A5" w:rsidRPr="005C1548" w:rsidRDefault="00BE03A5" w:rsidP="00BE03A5">
      <w:pPr>
        <w:rPr>
          <w:lang w:val="en-US"/>
        </w:rPr>
      </w:pPr>
      <w:r w:rsidRPr="005C1548">
        <w:rPr>
          <w:lang w:val="en-US"/>
        </w:rPr>
        <w:t>solarSamplesCell = cell(1,12);</w:t>
      </w:r>
    </w:p>
    <w:p w14:paraId="5DECC821" w14:textId="77777777" w:rsidR="00BE03A5" w:rsidRPr="005C1548" w:rsidRDefault="00BE03A5" w:rsidP="00BE03A5">
      <w:pPr>
        <w:rPr>
          <w:lang w:val="en-US"/>
        </w:rPr>
      </w:pPr>
      <w:r w:rsidRPr="005C1548">
        <w:rPr>
          <w:lang w:val="en-US"/>
        </w:rPr>
        <w:t>for m = 1:length(solarSamplesCell)</w:t>
      </w:r>
    </w:p>
    <w:p w14:paraId="5FC68F66" w14:textId="77777777" w:rsidR="00BE03A5" w:rsidRPr="005C1548" w:rsidRDefault="00BE03A5" w:rsidP="00BE03A5">
      <w:pPr>
        <w:rPr>
          <w:lang w:val="en-US"/>
        </w:rPr>
      </w:pPr>
      <w:r w:rsidRPr="005C1548">
        <w:rPr>
          <w:lang w:val="en-US"/>
        </w:rPr>
        <w:t xml:space="preserve">    specpdfs = solarPdfs{m};</w:t>
      </w:r>
    </w:p>
    <w:p w14:paraId="5F782E18" w14:textId="77777777" w:rsidR="00BE03A5" w:rsidRPr="005C1548" w:rsidRDefault="00BE03A5" w:rsidP="00BE03A5">
      <w:pPr>
        <w:rPr>
          <w:lang w:val="en-US"/>
        </w:rPr>
      </w:pPr>
      <w:r w:rsidRPr="005C1548">
        <w:rPr>
          <w:lang w:val="en-US"/>
        </w:rPr>
        <w:t xml:space="preserve">    dayss = monthsTable.monthHours(m);</w:t>
      </w:r>
    </w:p>
    <w:p w14:paraId="208D3A18" w14:textId="77777777" w:rsidR="00BE03A5" w:rsidRPr="005C1548" w:rsidRDefault="00BE03A5" w:rsidP="00BE03A5">
      <w:pPr>
        <w:rPr>
          <w:lang w:val="en-US"/>
        </w:rPr>
      </w:pPr>
      <w:r w:rsidRPr="005C1548">
        <w:rPr>
          <w:lang w:val="en-US"/>
        </w:rPr>
        <w:t xml:space="preserve">    solarSamplesCell{m} = abs(random(specpdfs,dayss,1));</w:t>
      </w:r>
    </w:p>
    <w:p w14:paraId="64FA695B" w14:textId="77777777" w:rsidR="00BE03A5" w:rsidRPr="005C1548" w:rsidRDefault="00BE03A5" w:rsidP="00BE03A5">
      <w:pPr>
        <w:rPr>
          <w:lang w:val="en-US"/>
        </w:rPr>
      </w:pPr>
      <w:r w:rsidRPr="005C1548">
        <w:rPr>
          <w:lang w:val="en-US"/>
        </w:rPr>
        <w:t>end</w:t>
      </w:r>
    </w:p>
    <w:p w14:paraId="75A8C290" w14:textId="77777777" w:rsidR="00BE03A5" w:rsidRPr="005C1548" w:rsidRDefault="00BE03A5" w:rsidP="00BE03A5">
      <w:pPr>
        <w:rPr>
          <w:lang w:val="en-US"/>
        </w:rPr>
      </w:pPr>
      <w:r w:rsidRPr="005C1548">
        <w:rPr>
          <w:lang w:val="en-US"/>
        </w:rPr>
        <w:t xml:space="preserve">%% </w:t>
      </w:r>
    </w:p>
    <w:p w14:paraId="663D0DD7" w14:textId="77777777" w:rsidR="00BE03A5" w:rsidRPr="005C1548" w:rsidRDefault="00BE03A5" w:rsidP="00BE03A5">
      <w:pPr>
        <w:rPr>
          <w:lang w:val="en-US"/>
        </w:rPr>
      </w:pPr>
      <w:r w:rsidRPr="005C1548">
        <w:rPr>
          <w:lang w:val="en-US"/>
        </w:rPr>
        <w:t>% And finally, the sample of streamflows</w:t>
      </w:r>
    </w:p>
    <w:p w14:paraId="4F48D0F0" w14:textId="77777777" w:rsidR="00BE03A5" w:rsidRPr="005C1548" w:rsidRDefault="00BE03A5" w:rsidP="00BE03A5">
      <w:pPr>
        <w:rPr>
          <w:lang w:val="en-US"/>
        </w:rPr>
      </w:pPr>
      <w:r w:rsidRPr="005C1548">
        <w:rPr>
          <w:lang w:val="en-US"/>
        </w:rPr>
        <w:t xml:space="preserve"> </w:t>
      </w:r>
    </w:p>
    <w:p w14:paraId="37846D3E" w14:textId="77777777" w:rsidR="00BE03A5" w:rsidRPr="005C1548" w:rsidRDefault="00BE03A5" w:rsidP="00BE03A5">
      <w:pPr>
        <w:rPr>
          <w:lang w:val="en-US"/>
        </w:rPr>
      </w:pPr>
      <w:r w:rsidRPr="005C1548">
        <w:rPr>
          <w:lang w:val="en-US"/>
        </w:rPr>
        <w:t>hydroSamplesCell = cell(1,12);</w:t>
      </w:r>
    </w:p>
    <w:p w14:paraId="6E5FA622" w14:textId="77777777" w:rsidR="00BE03A5" w:rsidRPr="005C1548" w:rsidRDefault="00BE03A5" w:rsidP="00BE03A5">
      <w:pPr>
        <w:rPr>
          <w:lang w:val="en-US"/>
        </w:rPr>
      </w:pPr>
      <w:r w:rsidRPr="005C1548">
        <w:rPr>
          <w:lang w:val="en-US"/>
        </w:rPr>
        <w:t>for m = 1:length(hydroSamplesCell)</w:t>
      </w:r>
    </w:p>
    <w:p w14:paraId="6675528C" w14:textId="77777777" w:rsidR="00BE03A5" w:rsidRPr="005C1548" w:rsidRDefault="00BE03A5" w:rsidP="00BE03A5">
      <w:pPr>
        <w:rPr>
          <w:lang w:val="en-US"/>
        </w:rPr>
      </w:pPr>
      <w:r w:rsidRPr="005C1548">
        <w:rPr>
          <w:lang w:val="en-US"/>
        </w:rPr>
        <w:t xml:space="preserve">    specpdfh = hydroPdfs{m};</w:t>
      </w:r>
    </w:p>
    <w:p w14:paraId="3DECA9CA" w14:textId="77777777" w:rsidR="00BE03A5" w:rsidRPr="005C1548" w:rsidRDefault="00BE03A5" w:rsidP="00BE03A5">
      <w:pPr>
        <w:rPr>
          <w:lang w:val="en-US"/>
        </w:rPr>
      </w:pPr>
      <w:r w:rsidRPr="005C1548">
        <w:rPr>
          <w:lang w:val="en-US"/>
        </w:rPr>
        <w:t xml:space="preserve">    daysh = monthsTable.monthHours(m);</w:t>
      </w:r>
    </w:p>
    <w:p w14:paraId="3B3A778F" w14:textId="77777777" w:rsidR="00BE03A5" w:rsidRPr="005C1548" w:rsidRDefault="00BE03A5" w:rsidP="00BE03A5">
      <w:pPr>
        <w:rPr>
          <w:lang w:val="en-US"/>
        </w:rPr>
      </w:pPr>
      <w:r w:rsidRPr="005C1548">
        <w:rPr>
          <w:lang w:val="en-US"/>
        </w:rPr>
        <w:t xml:space="preserve">    hydroSamplesCell{m} = abs(random(specpdfh,daysh,1));</w:t>
      </w:r>
    </w:p>
    <w:p w14:paraId="4D09863C" w14:textId="77777777" w:rsidR="00BE03A5" w:rsidRPr="005C1548" w:rsidRDefault="00BE03A5" w:rsidP="00BE03A5">
      <w:pPr>
        <w:rPr>
          <w:lang w:val="en-US"/>
        </w:rPr>
      </w:pPr>
      <w:r w:rsidRPr="005C1548">
        <w:rPr>
          <w:lang w:val="en-US"/>
        </w:rPr>
        <w:t>end</w:t>
      </w:r>
    </w:p>
    <w:p w14:paraId="016F8B1C" w14:textId="77777777" w:rsidR="00BE03A5" w:rsidRPr="005C1548" w:rsidRDefault="00BE03A5" w:rsidP="00BE03A5">
      <w:pPr>
        <w:rPr>
          <w:lang w:val="en-US"/>
        </w:rPr>
      </w:pPr>
      <w:r w:rsidRPr="005C1548">
        <w:rPr>
          <w:lang w:val="en-US"/>
        </w:rPr>
        <w:t>%% Compiling Results</w:t>
      </w:r>
    </w:p>
    <w:p w14:paraId="2F386672" w14:textId="77777777" w:rsidR="00BE03A5" w:rsidRPr="005C1548" w:rsidRDefault="00BE03A5" w:rsidP="00BE03A5">
      <w:pPr>
        <w:rPr>
          <w:lang w:val="en-US"/>
        </w:rPr>
      </w:pPr>
      <w:r w:rsidRPr="005C1548">
        <w:rPr>
          <w:lang w:val="en-US"/>
        </w:rPr>
        <w:t xml:space="preserve">% First, we compile the summary of monthly probability parameters for each of </w:t>
      </w:r>
    </w:p>
    <w:p w14:paraId="21BF02E0" w14:textId="77777777" w:rsidR="00BE03A5" w:rsidRPr="005C1548" w:rsidRDefault="00BE03A5" w:rsidP="00BE03A5">
      <w:pPr>
        <w:rPr>
          <w:lang w:val="en-US"/>
        </w:rPr>
      </w:pPr>
      <w:r w:rsidRPr="005C1548">
        <w:rPr>
          <w:lang w:val="en-US"/>
        </w:rPr>
        <w:t xml:space="preserve">% the four distributions into a table (with a view to putting in the thesis or </w:t>
      </w:r>
    </w:p>
    <w:p w14:paraId="37DE1A17" w14:textId="77777777" w:rsidR="00BE03A5" w:rsidRPr="005C1548" w:rsidRDefault="00BE03A5" w:rsidP="00BE03A5">
      <w:pPr>
        <w:rPr>
          <w:lang w:val="en-US"/>
        </w:rPr>
      </w:pPr>
      <w:r w:rsidRPr="005C1548">
        <w:rPr>
          <w:lang w:val="en-US"/>
        </w:rPr>
        <w:t>% even xlswrite it out). The columns' parameters in order are:</w:t>
      </w:r>
    </w:p>
    <w:p w14:paraId="5E9BA3DB" w14:textId="77777777" w:rsidR="00BE03A5" w:rsidRPr="005C1548" w:rsidRDefault="00BE03A5" w:rsidP="00BE03A5">
      <w:pPr>
        <w:rPr>
          <w:lang w:val="en-US"/>
        </w:rPr>
      </w:pPr>
      <w:r w:rsidRPr="005C1548">
        <w:rPr>
          <w:lang w:val="en-US"/>
        </w:rPr>
        <w:t xml:space="preserve">% </w:t>
      </w:r>
    </w:p>
    <w:p w14:paraId="13E9F342" w14:textId="77777777" w:rsidR="00BE03A5" w:rsidRPr="005C1548" w:rsidRDefault="00BE03A5" w:rsidP="00BE03A5">
      <w:pPr>
        <w:rPr>
          <w:lang w:val="en-US"/>
        </w:rPr>
      </w:pPr>
      <w:r w:rsidRPr="005C1548">
        <w:rPr>
          <w:lang w:val="en-US"/>
        </w:rPr>
        <w:t>% months|weibull scale(a)|weibull shape(b)|lognormalMu|lognormalSigma|evdLocationMu|evdScaleSigma|gaussianMu|gaussianSigma</w:t>
      </w:r>
    </w:p>
    <w:p w14:paraId="1125F7A2" w14:textId="77777777" w:rsidR="00BE03A5" w:rsidRPr="005C1548" w:rsidRDefault="00BE03A5" w:rsidP="00BE03A5">
      <w:pPr>
        <w:rPr>
          <w:lang w:val="en-US"/>
        </w:rPr>
      </w:pPr>
      <w:r w:rsidRPr="005C1548">
        <w:rPr>
          <w:lang w:val="en-US"/>
        </w:rPr>
        <w:t xml:space="preserve">% </w:t>
      </w:r>
    </w:p>
    <w:p w14:paraId="7899AE5B" w14:textId="77777777" w:rsidR="00BE03A5" w:rsidRPr="005C1548" w:rsidRDefault="00BE03A5" w:rsidP="00BE03A5">
      <w:pPr>
        <w:rPr>
          <w:lang w:val="en-US"/>
        </w:rPr>
      </w:pPr>
      <w:r w:rsidRPr="005C1548">
        <w:rPr>
          <w:lang w:val="en-US"/>
        </w:rPr>
        <w:t>% Initialising the table:</w:t>
      </w:r>
    </w:p>
    <w:p w14:paraId="3AC2D537" w14:textId="77777777" w:rsidR="00BE03A5" w:rsidRPr="005C1548" w:rsidRDefault="00BE03A5" w:rsidP="00BE03A5">
      <w:pPr>
        <w:rPr>
          <w:lang w:val="en-US"/>
        </w:rPr>
      </w:pPr>
      <w:r w:rsidRPr="005C1548">
        <w:rPr>
          <w:lang w:val="en-US"/>
        </w:rPr>
        <w:t xml:space="preserve"> </w:t>
      </w:r>
    </w:p>
    <w:p w14:paraId="5F7A7812" w14:textId="77777777" w:rsidR="00BE03A5" w:rsidRPr="005C1548" w:rsidRDefault="00BE03A5" w:rsidP="00BE03A5">
      <w:pPr>
        <w:rPr>
          <w:lang w:val="en-US"/>
        </w:rPr>
      </w:pPr>
      <w:r w:rsidRPr="005C1548">
        <w:rPr>
          <w:lang w:val="en-US"/>
        </w:rPr>
        <w:t>sz = [12 9];</w:t>
      </w:r>
    </w:p>
    <w:p w14:paraId="785D2340" w14:textId="77777777" w:rsidR="00BE03A5" w:rsidRPr="005C1548" w:rsidRDefault="00BE03A5" w:rsidP="00BE03A5">
      <w:pPr>
        <w:rPr>
          <w:lang w:val="en-US"/>
        </w:rPr>
      </w:pPr>
      <w:r w:rsidRPr="005C1548">
        <w:rPr>
          <w:lang w:val="en-US"/>
        </w:rPr>
        <w:t>varTypes = ["string","double","double","double","double","double","double","double","double"];</w:t>
      </w:r>
    </w:p>
    <w:p w14:paraId="281E50DA" w14:textId="77777777" w:rsidR="00BE03A5" w:rsidRPr="005C1548" w:rsidRDefault="00BE03A5" w:rsidP="00BE03A5">
      <w:pPr>
        <w:rPr>
          <w:lang w:val="en-US"/>
        </w:rPr>
      </w:pPr>
      <w:r w:rsidRPr="005C1548">
        <w:rPr>
          <w:lang w:val="en-US"/>
        </w:rPr>
        <w:t>varNames = ["monthm", "WblScaleA","WblShapeB","LognMu","LognSigma","EvdLocationMu","EvdScaleSigma","GaussianMu","GaussianSigma"];</w:t>
      </w:r>
    </w:p>
    <w:p w14:paraId="2E1085C0" w14:textId="77777777" w:rsidR="00BE03A5" w:rsidRPr="005C1548" w:rsidRDefault="00BE03A5" w:rsidP="00BE03A5">
      <w:pPr>
        <w:rPr>
          <w:lang w:val="en-US"/>
        </w:rPr>
      </w:pPr>
      <w:r w:rsidRPr="005C1548">
        <w:rPr>
          <w:lang w:val="en-US"/>
        </w:rPr>
        <w:t>monthlyPdfSummary = table('Size',sz,'VariableTypes',varTypes,'VariableNames',varNames);</w:t>
      </w:r>
    </w:p>
    <w:p w14:paraId="4AE7E653" w14:textId="77777777" w:rsidR="00BE03A5" w:rsidRPr="005C1548" w:rsidRDefault="00BE03A5" w:rsidP="00BE03A5">
      <w:pPr>
        <w:rPr>
          <w:lang w:val="en-US"/>
        </w:rPr>
      </w:pPr>
      <w:r w:rsidRPr="005C1548">
        <w:rPr>
          <w:lang w:val="en-US"/>
        </w:rPr>
        <w:t xml:space="preserve">%% </w:t>
      </w:r>
    </w:p>
    <w:p w14:paraId="3D7BD43F" w14:textId="77777777" w:rsidR="00BE03A5" w:rsidRPr="005C1548" w:rsidRDefault="00BE03A5" w:rsidP="00BE03A5">
      <w:pPr>
        <w:rPr>
          <w:lang w:val="en-US"/>
        </w:rPr>
      </w:pPr>
      <w:r w:rsidRPr="005C1548">
        <w:rPr>
          <w:lang w:val="en-US"/>
        </w:rPr>
        <w:t>% Next, we populate the months</w:t>
      </w:r>
    </w:p>
    <w:p w14:paraId="528A4369" w14:textId="77777777" w:rsidR="00BE03A5" w:rsidRPr="005C1548" w:rsidRDefault="00BE03A5" w:rsidP="00BE03A5">
      <w:pPr>
        <w:rPr>
          <w:lang w:val="en-US"/>
        </w:rPr>
      </w:pPr>
      <w:r w:rsidRPr="005C1548">
        <w:rPr>
          <w:lang w:val="en-US"/>
        </w:rPr>
        <w:t xml:space="preserve"> </w:t>
      </w:r>
    </w:p>
    <w:p w14:paraId="1D48FAC6" w14:textId="77777777" w:rsidR="00BE03A5" w:rsidRPr="005C1548" w:rsidRDefault="00BE03A5" w:rsidP="00BE03A5">
      <w:pPr>
        <w:rPr>
          <w:lang w:val="en-US"/>
        </w:rPr>
      </w:pPr>
      <w:r w:rsidRPr="005C1548">
        <w:rPr>
          <w:lang w:val="en-US"/>
        </w:rPr>
        <w:t>monthlyPdfSummary.monthm = montharray;</w:t>
      </w:r>
    </w:p>
    <w:p w14:paraId="13C9396D" w14:textId="77777777" w:rsidR="00BE03A5" w:rsidRPr="005C1548" w:rsidRDefault="00BE03A5" w:rsidP="00BE03A5">
      <w:pPr>
        <w:rPr>
          <w:lang w:val="en-US"/>
        </w:rPr>
      </w:pPr>
      <w:r w:rsidRPr="005C1548">
        <w:rPr>
          <w:lang w:val="en-US"/>
        </w:rPr>
        <w:t xml:space="preserve">%% </w:t>
      </w:r>
    </w:p>
    <w:p w14:paraId="29ACC69E" w14:textId="77777777" w:rsidR="00BE03A5" w:rsidRPr="005C1548" w:rsidRDefault="00BE03A5" w:rsidP="00BE03A5">
      <w:pPr>
        <w:rPr>
          <w:lang w:val="en-US"/>
        </w:rPr>
      </w:pPr>
      <w:r w:rsidRPr="005C1548">
        <w:rPr>
          <w:lang w:val="en-US"/>
        </w:rPr>
        <w:t>% Next, we compile the parameters, row by row.</w:t>
      </w:r>
    </w:p>
    <w:p w14:paraId="644C61D4" w14:textId="77777777" w:rsidR="00BE03A5" w:rsidRPr="005C1548" w:rsidRDefault="00BE03A5" w:rsidP="00BE03A5">
      <w:pPr>
        <w:rPr>
          <w:lang w:val="en-US"/>
        </w:rPr>
      </w:pPr>
      <w:r w:rsidRPr="005C1548">
        <w:rPr>
          <w:lang w:val="en-US"/>
        </w:rPr>
        <w:t xml:space="preserve"> </w:t>
      </w:r>
    </w:p>
    <w:p w14:paraId="6151F853" w14:textId="77777777" w:rsidR="00BE03A5" w:rsidRPr="005C1548" w:rsidRDefault="00BE03A5" w:rsidP="00BE03A5">
      <w:pPr>
        <w:rPr>
          <w:lang w:val="en-US"/>
        </w:rPr>
      </w:pPr>
      <w:r w:rsidRPr="005C1548">
        <w:rPr>
          <w:lang w:val="en-US"/>
        </w:rPr>
        <w:t>for m = 1:height(monthlyPdfSummary)</w:t>
      </w:r>
    </w:p>
    <w:p w14:paraId="20B08117" w14:textId="77777777" w:rsidR="00BE03A5" w:rsidRPr="005C1548" w:rsidRDefault="00BE03A5" w:rsidP="00BE03A5">
      <w:pPr>
        <w:rPr>
          <w:lang w:val="en-US"/>
        </w:rPr>
      </w:pPr>
      <w:r w:rsidRPr="005C1548">
        <w:rPr>
          <w:lang w:val="en-US"/>
        </w:rPr>
        <w:t xml:space="preserve">    monthlyPdfSummary.WblScaleA(m) = windPdfs{m}.A;</w:t>
      </w:r>
    </w:p>
    <w:p w14:paraId="2E550947" w14:textId="77777777" w:rsidR="00BE03A5" w:rsidRPr="005C1548" w:rsidRDefault="00BE03A5" w:rsidP="00BE03A5">
      <w:pPr>
        <w:rPr>
          <w:lang w:val="en-US"/>
        </w:rPr>
      </w:pPr>
      <w:r w:rsidRPr="005C1548">
        <w:rPr>
          <w:lang w:val="en-US"/>
        </w:rPr>
        <w:t xml:space="preserve">    monthlyPdfSummary.WblShapeB(m) = windPdfs{m}.B;</w:t>
      </w:r>
    </w:p>
    <w:p w14:paraId="0F51ABEF" w14:textId="77777777" w:rsidR="00BE03A5" w:rsidRPr="005C1548" w:rsidRDefault="00BE03A5" w:rsidP="00BE03A5">
      <w:pPr>
        <w:rPr>
          <w:lang w:val="en-US"/>
        </w:rPr>
      </w:pPr>
      <w:r w:rsidRPr="005C1548">
        <w:rPr>
          <w:lang w:val="en-US"/>
        </w:rPr>
        <w:t xml:space="preserve">    monthlyPdfSummary.LognMu(m) = solarPdfs{m}.mu;</w:t>
      </w:r>
    </w:p>
    <w:p w14:paraId="4B3D99B5" w14:textId="77777777" w:rsidR="00BE03A5" w:rsidRPr="005C1548" w:rsidRDefault="00BE03A5" w:rsidP="00BE03A5">
      <w:pPr>
        <w:rPr>
          <w:lang w:val="en-US"/>
        </w:rPr>
      </w:pPr>
      <w:r w:rsidRPr="005C1548">
        <w:rPr>
          <w:lang w:val="en-US"/>
        </w:rPr>
        <w:t xml:space="preserve">    monthlyPdfSummary.LognSigma(m) = solarPdfs{m}.sigma;</w:t>
      </w:r>
    </w:p>
    <w:p w14:paraId="153EA333" w14:textId="77777777" w:rsidR="00BE03A5" w:rsidRPr="005C1548" w:rsidRDefault="00BE03A5" w:rsidP="00BE03A5">
      <w:pPr>
        <w:rPr>
          <w:lang w:val="en-US"/>
        </w:rPr>
      </w:pPr>
      <w:r w:rsidRPr="005C1548">
        <w:rPr>
          <w:lang w:val="en-US"/>
        </w:rPr>
        <w:t xml:space="preserve">    monthlyPdfSummary.EvdLocationMu(m) = hydroPdfs{m}.mu;</w:t>
      </w:r>
    </w:p>
    <w:p w14:paraId="1F07AB54" w14:textId="77777777" w:rsidR="00BE03A5" w:rsidRPr="005C1548" w:rsidRDefault="00BE03A5" w:rsidP="00BE03A5">
      <w:pPr>
        <w:rPr>
          <w:lang w:val="en-US"/>
        </w:rPr>
      </w:pPr>
      <w:r w:rsidRPr="005C1548">
        <w:rPr>
          <w:lang w:val="en-US"/>
        </w:rPr>
        <w:t xml:space="preserve">    monthlyPdfSummary.EvdScaleSigma(m) = hydroPdfs{m}.sigma;</w:t>
      </w:r>
    </w:p>
    <w:p w14:paraId="04447A27" w14:textId="77777777" w:rsidR="00BE03A5" w:rsidRPr="005C1548" w:rsidRDefault="00BE03A5" w:rsidP="00BE03A5">
      <w:pPr>
        <w:rPr>
          <w:lang w:val="en-US"/>
        </w:rPr>
      </w:pPr>
      <w:r w:rsidRPr="005C1548">
        <w:rPr>
          <w:lang w:val="en-US"/>
        </w:rPr>
        <w:t xml:space="preserve">    monthlyPdfSummary.GaussianMu(m) = loadPdfs{m}.mu;</w:t>
      </w:r>
    </w:p>
    <w:p w14:paraId="520EEC54" w14:textId="77777777" w:rsidR="00BE03A5" w:rsidRPr="005C1548" w:rsidRDefault="00BE03A5" w:rsidP="00BE03A5">
      <w:pPr>
        <w:rPr>
          <w:lang w:val="en-US"/>
        </w:rPr>
      </w:pPr>
      <w:r w:rsidRPr="005C1548">
        <w:rPr>
          <w:lang w:val="en-US"/>
        </w:rPr>
        <w:t xml:space="preserve">    monthlyPdfSummary.GaussianSigma(m) = loadPdfs{m}.sigma;</w:t>
      </w:r>
    </w:p>
    <w:p w14:paraId="218D3B44" w14:textId="77777777" w:rsidR="00BE03A5" w:rsidRPr="005C1548" w:rsidRDefault="00BE03A5" w:rsidP="00BE03A5">
      <w:pPr>
        <w:rPr>
          <w:lang w:val="en-US"/>
        </w:rPr>
      </w:pPr>
      <w:r w:rsidRPr="005C1548">
        <w:rPr>
          <w:lang w:val="en-US"/>
        </w:rPr>
        <w:t>end</w:t>
      </w:r>
    </w:p>
    <w:p w14:paraId="422776FF" w14:textId="77777777" w:rsidR="00BE03A5" w:rsidRPr="005C1548" w:rsidRDefault="00BE03A5" w:rsidP="00BE03A5">
      <w:pPr>
        <w:rPr>
          <w:lang w:val="en-US"/>
        </w:rPr>
      </w:pPr>
      <w:r w:rsidRPr="005C1548">
        <w:rPr>
          <w:lang w:val="en-US"/>
        </w:rPr>
        <w:t>monthlyPdfSummary</w:t>
      </w:r>
    </w:p>
    <w:p w14:paraId="7F0CDF90" w14:textId="77777777" w:rsidR="00BE03A5" w:rsidRPr="005C1548" w:rsidRDefault="00BE03A5" w:rsidP="00BE03A5">
      <w:pPr>
        <w:rPr>
          <w:lang w:val="en-US"/>
        </w:rPr>
      </w:pPr>
      <w:r w:rsidRPr="005C1548">
        <w:rPr>
          <w:lang w:val="en-US"/>
        </w:rPr>
        <w:t xml:space="preserve">%% </w:t>
      </w:r>
    </w:p>
    <w:p w14:paraId="2BE989BB" w14:textId="77777777" w:rsidR="00BE03A5" w:rsidRPr="005C1548" w:rsidRDefault="00BE03A5" w:rsidP="00BE03A5">
      <w:pPr>
        <w:rPr>
          <w:lang w:val="en-US"/>
        </w:rPr>
      </w:pPr>
      <w:r w:rsidRPr="005C1548">
        <w:rPr>
          <w:lang w:val="en-US"/>
        </w:rPr>
        <w:t>% Now, we writetable, optionally, to a file named 'monthlyPdfSummary.xls'</w:t>
      </w:r>
    </w:p>
    <w:p w14:paraId="39558C7F" w14:textId="77777777" w:rsidR="00BE03A5" w:rsidRPr="005C1548" w:rsidRDefault="00BE03A5" w:rsidP="00BE03A5">
      <w:pPr>
        <w:rPr>
          <w:lang w:val="en-US"/>
        </w:rPr>
      </w:pPr>
      <w:r w:rsidRPr="005C1548">
        <w:rPr>
          <w:lang w:val="en-US"/>
        </w:rPr>
        <w:t xml:space="preserve"> </w:t>
      </w:r>
    </w:p>
    <w:p w14:paraId="21FBBB81" w14:textId="77777777" w:rsidR="00BE03A5" w:rsidRPr="005C1548" w:rsidRDefault="00BE03A5" w:rsidP="00BE03A5">
      <w:pPr>
        <w:rPr>
          <w:lang w:val="en-US"/>
        </w:rPr>
      </w:pPr>
      <w:r w:rsidRPr="005C1548">
        <w:rPr>
          <w:lang w:val="en-US"/>
        </w:rPr>
        <w:t>writetable(monthlyPdfSummary,'monthlyPdfSummary.xls');</w:t>
      </w:r>
    </w:p>
    <w:p w14:paraId="515515C2" w14:textId="77777777" w:rsidR="00BE03A5" w:rsidRPr="005C1548" w:rsidRDefault="00BE03A5" w:rsidP="00BE03A5">
      <w:pPr>
        <w:rPr>
          <w:lang w:val="en-US"/>
        </w:rPr>
      </w:pPr>
      <w:r w:rsidRPr="005C1548">
        <w:rPr>
          <w:lang w:val="en-US"/>
        </w:rPr>
        <w:t xml:space="preserve">%% </w:t>
      </w:r>
    </w:p>
    <w:p w14:paraId="4830A1C5" w14:textId="77777777" w:rsidR="00BE03A5" w:rsidRPr="005C1548" w:rsidRDefault="00BE03A5" w:rsidP="00BE03A5">
      <w:pPr>
        <w:rPr>
          <w:lang w:val="en-US"/>
        </w:rPr>
      </w:pPr>
      <w:r w:rsidRPr="005C1548">
        <w:rPr>
          <w:lang w:val="en-US"/>
        </w:rPr>
        <w:t xml:space="preserve">% We create another set of 12 tables to show for each month the hours,MW in </w:t>
      </w:r>
    </w:p>
    <w:p w14:paraId="0CBAEACC" w14:textId="77777777" w:rsidR="00BE03A5" w:rsidRPr="005C1548" w:rsidRDefault="00BE03A5" w:rsidP="00BE03A5">
      <w:pPr>
        <w:rPr>
          <w:lang w:val="en-US"/>
        </w:rPr>
      </w:pPr>
      <w:r w:rsidRPr="005C1548">
        <w:rPr>
          <w:lang w:val="en-US"/>
        </w:rPr>
        <w:t xml:space="preserve">% the hour, MVAR in the hour (0.8pf), irradiance in the hour, streamflow in the </w:t>
      </w:r>
    </w:p>
    <w:p w14:paraId="79CE3A9F" w14:textId="77777777" w:rsidR="00BE03A5" w:rsidRPr="005C1548" w:rsidRDefault="00BE03A5" w:rsidP="00BE03A5">
      <w:pPr>
        <w:rPr>
          <w:lang w:val="en-US"/>
        </w:rPr>
      </w:pPr>
      <w:r w:rsidRPr="005C1548">
        <w:rPr>
          <w:lang w:val="en-US"/>
        </w:rPr>
        <w:t>% hour.</w:t>
      </w:r>
    </w:p>
    <w:p w14:paraId="77ABCD89" w14:textId="77777777" w:rsidR="00BE03A5" w:rsidRPr="005C1548" w:rsidRDefault="00BE03A5" w:rsidP="00BE03A5">
      <w:pPr>
        <w:rPr>
          <w:lang w:val="en-US"/>
        </w:rPr>
      </w:pPr>
      <w:r w:rsidRPr="005C1548">
        <w:rPr>
          <w:lang w:val="en-US"/>
        </w:rPr>
        <w:t xml:space="preserve"> </w:t>
      </w:r>
    </w:p>
    <w:p w14:paraId="14F8F0A4" w14:textId="77777777" w:rsidR="00BE03A5" w:rsidRPr="005C1548" w:rsidRDefault="00BE03A5" w:rsidP="00BE03A5">
      <w:pPr>
        <w:rPr>
          <w:lang w:val="en-US"/>
        </w:rPr>
      </w:pPr>
      <w:r w:rsidRPr="005C1548">
        <w:rPr>
          <w:lang w:val="en-US"/>
        </w:rPr>
        <w:t>monthInputs = cell(1,12);</w:t>
      </w:r>
    </w:p>
    <w:p w14:paraId="2D347E66" w14:textId="77777777" w:rsidR="00BE03A5" w:rsidRPr="005C1548" w:rsidRDefault="00BE03A5" w:rsidP="00BE03A5">
      <w:pPr>
        <w:rPr>
          <w:lang w:val="en-US"/>
        </w:rPr>
      </w:pPr>
      <w:r w:rsidRPr="005C1548">
        <w:rPr>
          <w:lang w:val="en-US"/>
        </w:rPr>
        <w:t>for m = 1:length(monthInputs)</w:t>
      </w:r>
    </w:p>
    <w:p w14:paraId="51E1D915" w14:textId="77777777" w:rsidR="00BE03A5" w:rsidRPr="005C1548" w:rsidRDefault="00BE03A5" w:rsidP="00BE03A5">
      <w:pPr>
        <w:rPr>
          <w:lang w:val="en-US"/>
        </w:rPr>
      </w:pPr>
      <w:r w:rsidRPr="005C1548">
        <w:rPr>
          <w:lang w:val="en-US"/>
        </w:rPr>
        <w:t xml:space="preserve">    sz = [monthsTable.monthHours(m) 22];</w:t>
      </w:r>
    </w:p>
    <w:p w14:paraId="6051E626" w14:textId="77777777" w:rsidR="00BE03A5" w:rsidRPr="005C1548" w:rsidRDefault="00BE03A5" w:rsidP="00BE03A5">
      <w:pPr>
        <w:rPr>
          <w:lang w:val="en-US"/>
        </w:rPr>
      </w:pPr>
      <w:r w:rsidRPr="005C1548">
        <w:rPr>
          <w:lang w:val="en-US"/>
        </w:rPr>
        <w:t xml:space="preserve">    varTypes = ["int16","double","double","double","double","double","double","double","double","double","double", "double","double","double","double","double","double","double","double","double","double","double"];</w:t>
      </w:r>
    </w:p>
    <w:p w14:paraId="40F732BF" w14:textId="77777777" w:rsidR="00BE03A5" w:rsidRPr="005C1548" w:rsidRDefault="00BE03A5" w:rsidP="00BE03A5">
      <w:pPr>
        <w:rPr>
          <w:lang w:val="en-US"/>
        </w:rPr>
      </w:pPr>
      <w:r w:rsidRPr="005C1548">
        <w:rPr>
          <w:lang w:val="en-US"/>
        </w:rPr>
        <w:t xml:space="preserve">    varNames = ["Hourr", "LoadP","LoadQ","LoadPSMall","LoadQSmall","Irradiance", "PV instPower", "Streamflow","HydroP","HydroQ","CSPpower","batteryuse","load1_8LP","load2_5lP","load3_7lP","load4_13lP","load5_18lP","load1_8LQ","load2_5lQ","load3_7lQ","load4_13lQ","load5_18lQ"];</w:t>
      </w:r>
    </w:p>
    <w:p w14:paraId="66629549" w14:textId="77777777" w:rsidR="00BE03A5" w:rsidRPr="005C1548" w:rsidRDefault="00BE03A5" w:rsidP="00BE03A5">
      <w:pPr>
        <w:rPr>
          <w:lang w:val="en-US"/>
        </w:rPr>
      </w:pPr>
      <w:r w:rsidRPr="005C1548">
        <w:rPr>
          <w:lang w:val="en-US"/>
        </w:rPr>
        <w:t xml:space="preserve">    monthInputs{m} = table('Size',sz,'VariableTypes',varTypes,'VariableNames',varNames);</w:t>
      </w:r>
    </w:p>
    <w:p w14:paraId="6F0611CB" w14:textId="77777777" w:rsidR="00BE03A5" w:rsidRPr="005C1548" w:rsidRDefault="00BE03A5" w:rsidP="00BE03A5">
      <w:pPr>
        <w:rPr>
          <w:lang w:val="en-US"/>
        </w:rPr>
      </w:pPr>
      <w:r w:rsidRPr="005C1548">
        <w:rPr>
          <w:lang w:val="en-US"/>
        </w:rPr>
        <w:t>end</w:t>
      </w:r>
    </w:p>
    <w:p w14:paraId="56E597C0" w14:textId="77777777" w:rsidR="00BE03A5" w:rsidRPr="005C1548" w:rsidRDefault="00BE03A5" w:rsidP="00BE03A5">
      <w:pPr>
        <w:rPr>
          <w:lang w:val="en-US"/>
        </w:rPr>
      </w:pPr>
      <w:r w:rsidRPr="005C1548">
        <w:rPr>
          <w:lang w:val="en-US"/>
        </w:rPr>
        <w:t>%%</w:t>
      </w:r>
    </w:p>
    <w:p w14:paraId="40FB7618" w14:textId="77777777" w:rsidR="00BE03A5" w:rsidRPr="005C1548" w:rsidRDefault="00BE03A5" w:rsidP="00BE03A5">
      <w:pPr>
        <w:rPr>
          <w:lang w:val="en-US"/>
        </w:rPr>
      </w:pPr>
      <w:r w:rsidRPr="005C1548">
        <w:rPr>
          <w:lang w:val="en-US"/>
        </w:rPr>
        <w:t xml:space="preserve"> </w:t>
      </w:r>
    </w:p>
    <w:p w14:paraId="09EE4C4A" w14:textId="77777777" w:rsidR="00BE03A5" w:rsidRPr="005C1548" w:rsidRDefault="00BE03A5" w:rsidP="00BE03A5">
      <w:pPr>
        <w:rPr>
          <w:lang w:val="en-US"/>
        </w:rPr>
      </w:pPr>
      <w:r w:rsidRPr="005C1548">
        <w:rPr>
          <w:lang w:val="en-US"/>
        </w:rPr>
        <w:t>for m = 1:length(monthInputs)</w:t>
      </w:r>
    </w:p>
    <w:p w14:paraId="15F176FF" w14:textId="77777777" w:rsidR="00BE03A5" w:rsidRPr="005C1548" w:rsidRDefault="00BE03A5" w:rsidP="00BE03A5">
      <w:pPr>
        <w:rPr>
          <w:lang w:val="en-US"/>
        </w:rPr>
      </w:pPr>
      <w:r w:rsidRPr="005C1548">
        <w:rPr>
          <w:lang w:val="en-US"/>
        </w:rPr>
        <w:t xml:space="preserve">    monthInputs{m}.Hourr = (1:monthsTable.monthHours(m))';</w:t>
      </w:r>
    </w:p>
    <w:p w14:paraId="6B6ECC62" w14:textId="77777777" w:rsidR="00BE03A5" w:rsidRPr="005C1548" w:rsidRDefault="00BE03A5" w:rsidP="00BE03A5">
      <w:pPr>
        <w:rPr>
          <w:lang w:val="en-US"/>
        </w:rPr>
      </w:pPr>
      <w:r w:rsidRPr="005C1548">
        <w:rPr>
          <w:lang w:val="en-US"/>
        </w:rPr>
        <w:t xml:space="preserve">    monthInputs{m}.LoadP = loadSamplesCell{m};</w:t>
      </w:r>
    </w:p>
    <w:p w14:paraId="14A3AAD7" w14:textId="77777777" w:rsidR="00BE03A5" w:rsidRPr="005C1548" w:rsidRDefault="00BE03A5" w:rsidP="00BE03A5">
      <w:pPr>
        <w:rPr>
          <w:lang w:val="en-US"/>
        </w:rPr>
      </w:pPr>
      <w:r w:rsidRPr="005C1548">
        <w:rPr>
          <w:lang w:val="en-US"/>
        </w:rPr>
        <w:t xml:space="preserve">    monthInputs{m}.LoadQ = (loadSamplesCell{m}).*0.75;</w:t>
      </w:r>
    </w:p>
    <w:p w14:paraId="65DDA87C" w14:textId="77777777" w:rsidR="00BE03A5" w:rsidRPr="005C1548" w:rsidRDefault="00BE03A5" w:rsidP="00BE03A5">
      <w:pPr>
        <w:rPr>
          <w:lang w:val="en-US"/>
        </w:rPr>
      </w:pPr>
      <w:r w:rsidRPr="005C1548">
        <w:rPr>
          <w:lang w:val="en-US"/>
        </w:rPr>
        <w:t xml:space="preserve">    monthInputs{m}.LoadPSMall = (monthInputs{m}.LoadP)./51;</w:t>
      </w:r>
    </w:p>
    <w:p w14:paraId="03958799" w14:textId="77777777" w:rsidR="00BE03A5" w:rsidRPr="005C1548" w:rsidRDefault="00BE03A5" w:rsidP="00BE03A5">
      <w:pPr>
        <w:rPr>
          <w:lang w:val="en-US"/>
        </w:rPr>
      </w:pPr>
      <w:r w:rsidRPr="005C1548">
        <w:rPr>
          <w:lang w:val="en-US"/>
        </w:rPr>
        <w:t xml:space="preserve">    monthInputs{m}.LoadQSmall = (monthInputs{m}.LoadQ)./51;</w:t>
      </w:r>
    </w:p>
    <w:p w14:paraId="1A7FB74D" w14:textId="77777777" w:rsidR="00BE03A5" w:rsidRPr="005C1548" w:rsidRDefault="00BE03A5" w:rsidP="00BE03A5">
      <w:pPr>
        <w:rPr>
          <w:lang w:val="en-US"/>
        </w:rPr>
      </w:pPr>
      <w:r w:rsidRPr="005C1548">
        <w:rPr>
          <w:lang w:val="en-US"/>
        </w:rPr>
        <w:t xml:space="preserve">    monthInputs{m}.Irradiance = solarSamplesCell{m};</w:t>
      </w:r>
    </w:p>
    <w:p w14:paraId="30A7B9B9" w14:textId="77777777" w:rsidR="00BE03A5" w:rsidRPr="005C1548" w:rsidRDefault="00BE03A5" w:rsidP="00BE03A5">
      <w:pPr>
        <w:rPr>
          <w:lang w:val="en-US"/>
        </w:rPr>
      </w:pPr>
      <w:r w:rsidRPr="005C1548">
        <w:rPr>
          <w:lang w:val="en-US"/>
        </w:rPr>
        <w:t xml:space="preserve">    monthInputs{m}.("PV instPower") = (0.13.*60702*1e-6.*solarSamplesCell{m});</w:t>
      </w:r>
    </w:p>
    <w:p w14:paraId="2D8CC341" w14:textId="77777777" w:rsidR="00BE03A5" w:rsidRPr="005C1548" w:rsidRDefault="00BE03A5" w:rsidP="00BE03A5">
      <w:pPr>
        <w:rPr>
          <w:lang w:val="en-US"/>
        </w:rPr>
      </w:pPr>
      <w:r w:rsidRPr="005C1548">
        <w:rPr>
          <w:lang w:val="en-US"/>
        </w:rPr>
        <w:t xml:space="preserve">    monthInputs{m}.("PV instPower")(monthInputs{m}.("PV instPower")&gt;3) = 3;</w:t>
      </w:r>
    </w:p>
    <w:p w14:paraId="0C2B4E50" w14:textId="77777777" w:rsidR="00BE03A5" w:rsidRPr="005C1548" w:rsidRDefault="00BE03A5" w:rsidP="00BE03A5">
      <w:pPr>
        <w:rPr>
          <w:lang w:val="en-US"/>
        </w:rPr>
      </w:pPr>
      <w:r w:rsidRPr="005C1548">
        <w:rPr>
          <w:lang w:val="en-US"/>
        </w:rPr>
        <w:t xml:space="preserve">    monthInputs{m}.Streamflow = hydroSamplesCell{m};</w:t>
      </w:r>
    </w:p>
    <w:p w14:paraId="7468014A" w14:textId="77777777" w:rsidR="00BE03A5" w:rsidRPr="005C1548" w:rsidRDefault="00BE03A5" w:rsidP="00BE03A5">
      <w:pPr>
        <w:rPr>
          <w:lang w:val="en-US"/>
        </w:rPr>
      </w:pPr>
      <w:r w:rsidRPr="005C1548">
        <w:rPr>
          <w:lang w:val="en-US"/>
        </w:rPr>
        <w:t xml:space="preserve">    monthInputs{m}.HydroP = (monthInputs{m}.Streamflow).*0.8*0.85*3*9.81*3/1e6;</w:t>
      </w:r>
    </w:p>
    <w:p w14:paraId="550676DB" w14:textId="77777777" w:rsidR="00BE03A5" w:rsidRPr="005C1548" w:rsidRDefault="00BE03A5" w:rsidP="00BE03A5">
      <w:pPr>
        <w:rPr>
          <w:lang w:val="en-US"/>
        </w:rPr>
      </w:pPr>
      <w:r w:rsidRPr="005C1548">
        <w:rPr>
          <w:lang w:val="en-US"/>
        </w:rPr>
        <w:t xml:space="preserve">    monthInputs{m}.HydroQ = (monthInputs{m}.HydroP)*0.75;</w:t>
      </w:r>
    </w:p>
    <w:p w14:paraId="740A9CE0" w14:textId="77777777" w:rsidR="00BE03A5" w:rsidRPr="005C1548" w:rsidRDefault="00BE03A5" w:rsidP="00BE03A5">
      <w:pPr>
        <w:rPr>
          <w:lang w:val="en-US"/>
        </w:rPr>
      </w:pPr>
      <w:r w:rsidRPr="005C1548">
        <w:rPr>
          <w:lang w:val="en-US"/>
        </w:rPr>
        <w:t xml:space="preserve">    if ismember (m,[5,6,7,8,9])</w:t>
      </w:r>
    </w:p>
    <w:p w14:paraId="56313E1A" w14:textId="77777777" w:rsidR="00BE03A5" w:rsidRPr="005C1548" w:rsidRDefault="00BE03A5" w:rsidP="00BE03A5">
      <w:pPr>
        <w:rPr>
          <w:lang w:val="en-US"/>
        </w:rPr>
      </w:pPr>
      <w:r w:rsidRPr="005C1548">
        <w:rPr>
          <w:lang w:val="en-US"/>
        </w:rPr>
        <w:t xml:space="preserve">        monthInputs{m}.CSPpower = zeros(height(monthInputs{m}),1) + 0.3 + 0.07*rand;</w:t>
      </w:r>
    </w:p>
    <w:p w14:paraId="3A2847AF" w14:textId="77777777" w:rsidR="00BE03A5" w:rsidRPr="005C1548" w:rsidRDefault="00BE03A5" w:rsidP="00BE03A5">
      <w:pPr>
        <w:rPr>
          <w:lang w:val="en-US"/>
        </w:rPr>
      </w:pPr>
      <w:r w:rsidRPr="005C1548">
        <w:rPr>
          <w:lang w:val="en-US"/>
        </w:rPr>
        <w:t xml:space="preserve">    elseif ismember(m,[2,3,4])</w:t>
      </w:r>
    </w:p>
    <w:p w14:paraId="3652CF0E" w14:textId="77777777" w:rsidR="00BE03A5" w:rsidRPr="005C1548" w:rsidRDefault="00BE03A5" w:rsidP="00BE03A5">
      <w:pPr>
        <w:rPr>
          <w:lang w:val="en-US"/>
        </w:rPr>
      </w:pPr>
      <w:r w:rsidRPr="005C1548">
        <w:rPr>
          <w:lang w:val="en-US"/>
        </w:rPr>
        <w:t xml:space="preserve">        monthInputs{m}.CSPpower = zeros(height(monthInputs{m}),1) + 0.8 + 0.07*rand;</w:t>
      </w:r>
    </w:p>
    <w:p w14:paraId="21DE14B2" w14:textId="77777777" w:rsidR="00BE03A5" w:rsidRPr="005C1548" w:rsidRDefault="00BE03A5" w:rsidP="00BE03A5">
      <w:pPr>
        <w:rPr>
          <w:lang w:val="en-US"/>
        </w:rPr>
      </w:pPr>
      <w:r w:rsidRPr="005C1548">
        <w:rPr>
          <w:lang w:val="en-US"/>
        </w:rPr>
        <w:t xml:space="preserve">    else</w:t>
      </w:r>
    </w:p>
    <w:p w14:paraId="5FCCA483" w14:textId="77777777" w:rsidR="00BE03A5" w:rsidRPr="005C1548" w:rsidRDefault="00BE03A5" w:rsidP="00BE03A5">
      <w:pPr>
        <w:rPr>
          <w:lang w:val="en-US"/>
        </w:rPr>
      </w:pPr>
      <w:r w:rsidRPr="005C1548">
        <w:rPr>
          <w:lang w:val="en-US"/>
        </w:rPr>
        <w:t xml:space="preserve">        monthInputs{m}.CSPpower = zeros(height(monthInputs{m}),1) + 1 + 0.1*rand;</w:t>
      </w:r>
    </w:p>
    <w:p w14:paraId="48D02A1A" w14:textId="77777777" w:rsidR="00BE03A5" w:rsidRPr="005C1548" w:rsidRDefault="00BE03A5" w:rsidP="00BE03A5">
      <w:pPr>
        <w:rPr>
          <w:lang w:val="en-US"/>
        </w:rPr>
      </w:pPr>
      <w:r w:rsidRPr="005C1548">
        <w:rPr>
          <w:lang w:val="en-US"/>
        </w:rPr>
        <w:t xml:space="preserve">    end</w:t>
      </w:r>
    </w:p>
    <w:p w14:paraId="74EC1297" w14:textId="77777777" w:rsidR="00BE03A5" w:rsidRPr="005C1548" w:rsidRDefault="00BE03A5" w:rsidP="00BE03A5">
      <w:pPr>
        <w:rPr>
          <w:lang w:val="en-US"/>
        </w:rPr>
      </w:pPr>
      <w:r w:rsidRPr="005C1548">
        <w:rPr>
          <w:lang w:val="en-US"/>
        </w:rPr>
        <w:t xml:space="preserve">    monthInputs{m}.load1_8LP = (8/51).*monthInputs{m}.LoadP;</w:t>
      </w:r>
    </w:p>
    <w:p w14:paraId="1F922152" w14:textId="77777777" w:rsidR="00BE03A5" w:rsidRPr="005C1548" w:rsidRDefault="00BE03A5" w:rsidP="00BE03A5">
      <w:pPr>
        <w:rPr>
          <w:lang w:val="en-US"/>
        </w:rPr>
      </w:pPr>
      <w:r w:rsidRPr="005C1548">
        <w:rPr>
          <w:lang w:val="en-US"/>
        </w:rPr>
        <w:t xml:space="preserve">    monthInputs{m}.load2_5lP = (5/51).*monthInputs{m}.LoadP;</w:t>
      </w:r>
    </w:p>
    <w:p w14:paraId="44150102" w14:textId="77777777" w:rsidR="00BE03A5" w:rsidRPr="005C1548" w:rsidRDefault="00BE03A5" w:rsidP="00BE03A5">
      <w:pPr>
        <w:rPr>
          <w:lang w:val="en-US"/>
        </w:rPr>
      </w:pPr>
      <w:r w:rsidRPr="005C1548">
        <w:rPr>
          <w:lang w:val="en-US"/>
        </w:rPr>
        <w:t xml:space="preserve">    monthInputs{m}.load3_7lP = (7/51).*monthInputs{m}.LoadP;</w:t>
      </w:r>
    </w:p>
    <w:p w14:paraId="74D488BC" w14:textId="77777777" w:rsidR="00BE03A5" w:rsidRPr="005C1548" w:rsidRDefault="00BE03A5" w:rsidP="00BE03A5">
      <w:pPr>
        <w:rPr>
          <w:lang w:val="en-US"/>
        </w:rPr>
      </w:pPr>
      <w:r w:rsidRPr="005C1548">
        <w:rPr>
          <w:lang w:val="en-US"/>
        </w:rPr>
        <w:t xml:space="preserve">    monthInputs{m}.load4_13lP = (13/51).*monthInputs{m}.LoadP;</w:t>
      </w:r>
    </w:p>
    <w:p w14:paraId="188E7A6D" w14:textId="77777777" w:rsidR="00BE03A5" w:rsidRPr="005C1548" w:rsidRDefault="00BE03A5" w:rsidP="00BE03A5">
      <w:pPr>
        <w:rPr>
          <w:lang w:val="en-US"/>
        </w:rPr>
      </w:pPr>
      <w:r w:rsidRPr="005C1548">
        <w:rPr>
          <w:lang w:val="en-US"/>
        </w:rPr>
        <w:t xml:space="preserve">    monthInputs{m}.load5_18lP = (18/51).*monthInputs{m}.LoadP;</w:t>
      </w:r>
    </w:p>
    <w:p w14:paraId="2CFB7141" w14:textId="77777777" w:rsidR="00BE03A5" w:rsidRPr="005C1548" w:rsidRDefault="00BE03A5" w:rsidP="00BE03A5">
      <w:pPr>
        <w:rPr>
          <w:lang w:val="en-US"/>
        </w:rPr>
      </w:pPr>
      <w:r w:rsidRPr="005C1548">
        <w:rPr>
          <w:lang w:val="en-US"/>
        </w:rPr>
        <w:t xml:space="preserve">    monthInputs{m}.load1_8LQ = (8/51).*monthInputs{m}.LoadQ;</w:t>
      </w:r>
    </w:p>
    <w:p w14:paraId="4534934B" w14:textId="77777777" w:rsidR="00BE03A5" w:rsidRPr="005C1548" w:rsidRDefault="00BE03A5" w:rsidP="00BE03A5">
      <w:pPr>
        <w:rPr>
          <w:lang w:val="en-US"/>
        </w:rPr>
      </w:pPr>
      <w:r w:rsidRPr="005C1548">
        <w:rPr>
          <w:lang w:val="en-US"/>
        </w:rPr>
        <w:t xml:space="preserve">    monthInputs{m}.load2_5lQ = (5/51).*monthInputs{m}.LoadQ;</w:t>
      </w:r>
    </w:p>
    <w:p w14:paraId="0D03856E" w14:textId="77777777" w:rsidR="00BE03A5" w:rsidRPr="005C1548" w:rsidRDefault="00BE03A5" w:rsidP="00BE03A5">
      <w:pPr>
        <w:rPr>
          <w:lang w:val="en-US"/>
        </w:rPr>
      </w:pPr>
      <w:r w:rsidRPr="005C1548">
        <w:rPr>
          <w:lang w:val="en-US"/>
        </w:rPr>
        <w:t xml:space="preserve">    monthInputs{m}.load3_7lQ = (7/51).*monthInputs{m}.LoadQ;</w:t>
      </w:r>
    </w:p>
    <w:p w14:paraId="5B2296FD" w14:textId="77777777" w:rsidR="00BE03A5" w:rsidRPr="005C1548" w:rsidRDefault="00BE03A5" w:rsidP="00BE03A5">
      <w:pPr>
        <w:rPr>
          <w:lang w:val="en-US"/>
        </w:rPr>
      </w:pPr>
      <w:r w:rsidRPr="005C1548">
        <w:rPr>
          <w:lang w:val="en-US"/>
        </w:rPr>
        <w:t xml:space="preserve">    monthInputs{m}.load4_13lQ = (13/51).*monthInputs{m}.LoadQ;</w:t>
      </w:r>
    </w:p>
    <w:p w14:paraId="5907536E" w14:textId="77777777" w:rsidR="00BE03A5" w:rsidRPr="005C1548" w:rsidRDefault="00BE03A5" w:rsidP="00BE03A5">
      <w:pPr>
        <w:rPr>
          <w:lang w:val="en-US"/>
        </w:rPr>
      </w:pPr>
      <w:r w:rsidRPr="005C1548">
        <w:rPr>
          <w:lang w:val="en-US"/>
        </w:rPr>
        <w:t xml:space="preserve">    monthInputs{m}.load5_18lQ = (18/51).*monthInputs{m}.LoadQ;</w:t>
      </w:r>
    </w:p>
    <w:p w14:paraId="091895E8" w14:textId="77777777" w:rsidR="00BE03A5" w:rsidRPr="005C1548" w:rsidRDefault="00BE03A5" w:rsidP="00BE03A5">
      <w:pPr>
        <w:rPr>
          <w:lang w:val="en-US"/>
        </w:rPr>
      </w:pPr>
      <w:r w:rsidRPr="005C1548">
        <w:rPr>
          <w:lang w:val="en-US"/>
        </w:rPr>
        <w:t xml:space="preserve">    </w:t>
      </w:r>
    </w:p>
    <w:p w14:paraId="0F3B8AD3" w14:textId="77777777" w:rsidR="00BE03A5" w:rsidRPr="005C1548" w:rsidRDefault="00BE03A5" w:rsidP="00BE03A5">
      <w:pPr>
        <w:rPr>
          <w:lang w:val="en-US"/>
        </w:rPr>
      </w:pPr>
      <w:r w:rsidRPr="005C1548">
        <w:rPr>
          <w:lang w:val="en-US"/>
        </w:rPr>
        <w:t xml:space="preserve">    monthInputs{m}.batteryuse = (monthInputs{m}.LoadP - (monthInputs{m}.HydroP + monthInputs{m}.CSPpower + monthInputs{m}.("PV instPower")))</w:t>
      </w:r>
    </w:p>
    <w:p w14:paraId="7A497433" w14:textId="77777777" w:rsidR="00BE03A5" w:rsidRPr="005C1548" w:rsidRDefault="00BE03A5" w:rsidP="00BE03A5">
      <w:pPr>
        <w:rPr>
          <w:lang w:val="en-US"/>
        </w:rPr>
      </w:pPr>
      <w:r w:rsidRPr="005C1548">
        <w:rPr>
          <w:lang w:val="en-US"/>
        </w:rPr>
        <w:t xml:space="preserve">    writetable(monthInputs{m},[montharray(m) + 'hours.Table.xls'])</w:t>
      </w:r>
    </w:p>
    <w:p w14:paraId="6EFBC787" w14:textId="77777777" w:rsidR="00BE03A5" w:rsidRPr="005C1548" w:rsidRDefault="00BE03A5" w:rsidP="00BE03A5">
      <w:pPr>
        <w:rPr>
          <w:lang w:val="en-US"/>
        </w:rPr>
      </w:pPr>
      <w:r w:rsidRPr="005C1548">
        <w:rPr>
          <w:lang w:val="en-US"/>
        </w:rPr>
        <w:t>end</w:t>
      </w:r>
    </w:p>
    <w:p w14:paraId="4C2281C0" w14:textId="77777777" w:rsidR="00BE03A5" w:rsidRPr="005C1548" w:rsidRDefault="00BE03A5" w:rsidP="00BE03A5">
      <w:pPr>
        <w:rPr>
          <w:lang w:val="en-US"/>
        </w:rPr>
      </w:pPr>
      <w:r w:rsidRPr="005C1548">
        <w:rPr>
          <w:lang w:val="en-US"/>
        </w:rPr>
        <w:t>toc</w:t>
      </w:r>
    </w:p>
    <w:p w14:paraId="62D87864" w14:textId="77777777" w:rsidR="00BE03A5" w:rsidRPr="005C1548" w:rsidRDefault="00BE03A5" w:rsidP="00BE03A5">
      <w:pPr>
        <w:rPr>
          <w:lang w:val="en-US"/>
        </w:rPr>
      </w:pPr>
      <w:r>
        <w:rPr>
          <w:lang w:val="en-US"/>
        </w:rPr>
        <w:t xml:space="preserve"> </w:t>
      </w:r>
    </w:p>
    <w:p w14:paraId="258F85C6" w14:textId="77777777" w:rsidR="00BE03A5" w:rsidRDefault="00BE03A5" w:rsidP="00BE03A5">
      <w:pPr>
        <w:pStyle w:val="Heading2"/>
        <w:rPr>
          <w:lang w:val="en-US"/>
        </w:rPr>
      </w:pPr>
      <w:bookmarkStart w:id="108" w:name="_Toc103521904"/>
      <w:bookmarkStart w:id="109" w:name="_Toc110502642"/>
      <w:r>
        <w:rPr>
          <w:lang w:val="en-US"/>
        </w:rPr>
        <w:t>APPENDIX IV – DIGSILENT MODEL SPECIFICATION</w:t>
      </w:r>
      <w:bookmarkEnd w:id="108"/>
      <w:bookmarkEnd w:id="109"/>
    </w:p>
    <w:p w14:paraId="0E0BB08F" w14:textId="77777777" w:rsidR="00BE03A5" w:rsidRPr="00B06831" w:rsidRDefault="00BE03A5" w:rsidP="00BE03A5">
      <w:pPr>
        <w:rPr>
          <w:lang w:val="en-US"/>
        </w:rPr>
      </w:pPr>
      <w:r>
        <w:rPr>
          <w:lang w:val="en-US"/>
        </w:rPr>
        <w:t>An example showing the configuration of transformers as used in the Project is shown. In this case, the 1000kVA transformer with Dyn11 is shown. Dyn11 (Delta-Star Neutral 11-o,clock is shown).</w:t>
      </w:r>
    </w:p>
    <w:p w14:paraId="71811731" w14:textId="6F9EE7F3" w:rsidR="00BE03A5" w:rsidRPr="00F97611" w:rsidRDefault="00BE03A5" w:rsidP="00BE03A5">
      <w:pPr>
        <w:jc w:val="center"/>
        <w:rPr>
          <w:lang w:val="en-US"/>
        </w:rPr>
      </w:pPr>
      <w:r w:rsidRPr="00DA480D">
        <w:rPr>
          <w:noProof/>
          <w:lang w:val="en-US"/>
        </w:rPr>
        <w:drawing>
          <wp:inline distT="0" distB="0" distL="0" distR="0" wp14:anchorId="4B07251B" wp14:editId="311AE3B8">
            <wp:extent cx="3162300" cy="2164080"/>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2300" cy="2164080"/>
                    </a:xfrm>
                    <a:prstGeom prst="rect">
                      <a:avLst/>
                    </a:prstGeom>
                    <a:noFill/>
                    <a:ln>
                      <a:noFill/>
                    </a:ln>
                  </pic:spPr>
                </pic:pic>
              </a:graphicData>
            </a:graphic>
          </wp:inline>
        </w:drawing>
      </w:r>
    </w:p>
    <w:p w14:paraId="0063AA51" w14:textId="77777777" w:rsidR="00BE03A5" w:rsidRDefault="00BE03A5" w:rsidP="00BE03A5">
      <w:pPr>
        <w:pStyle w:val="Heading2"/>
        <w:rPr>
          <w:lang w:val="en-US"/>
        </w:rPr>
      </w:pPr>
      <w:bookmarkStart w:id="110" w:name="_Toc103521905"/>
      <w:bookmarkStart w:id="111" w:name="_Toc110502643"/>
      <w:r>
        <w:rPr>
          <w:lang w:val="en-US"/>
        </w:rPr>
        <w:t>APPENDIX V – PLOTS OF PROBABILITY DISTRIBUTIONS</w:t>
      </w:r>
      <w:bookmarkEnd w:id="110"/>
      <w:bookmarkEnd w:id="111"/>
    </w:p>
    <w:p w14:paraId="0A898E1E" w14:textId="72EEAEE2" w:rsidR="00BE03A5" w:rsidRPr="00F97611" w:rsidRDefault="00BE03A5" w:rsidP="00BE03A5">
      <w:pPr>
        <w:rPr>
          <w:lang w:val="en-US"/>
        </w:rPr>
      </w:pPr>
      <w:r>
        <w:rPr>
          <w:lang w:val="en-US"/>
        </w:rPr>
        <w:t>A set of self-captioned plots are provided for visual validation of the probabilistic models developed. Histograms based on real data</w:t>
      </w:r>
      <w:r w:rsidR="0089258B">
        <w:rPr>
          <w:lang w:val="en-US"/>
        </w:rPr>
        <w:t xml:space="preserve"> fom 2001 to 2021</w:t>
      </w:r>
      <w:r>
        <w:rPr>
          <w:lang w:val="en-US"/>
        </w:rPr>
        <w:t xml:space="preserve"> are superimposed onto function plots calculated using the methodology described in Chapter 3. For brevity, only windspeeds have been provided.</w:t>
      </w:r>
    </w:p>
    <w:p w14:paraId="5A1DBA37" w14:textId="5C213CD4" w:rsidR="00BE03A5" w:rsidRDefault="00BE03A5" w:rsidP="00BE03A5">
      <w:pPr>
        <w:rPr>
          <w:rFonts w:ascii="Consolas" w:eastAsia="Times New Roman" w:hAnsi="Consolas"/>
          <w:color w:val="404040"/>
          <w:szCs w:val="24"/>
        </w:rPr>
      </w:pPr>
      <w:r w:rsidRPr="00DA480D">
        <w:rPr>
          <w:rFonts w:ascii="Consolas" w:eastAsia="Times New Roman" w:hAnsi="Consolas"/>
          <w:noProof/>
          <w:color w:val="404040"/>
          <w:lang w:val="en-US"/>
        </w:rPr>
        <w:drawing>
          <wp:inline distT="0" distB="0" distL="0" distR="0" wp14:anchorId="6C2754B2" wp14:editId="4E7AE7F3">
            <wp:extent cx="4457700" cy="3345180"/>
            <wp:effectExtent l="0" t="0" r="0" b="7620"/>
            <wp:docPr id="129" name="Picture 129" descr="https://www.mathworks.com/fil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thworks.com/file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17DA35E" w14:textId="105AF79C"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3BE93357" wp14:editId="4B121922">
            <wp:extent cx="4457700" cy="3345180"/>
            <wp:effectExtent l="0" t="0" r="0" b="7620"/>
            <wp:docPr id="128" name="Picture 128" descr="https://www.mathworks.com/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thworks.com/file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0BF11E13" w14:textId="31BEAAA3"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7C63620D" wp14:editId="45F70D1B">
            <wp:extent cx="4457700" cy="3345180"/>
            <wp:effectExtent l="0" t="0" r="0" b="7620"/>
            <wp:docPr id="127" name="Picture 127" descr="https://www.mathworks.com/f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thworks.com/file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3C1B78F9" w14:textId="0ECC161E"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0BB57793" wp14:editId="6EFD845F">
            <wp:extent cx="4457700" cy="3345180"/>
            <wp:effectExtent l="0" t="0" r="0" b="7620"/>
            <wp:docPr id="126" name="Picture 126" descr="https://www.mathworks.com/f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thworks.com/file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04FCB989" w14:textId="2DC3FA91"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4BB8F6C7" wp14:editId="02590FE8">
            <wp:extent cx="4457700" cy="3345180"/>
            <wp:effectExtent l="0" t="0" r="0" b="7620"/>
            <wp:docPr id="125" name="Picture 125" descr="https://www.mathworks.com/fi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thworks.com/file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6E665E69" w14:textId="126EFFC0"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11E008DD" wp14:editId="33EC7C72">
            <wp:extent cx="4457700" cy="3345180"/>
            <wp:effectExtent l="0" t="0" r="0" b="7620"/>
            <wp:docPr id="124" name="Picture 124" descr="https://www.mathworks.com/fi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thworks.com/file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6840D156" w14:textId="7144C532"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5AC0AE38" wp14:editId="320E7FAC">
            <wp:extent cx="4457700" cy="3345180"/>
            <wp:effectExtent l="0" t="0" r="0" b="7620"/>
            <wp:docPr id="123" name="Picture 123" descr="https://www.mathworks.com/fil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mathworks.com/file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19ABBF5D" w14:textId="5B7784F6"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2CE8936E" wp14:editId="0D3F9659">
            <wp:extent cx="4457700" cy="3345180"/>
            <wp:effectExtent l="0" t="0" r="0" b="7620"/>
            <wp:docPr id="122" name="Picture 122" descr="https://www.mathworks.com/fil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mathworks.com/file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6CD91492" w14:textId="146D5F65"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716CAAD1" wp14:editId="0D446899">
            <wp:extent cx="4457700" cy="3345180"/>
            <wp:effectExtent l="0" t="0" r="0" b="7620"/>
            <wp:docPr id="121" name="Picture 121" descr="https://www.mathworks.com/fil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mathworks.com/file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5EF7114F" w14:textId="40F1C6B6"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70E1F52E" wp14:editId="27B76030">
            <wp:extent cx="4457700" cy="3345180"/>
            <wp:effectExtent l="0" t="0" r="0" b="7620"/>
            <wp:docPr id="120" name="Picture 120" descr="https://www.mathworks.com/fil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athworks.com/file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75FEFAC" w14:textId="01BE8549"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2787DD39" wp14:editId="3F0D7140">
            <wp:extent cx="4457700" cy="3345180"/>
            <wp:effectExtent l="0" t="0" r="0" b="7620"/>
            <wp:docPr id="119" name="Picture 119" descr="https://www.mathworks.com/fil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mathworks.com/file1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467A6982" w14:textId="2A1288BB" w:rsidR="00BE03A5" w:rsidRDefault="00BE03A5" w:rsidP="00BE03A5">
      <w:pPr>
        <w:rPr>
          <w:rFonts w:ascii="Consolas" w:eastAsia="Times New Roman" w:hAnsi="Consolas"/>
          <w:color w:val="404040"/>
        </w:rPr>
      </w:pPr>
      <w:r w:rsidRPr="00DA480D">
        <w:rPr>
          <w:rFonts w:ascii="Consolas" w:eastAsia="Times New Roman" w:hAnsi="Consolas"/>
          <w:noProof/>
          <w:color w:val="404040"/>
          <w:lang w:val="en-US"/>
        </w:rPr>
        <w:drawing>
          <wp:inline distT="0" distB="0" distL="0" distR="0" wp14:anchorId="223EA2C2" wp14:editId="6D85336B">
            <wp:extent cx="4457700" cy="3345180"/>
            <wp:effectExtent l="0" t="0" r="0" b="7620"/>
            <wp:docPr id="118" name="Picture 118" descr="https://www.mathworks.com/fil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athworks.com/file1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14:paraId="612E79C4" w14:textId="77777777" w:rsidR="00BE03A5" w:rsidRPr="00F97611" w:rsidRDefault="00BE03A5" w:rsidP="00BE03A5">
      <w:pPr>
        <w:rPr>
          <w:lang w:val="en-US"/>
        </w:rPr>
      </w:pPr>
    </w:p>
    <w:p w14:paraId="4F02305D" w14:textId="77777777" w:rsidR="00BE03A5" w:rsidRDefault="00BE03A5" w:rsidP="00BE03A5">
      <w:pPr>
        <w:pStyle w:val="Heading2"/>
        <w:rPr>
          <w:lang w:val="en-US"/>
        </w:rPr>
      </w:pPr>
      <w:bookmarkStart w:id="112" w:name="_Toc103521906"/>
      <w:bookmarkStart w:id="113" w:name="_Toc110502644"/>
      <w:r>
        <w:rPr>
          <w:lang w:val="en-US"/>
        </w:rPr>
        <w:t>APPENDIX VI – MATLAB CODE FOR FUZZY LOGIC SYSTEM</w:t>
      </w:r>
      <w:bookmarkEnd w:id="112"/>
      <w:bookmarkEnd w:id="113"/>
    </w:p>
    <w:p w14:paraId="220649A9" w14:textId="77777777" w:rsidR="00BE03A5" w:rsidRDefault="00BE03A5" w:rsidP="00BE03A5">
      <w:pPr>
        <w:rPr>
          <w:lang w:val="en-US"/>
        </w:rPr>
      </w:pPr>
      <w:r>
        <w:rPr>
          <w:lang w:val="en-US"/>
        </w:rPr>
        <w:t>For transparency purposes the code that was used to implement the fuzzy logic system used in the study is expressed in form of MATLAB codes as follows:</w:t>
      </w:r>
    </w:p>
    <w:p w14:paraId="6644A51E"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[System]</w:t>
      </w:r>
    </w:p>
    <w:p w14:paraId="727F7019"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Name='Arandun_EIA'</w:t>
      </w:r>
    </w:p>
    <w:p w14:paraId="1DFC671F"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Type='mamdani'</w:t>
      </w:r>
    </w:p>
    <w:p w14:paraId="770CC36F"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Version=2.0</w:t>
      </w:r>
    </w:p>
    <w:p w14:paraId="3FB27BDA"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NumInputs=5</w:t>
      </w:r>
    </w:p>
    <w:p w14:paraId="3D461DDB"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NumOutputs=1</w:t>
      </w:r>
    </w:p>
    <w:p w14:paraId="45F43539"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NumRules=3</w:t>
      </w:r>
    </w:p>
    <w:p w14:paraId="44AA9D4E"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AndMethod='min'</w:t>
      </w:r>
    </w:p>
    <w:p w14:paraId="60618BC1"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OrMethod='max'</w:t>
      </w:r>
    </w:p>
    <w:p w14:paraId="193B63D3"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ImpMethod='min'</w:t>
      </w:r>
    </w:p>
    <w:p w14:paraId="16716108"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AggMethod='max'</w:t>
      </w:r>
    </w:p>
    <w:p w14:paraId="16A43F68"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DefuzzMethod='centroid'</w:t>
      </w:r>
    </w:p>
    <w:p w14:paraId="362147E8"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 xml:space="preserve"> </w:t>
      </w:r>
    </w:p>
    <w:p w14:paraId="35D061EE"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[Input1]</w:t>
      </w:r>
    </w:p>
    <w:p w14:paraId="1649A85A"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Name='LandUse'</w:t>
      </w:r>
    </w:p>
    <w:p w14:paraId="22CC43B6"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Range=[0 1]</w:t>
      </w:r>
    </w:p>
    <w:p w14:paraId="114E6DBE"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NumMFs=3</w:t>
      </w:r>
    </w:p>
    <w:p w14:paraId="08D4D696"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MF1='Extensive':'gbellmf',[0.48 16.7 0.95]</w:t>
      </w:r>
    </w:p>
    <w:p w14:paraId="6838F3AF"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MF2='Moderate':'gaussmf',[0.26 0.5]</w:t>
      </w:r>
    </w:p>
    <w:p w14:paraId="6BE96D71"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MF3='Limited':'zmf',[0.43 0.73]</w:t>
      </w:r>
    </w:p>
    <w:p w14:paraId="75188554"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 xml:space="preserve"> </w:t>
      </w:r>
    </w:p>
    <w:p w14:paraId="48BFDC54"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[Input2]</w:t>
      </w:r>
    </w:p>
    <w:p w14:paraId="03746341"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Name='VisualImpact'</w:t>
      </w:r>
    </w:p>
    <w:p w14:paraId="231054D6"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Range=[0 1]</w:t>
      </w:r>
    </w:p>
    <w:p w14:paraId="44934D44"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NumMFs=3</w:t>
      </w:r>
    </w:p>
    <w:p w14:paraId="6207F408"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MF1='good':'zmf',[0.4 0.899]</w:t>
      </w:r>
    </w:p>
    <w:p w14:paraId="6629B7F0"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MF2='moderate':'pimf',[0.115 0.4 0.5 0.7]</w:t>
      </w:r>
    </w:p>
    <w:p w14:paraId="698254A4"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MF3='bad':'trimf',[0.5 1.04 1.44]</w:t>
      </w:r>
    </w:p>
    <w:p w14:paraId="47F60B58"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 xml:space="preserve"> </w:t>
      </w:r>
    </w:p>
    <w:p w14:paraId="451DFACC"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[Input3]</w:t>
      </w:r>
    </w:p>
    <w:p w14:paraId="2A2B370F"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Name='AcousticNoise'</w:t>
      </w:r>
    </w:p>
    <w:p w14:paraId="56EBF0D9"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Range=[0 1]</w:t>
      </w:r>
    </w:p>
    <w:p w14:paraId="348389BA"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NumMFs=3</w:t>
      </w:r>
    </w:p>
    <w:p w14:paraId="354776B1"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MF1='good':'trimf',[-0.4 0 0.6]</w:t>
      </w:r>
    </w:p>
    <w:p w14:paraId="11A14124"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MF2='moderate':'trimf',[0.29 0.5 0.67]</w:t>
      </w:r>
    </w:p>
    <w:p w14:paraId="724CB793"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MF3='unbearable':'trimf',[0.6 1 1.4]</w:t>
      </w:r>
    </w:p>
    <w:p w14:paraId="042B76C5"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 xml:space="preserve"> </w:t>
      </w:r>
    </w:p>
    <w:p w14:paraId="12781A7E"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[Input4]</w:t>
      </w:r>
    </w:p>
    <w:p w14:paraId="249D0CB9"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Name='AirPollution'</w:t>
      </w:r>
    </w:p>
    <w:p w14:paraId="37FDCA7B"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Range=[0 1]</w:t>
      </w:r>
    </w:p>
    <w:p w14:paraId="1E4DB025"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NumMFs=2</w:t>
      </w:r>
    </w:p>
    <w:p w14:paraId="256B3EA7"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MF1='low':'trimf',[-0.4 0 0.52]</w:t>
      </w:r>
    </w:p>
    <w:p w14:paraId="1E4F63E3"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MF2='toxic':'trimf',[0.6 1 1.4]</w:t>
      </w:r>
    </w:p>
    <w:p w14:paraId="66B7BF6C"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 xml:space="preserve"> </w:t>
      </w:r>
    </w:p>
    <w:p w14:paraId="323788C6"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[Input5]</w:t>
      </w:r>
    </w:p>
    <w:p w14:paraId="1786D50C"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Name='WaterCompromise'</w:t>
      </w:r>
    </w:p>
    <w:p w14:paraId="2AA7DAEB"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Range=[0 1]</w:t>
      </w:r>
    </w:p>
    <w:p w14:paraId="04862DA2"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NumMFs=3</w:t>
      </w:r>
    </w:p>
    <w:p w14:paraId="2A916589"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MF1='negligible':'trimf',[-0.4 0 0.4]</w:t>
      </w:r>
    </w:p>
    <w:p w14:paraId="26F10FC3"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MF2='low':'trimf',[0.1 0.5 0.9]</w:t>
      </w:r>
    </w:p>
    <w:p w14:paraId="08F68143"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MF3='severe':'trimf',[0.6 1 1.4]</w:t>
      </w:r>
    </w:p>
    <w:p w14:paraId="73C99D83"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 xml:space="preserve"> </w:t>
      </w:r>
    </w:p>
    <w:p w14:paraId="18AC90F2"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[Output1]</w:t>
      </w:r>
    </w:p>
    <w:p w14:paraId="2F414C30"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Name='AcceptabilityIndex'</w:t>
      </w:r>
    </w:p>
    <w:p w14:paraId="771490B8"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Range=[0 1]</w:t>
      </w:r>
    </w:p>
    <w:p w14:paraId="6B00E764"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NumMFs=3</w:t>
      </w:r>
    </w:p>
    <w:p w14:paraId="1CB9CD9C"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MF1='low':'trimf',[-0.4 0 0.4]</w:t>
      </w:r>
    </w:p>
    <w:p w14:paraId="1F118AE7"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MF2='moderate':'trimf',[0.1 0.5 0.9]</w:t>
      </w:r>
    </w:p>
    <w:p w14:paraId="7F0A805A"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MF3='high':'smf',[0.4 0.6]</w:t>
      </w:r>
    </w:p>
    <w:p w14:paraId="50EB04FD"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 xml:space="preserve"> </w:t>
      </w:r>
    </w:p>
    <w:p w14:paraId="632B4755"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[Rules]</w:t>
      </w:r>
    </w:p>
    <w:p w14:paraId="0E5C7787"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3 1 1 1 1, 3 (1) : 2</w:t>
      </w:r>
    </w:p>
    <w:p w14:paraId="0C621BE3"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0 0 0 1 -3, 3 (1) : 1</w:t>
      </w:r>
    </w:p>
    <w:p w14:paraId="2AD47C87"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r>
        <w:rPr>
          <w:rFonts w:ascii="Courier New" w:hAnsi="Courier New" w:cs="Courier New"/>
          <w:color w:val="000000"/>
          <w:sz w:val="26"/>
          <w:szCs w:val="26"/>
          <w:lang w:val="en-US"/>
        </w:rPr>
        <w:t>0 0 3 1 -3, 2 (1) : 1</w:t>
      </w:r>
    </w:p>
    <w:p w14:paraId="34BA0F33" w14:textId="77777777" w:rsidR="00BE03A5" w:rsidRDefault="00BE03A5" w:rsidP="00BE03A5">
      <w:pPr>
        <w:autoSpaceDE w:val="0"/>
        <w:autoSpaceDN w:val="0"/>
        <w:adjustRightInd w:val="0"/>
        <w:spacing w:after="0" w:line="240" w:lineRule="auto"/>
        <w:jc w:val="left"/>
        <w:rPr>
          <w:rFonts w:ascii="Courier New" w:hAnsi="Courier New" w:cs="Courier New"/>
          <w:szCs w:val="24"/>
          <w:lang w:val="en-US"/>
        </w:rPr>
      </w:pPr>
    </w:p>
    <w:p w14:paraId="60E5EE4B" w14:textId="29A26615" w:rsidR="00BE03A5" w:rsidRDefault="00241FAA" w:rsidP="00241FAA">
      <w:pPr>
        <w:pStyle w:val="Heading2"/>
        <w:rPr>
          <w:lang w:val="en-US"/>
        </w:rPr>
      </w:pPr>
      <w:bookmarkStart w:id="114" w:name="_Toc110502645"/>
      <w:r>
        <w:rPr>
          <w:lang w:val="en-US"/>
        </w:rPr>
        <w:t>APPENDIX VII – MONTHLY PRECIPITATION DATA</w:t>
      </w:r>
      <w:bookmarkEnd w:id="114"/>
    </w:p>
    <w:p w14:paraId="563303BA" w14:textId="78B0D42D" w:rsidR="00241FAA" w:rsidRDefault="004767AE" w:rsidP="00241FAA">
      <w:pPr>
        <w:rPr>
          <w:lang w:val="en-US"/>
        </w:rPr>
      </w:pPr>
      <w:r>
        <w:rPr>
          <w:lang w:val="en-US"/>
        </w:rPr>
        <w:t>The precipitation data  and how it is used to compute streamflow is presented in following:</w:t>
      </w:r>
    </w:p>
    <w:tbl>
      <w:tblPr>
        <w:tblW w:w="0" w:type="auto"/>
        <w:jc w:val="center"/>
        <w:tblBorders>
          <w:top w:val="single" w:sz="4" w:space="0" w:color="auto"/>
          <w:bottom w:val="single" w:sz="4" w:space="0" w:color="auto"/>
        </w:tblBorders>
        <w:tblLook w:val="04A0" w:firstRow="1" w:lastRow="0" w:firstColumn="1" w:lastColumn="0" w:noHBand="0" w:noVBand="1"/>
      </w:tblPr>
      <w:tblGrid>
        <w:gridCol w:w="1510"/>
        <w:gridCol w:w="1872"/>
        <w:gridCol w:w="1163"/>
        <w:gridCol w:w="4095"/>
      </w:tblGrid>
      <w:tr w:rsidR="004767AE" w14:paraId="2AA6E3BF" w14:textId="2B95F735" w:rsidTr="004767AE">
        <w:trPr>
          <w:jc w:val="center"/>
        </w:trPr>
        <w:tc>
          <w:tcPr>
            <w:tcW w:w="1510" w:type="dxa"/>
            <w:tcBorders>
              <w:top w:val="single" w:sz="4" w:space="0" w:color="auto"/>
              <w:bottom w:val="single" w:sz="4" w:space="0" w:color="auto"/>
            </w:tcBorders>
          </w:tcPr>
          <w:p w14:paraId="2F359FB4" w14:textId="77777777" w:rsidR="004767AE" w:rsidRDefault="004767AE" w:rsidP="00FC41BC">
            <w:pPr>
              <w:spacing w:line="240" w:lineRule="auto"/>
              <w:jc w:val="center"/>
              <w:rPr>
                <w:rFonts w:eastAsiaTheme="minorEastAsia"/>
                <w:lang w:val="en-US"/>
              </w:rPr>
            </w:pPr>
            <w:r>
              <w:rPr>
                <w:rFonts w:eastAsiaTheme="minorEastAsia"/>
                <w:lang w:val="en-US"/>
              </w:rPr>
              <w:t>Month</w:t>
            </w:r>
          </w:p>
        </w:tc>
        <w:tc>
          <w:tcPr>
            <w:tcW w:w="1872" w:type="dxa"/>
            <w:tcBorders>
              <w:top w:val="single" w:sz="4" w:space="0" w:color="auto"/>
              <w:bottom w:val="single" w:sz="4" w:space="0" w:color="auto"/>
            </w:tcBorders>
          </w:tcPr>
          <w:p w14:paraId="373C982E" w14:textId="27FA3C9A" w:rsidR="004767AE" w:rsidRPr="004767AE" w:rsidRDefault="004767AE" w:rsidP="00FC41BC">
            <w:pPr>
              <w:spacing w:line="240" w:lineRule="auto"/>
              <w:jc w:val="center"/>
              <w:rPr>
                <w:rFonts w:eastAsiaTheme="minorEastAsia"/>
                <w:vertAlign w:val="subscript"/>
                <w:lang w:val="en-US"/>
              </w:rPr>
            </w:pPr>
            <w:r>
              <w:rPr>
                <w:rFonts w:eastAsiaTheme="minorEastAsia"/>
                <w:lang w:val="en-US"/>
              </w:rPr>
              <w:t>Total Precipitation in mm</w:t>
            </w:r>
            <w:r>
              <w:rPr>
                <w:rFonts w:eastAsiaTheme="minorEastAsia"/>
                <w:vertAlign w:val="superscript"/>
                <w:lang w:val="en-US"/>
              </w:rPr>
              <w:t>2</w:t>
            </w:r>
            <w:r>
              <w:rPr>
                <w:rFonts w:eastAsiaTheme="minorEastAsia"/>
                <w:vertAlign w:val="subscript"/>
                <w:lang w:val="en-US"/>
              </w:rPr>
              <w:t xml:space="preserve"> </w:t>
            </w:r>
          </w:p>
        </w:tc>
        <w:tc>
          <w:tcPr>
            <w:tcW w:w="1163" w:type="dxa"/>
            <w:tcBorders>
              <w:top w:val="single" w:sz="4" w:space="0" w:color="auto"/>
              <w:bottom w:val="single" w:sz="4" w:space="0" w:color="auto"/>
            </w:tcBorders>
          </w:tcPr>
          <w:p w14:paraId="0E4966C1" w14:textId="26F488C8" w:rsidR="004767AE" w:rsidRDefault="004767AE" w:rsidP="00FC41BC">
            <w:pPr>
              <w:spacing w:line="240" w:lineRule="auto"/>
              <w:jc w:val="center"/>
              <w:rPr>
                <w:rFonts w:eastAsiaTheme="minorEastAsia"/>
                <w:lang w:val="en-US"/>
              </w:rPr>
            </w:pPr>
            <w:r>
              <w:rPr>
                <w:rFonts w:eastAsiaTheme="minorEastAsia"/>
                <w:lang w:val="en-US"/>
              </w:rPr>
              <w:t xml:space="preserve">Speed multiplier </w:t>
            </w:r>
          </w:p>
        </w:tc>
        <w:tc>
          <w:tcPr>
            <w:tcW w:w="4095" w:type="dxa"/>
            <w:tcBorders>
              <w:top w:val="single" w:sz="4" w:space="0" w:color="auto"/>
              <w:bottom w:val="single" w:sz="4" w:space="0" w:color="auto"/>
            </w:tcBorders>
          </w:tcPr>
          <w:p w14:paraId="333979CE" w14:textId="3FE706B5" w:rsidR="004767AE" w:rsidRDefault="004767AE" w:rsidP="004767AE">
            <w:pPr>
              <w:spacing w:line="240" w:lineRule="auto"/>
              <w:jc w:val="center"/>
              <w:rPr>
                <w:rFonts w:eastAsiaTheme="minorEastAsia"/>
                <w:lang w:val="en-US"/>
              </w:rPr>
            </w:pPr>
            <w:r>
              <w:rPr>
                <w:rFonts w:eastAsiaTheme="minorEastAsia"/>
                <w:lang w:val="en-US"/>
              </w:rPr>
              <w:t>River Width (m)</w:t>
            </w:r>
          </w:p>
        </w:tc>
      </w:tr>
      <w:tr w:rsidR="004767AE" w14:paraId="32729176" w14:textId="3F02AD9A" w:rsidTr="004767AE">
        <w:trPr>
          <w:jc w:val="center"/>
        </w:trPr>
        <w:tc>
          <w:tcPr>
            <w:tcW w:w="1510" w:type="dxa"/>
            <w:tcBorders>
              <w:top w:val="single" w:sz="4" w:space="0" w:color="auto"/>
            </w:tcBorders>
          </w:tcPr>
          <w:p w14:paraId="5F7BD15B" w14:textId="77777777" w:rsidR="004767AE" w:rsidRDefault="004767AE" w:rsidP="004767AE">
            <w:pPr>
              <w:spacing w:line="240" w:lineRule="auto"/>
              <w:jc w:val="center"/>
              <w:rPr>
                <w:rFonts w:eastAsiaTheme="minorEastAsia"/>
                <w:lang w:val="en-US"/>
              </w:rPr>
            </w:pPr>
            <w:r>
              <w:rPr>
                <w:rFonts w:eastAsiaTheme="minorEastAsia"/>
                <w:lang w:val="en-US"/>
              </w:rPr>
              <w:t>January</w:t>
            </w:r>
          </w:p>
        </w:tc>
        <w:tc>
          <w:tcPr>
            <w:tcW w:w="1872" w:type="dxa"/>
            <w:tcBorders>
              <w:top w:val="single" w:sz="4" w:space="0" w:color="auto"/>
            </w:tcBorders>
          </w:tcPr>
          <w:p w14:paraId="2C1B6807" w14:textId="3AD89B01" w:rsidR="004767AE" w:rsidRDefault="004767AE" w:rsidP="004767AE">
            <w:pPr>
              <w:spacing w:line="240" w:lineRule="auto"/>
              <w:jc w:val="center"/>
              <w:rPr>
                <w:rFonts w:eastAsiaTheme="minorEastAsia"/>
                <w:lang w:val="en-US"/>
              </w:rPr>
            </w:pPr>
            <w:r w:rsidRPr="00875A76">
              <w:t>2.15</w:t>
            </w:r>
          </w:p>
        </w:tc>
        <w:tc>
          <w:tcPr>
            <w:tcW w:w="1163" w:type="dxa"/>
            <w:tcBorders>
              <w:top w:val="single" w:sz="4" w:space="0" w:color="auto"/>
            </w:tcBorders>
          </w:tcPr>
          <w:p w14:paraId="2A499A54" w14:textId="554A9406" w:rsidR="004767AE" w:rsidRPr="00875A76" w:rsidRDefault="004767AE" w:rsidP="004767AE">
            <w:pPr>
              <w:spacing w:line="240" w:lineRule="auto"/>
              <w:jc w:val="center"/>
            </w:pPr>
            <w:r w:rsidRPr="00C43E98">
              <w:t>1</w:t>
            </w:r>
          </w:p>
        </w:tc>
        <w:tc>
          <w:tcPr>
            <w:tcW w:w="4095" w:type="dxa"/>
            <w:tcBorders>
              <w:top w:val="single" w:sz="4" w:space="0" w:color="auto"/>
            </w:tcBorders>
          </w:tcPr>
          <w:p w14:paraId="64CAB7A6" w14:textId="3BE107F5" w:rsidR="004767AE" w:rsidRPr="00C43E98" w:rsidRDefault="004767AE" w:rsidP="004767AE">
            <w:pPr>
              <w:spacing w:line="240" w:lineRule="auto"/>
              <w:jc w:val="center"/>
            </w:pPr>
            <w:r w:rsidRPr="00D52092">
              <w:t>7</w:t>
            </w:r>
          </w:p>
        </w:tc>
      </w:tr>
      <w:tr w:rsidR="004767AE" w14:paraId="445C4552" w14:textId="4FF438D1" w:rsidTr="004767AE">
        <w:trPr>
          <w:jc w:val="center"/>
        </w:trPr>
        <w:tc>
          <w:tcPr>
            <w:tcW w:w="1510" w:type="dxa"/>
          </w:tcPr>
          <w:p w14:paraId="70432931" w14:textId="77777777" w:rsidR="004767AE" w:rsidRDefault="004767AE" w:rsidP="004767AE">
            <w:pPr>
              <w:spacing w:line="240" w:lineRule="auto"/>
              <w:jc w:val="center"/>
              <w:rPr>
                <w:rFonts w:eastAsiaTheme="minorEastAsia"/>
                <w:lang w:val="en-US"/>
              </w:rPr>
            </w:pPr>
            <w:r>
              <w:rPr>
                <w:rFonts w:eastAsiaTheme="minorEastAsia"/>
                <w:lang w:val="en-US"/>
              </w:rPr>
              <w:t>February</w:t>
            </w:r>
          </w:p>
        </w:tc>
        <w:tc>
          <w:tcPr>
            <w:tcW w:w="1872" w:type="dxa"/>
          </w:tcPr>
          <w:p w14:paraId="5B902806" w14:textId="1D65D10F" w:rsidR="004767AE" w:rsidRDefault="004767AE" w:rsidP="004767AE">
            <w:pPr>
              <w:spacing w:line="240" w:lineRule="auto"/>
              <w:jc w:val="center"/>
              <w:rPr>
                <w:rFonts w:eastAsiaTheme="minorEastAsia"/>
                <w:lang w:val="en-US"/>
              </w:rPr>
            </w:pPr>
            <w:r w:rsidRPr="00875A76">
              <w:t>2.83</w:t>
            </w:r>
          </w:p>
        </w:tc>
        <w:tc>
          <w:tcPr>
            <w:tcW w:w="1163" w:type="dxa"/>
          </w:tcPr>
          <w:p w14:paraId="28BC4285" w14:textId="291D8B97" w:rsidR="004767AE" w:rsidRPr="00875A76" w:rsidRDefault="004767AE" w:rsidP="004767AE">
            <w:pPr>
              <w:spacing w:line="240" w:lineRule="auto"/>
              <w:jc w:val="center"/>
            </w:pPr>
            <w:r w:rsidRPr="00C43E98">
              <w:t>1</w:t>
            </w:r>
          </w:p>
        </w:tc>
        <w:tc>
          <w:tcPr>
            <w:tcW w:w="4095" w:type="dxa"/>
          </w:tcPr>
          <w:p w14:paraId="673477C6" w14:textId="42FB0883" w:rsidR="004767AE" w:rsidRPr="00C43E98" w:rsidRDefault="004767AE" w:rsidP="004767AE">
            <w:pPr>
              <w:spacing w:line="240" w:lineRule="auto"/>
              <w:jc w:val="center"/>
            </w:pPr>
            <w:r w:rsidRPr="00D52092">
              <w:t>7</w:t>
            </w:r>
          </w:p>
        </w:tc>
      </w:tr>
      <w:tr w:rsidR="004767AE" w14:paraId="65A24465" w14:textId="62E3DC91" w:rsidTr="004767AE">
        <w:trPr>
          <w:jc w:val="center"/>
        </w:trPr>
        <w:tc>
          <w:tcPr>
            <w:tcW w:w="1510" w:type="dxa"/>
          </w:tcPr>
          <w:p w14:paraId="22DC3E25" w14:textId="77777777" w:rsidR="004767AE" w:rsidRDefault="004767AE" w:rsidP="004767AE">
            <w:pPr>
              <w:spacing w:line="240" w:lineRule="auto"/>
              <w:jc w:val="center"/>
              <w:rPr>
                <w:rFonts w:eastAsiaTheme="minorEastAsia"/>
                <w:lang w:val="en-US"/>
              </w:rPr>
            </w:pPr>
            <w:r>
              <w:rPr>
                <w:rFonts w:eastAsiaTheme="minorEastAsia"/>
                <w:lang w:val="en-US"/>
              </w:rPr>
              <w:t>March</w:t>
            </w:r>
          </w:p>
        </w:tc>
        <w:tc>
          <w:tcPr>
            <w:tcW w:w="1872" w:type="dxa"/>
          </w:tcPr>
          <w:p w14:paraId="7648E5BC" w14:textId="5B714319" w:rsidR="004767AE" w:rsidRDefault="004767AE" w:rsidP="004767AE">
            <w:pPr>
              <w:spacing w:line="240" w:lineRule="auto"/>
              <w:jc w:val="center"/>
              <w:rPr>
                <w:rFonts w:eastAsiaTheme="minorEastAsia"/>
                <w:lang w:val="en-US"/>
              </w:rPr>
            </w:pPr>
            <w:r w:rsidRPr="00875A76">
              <w:t>48.64</w:t>
            </w:r>
          </w:p>
        </w:tc>
        <w:tc>
          <w:tcPr>
            <w:tcW w:w="1163" w:type="dxa"/>
          </w:tcPr>
          <w:p w14:paraId="06E5505C" w14:textId="6D80D86D" w:rsidR="004767AE" w:rsidRPr="00875A76" w:rsidRDefault="004767AE" w:rsidP="004767AE">
            <w:pPr>
              <w:spacing w:line="240" w:lineRule="auto"/>
              <w:jc w:val="center"/>
            </w:pPr>
            <w:r w:rsidRPr="00C43E98">
              <w:t>3</w:t>
            </w:r>
          </w:p>
        </w:tc>
        <w:tc>
          <w:tcPr>
            <w:tcW w:w="4095" w:type="dxa"/>
          </w:tcPr>
          <w:p w14:paraId="5A918742" w14:textId="33826082" w:rsidR="004767AE" w:rsidRPr="00C43E98" w:rsidRDefault="004767AE" w:rsidP="004767AE">
            <w:pPr>
              <w:spacing w:line="240" w:lineRule="auto"/>
              <w:jc w:val="center"/>
            </w:pPr>
            <w:r w:rsidRPr="00D52092">
              <w:t>7</w:t>
            </w:r>
          </w:p>
        </w:tc>
      </w:tr>
      <w:tr w:rsidR="004767AE" w14:paraId="6B081B2C" w14:textId="1BFECDFD" w:rsidTr="004767AE">
        <w:trPr>
          <w:jc w:val="center"/>
        </w:trPr>
        <w:tc>
          <w:tcPr>
            <w:tcW w:w="1510" w:type="dxa"/>
          </w:tcPr>
          <w:p w14:paraId="1D26D480" w14:textId="77777777" w:rsidR="004767AE" w:rsidRDefault="004767AE" w:rsidP="004767AE">
            <w:pPr>
              <w:spacing w:line="240" w:lineRule="auto"/>
              <w:jc w:val="center"/>
              <w:rPr>
                <w:rFonts w:eastAsiaTheme="minorEastAsia"/>
                <w:lang w:val="en-US"/>
              </w:rPr>
            </w:pPr>
            <w:r>
              <w:rPr>
                <w:rFonts w:eastAsiaTheme="minorEastAsia"/>
                <w:lang w:val="en-US"/>
              </w:rPr>
              <w:t>April</w:t>
            </w:r>
          </w:p>
        </w:tc>
        <w:tc>
          <w:tcPr>
            <w:tcW w:w="1872" w:type="dxa"/>
          </w:tcPr>
          <w:p w14:paraId="75B2E500" w14:textId="5084C760" w:rsidR="004767AE" w:rsidRDefault="004767AE" w:rsidP="004767AE">
            <w:pPr>
              <w:spacing w:line="240" w:lineRule="auto"/>
              <w:jc w:val="center"/>
              <w:rPr>
                <w:rFonts w:eastAsiaTheme="minorEastAsia"/>
                <w:lang w:val="en-US"/>
              </w:rPr>
            </w:pPr>
            <w:r w:rsidRPr="00875A76">
              <w:t>117.37</w:t>
            </w:r>
          </w:p>
        </w:tc>
        <w:tc>
          <w:tcPr>
            <w:tcW w:w="1163" w:type="dxa"/>
          </w:tcPr>
          <w:p w14:paraId="4677DA91" w14:textId="02FBACC3" w:rsidR="004767AE" w:rsidRPr="00875A76" w:rsidRDefault="004767AE" w:rsidP="004767AE">
            <w:pPr>
              <w:spacing w:line="240" w:lineRule="auto"/>
              <w:jc w:val="center"/>
            </w:pPr>
            <w:r w:rsidRPr="00C43E98">
              <w:t>4</w:t>
            </w:r>
          </w:p>
        </w:tc>
        <w:tc>
          <w:tcPr>
            <w:tcW w:w="4095" w:type="dxa"/>
          </w:tcPr>
          <w:p w14:paraId="193122AD" w14:textId="2BBD29AE" w:rsidR="004767AE" w:rsidRPr="00C43E98" w:rsidRDefault="004767AE" w:rsidP="004767AE">
            <w:pPr>
              <w:spacing w:line="240" w:lineRule="auto"/>
              <w:jc w:val="center"/>
            </w:pPr>
            <w:r w:rsidRPr="00D52092">
              <w:t>8</w:t>
            </w:r>
          </w:p>
        </w:tc>
      </w:tr>
      <w:tr w:rsidR="004767AE" w14:paraId="7647FFC3" w14:textId="0D0C106E" w:rsidTr="004767AE">
        <w:trPr>
          <w:jc w:val="center"/>
        </w:trPr>
        <w:tc>
          <w:tcPr>
            <w:tcW w:w="1510" w:type="dxa"/>
          </w:tcPr>
          <w:p w14:paraId="31074FA9" w14:textId="77777777" w:rsidR="004767AE" w:rsidRDefault="004767AE" w:rsidP="004767AE">
            <w:pPr>
              <w:spacing w:line="240" w:lineRule="auto"/>
              <w:jc w:val="center"/>
              <w:rPr>
                <w:rFonts w:eastAsiaTheme="minorEastAsia"/>
                <w:lang w:val="en-US"/>
              </w:rPr>
            </w:pPr>
            <w:r>
              <w:rPr>
                <w:rFonts w:eastAsiaTheme="minorEastAsia"/>
                <w:lang w:val="en-US"/>
              </w:rPr>
              <w:t>May</w:t>
            </w:r>
          </w:p>
        </w:tc>
        <w:tc>
          <w:tcPr>
            <w:tcW w:w="1872" w:type="dxa"/>
          </w:tcPr>
          <w:p w14:paraId="0087D6CC" w14:textId="3A36C597" w:rsidR="004767AE" w:rsidRDefault="004767AE" w:rsidP="004767AE">
            <w:pPr>
              <w:spacing w:line="240" w:lineRule="auto"/>
              <w:jc w:val="center"/>
              <w:rPr>
                <w:rFonts w:eastAsiaTheme="minorEastAsia"/>
                <w:lang w:val="en-US"/>
              </w:rPr>
            </w:pPr>
            <w:r w:rsidRPr="00875A76">
              <w:t>133.06</w:t>
            </w:r>
          </w:p>
        </w:tc>
        <w:tc>
          <w:tcPr>
            <w:tcW w:w="1163" w:type="dxa"/>
          </w:tcPr>
          <w:p w14:paraId="0D0DFAA4" w14:textId="0C1F5C55" w:rsidR="004767AE" w:rsidRPr="00875A76" w:rsidRDefault="004767AE" w:rsidP="004767AE">
            <w:pPr>
              <w:spacing w:line="240" w:lineRule="auto"/>
              <w:jc w:val="center"/>
            </w:pPr>
            <w:r w:rsidRPr="00C43E98">
              <w:t>5</w:t>
            </w:r>
          </w:p>
        </w:tc>
        <w:tc>
          <w:tcPr>
            <w:tcW w:w="4095" w:type="dxa"/>
          </w:tcPr>
          <w:p w14:paraId="22DF0DAD" w14:textId="12F4B282" w:rsidR="004767AE" w:rsidRPr="00C43E98" w:rsidRDefault="004767AE" w:rsidP="004767AE">
            <w:pPr>
              <w:spacing w:line="240" w:lineRule="auto"/>
              <w:jc w:val="center"/>
            </w:pPr>
            <w:r w:rsidRPr="00D52092">
              <w:t>9</w:t>
            </w:r>
          </w:p>
        </w:tc>
      </w:tr>
      <w:tr w:rsidR="004767AE" w14:paraId="3E8E0F25" w14:textId="621C64C9" w:rsidTr="004767AE">
        <w:trPr>
          <w:jc w:val="center"/>
        </w:trPr>
        <w:tc>
          <w:tcPr>
            <w:tcW w:w="1510" w:type="dxa"/>
          </w:tcPr>
          <w:p w14:paraId="432BC9C3" w14:textId="77777777" w:rsidR="004767AE" w:rsidRDefault="004767AE" w:rsidP="004767AE">
            <w:pPr>
              <w:spacing w:line="240" w:lineRule="auto"/>
              <w:jc w:val="center"/>
              <w:rPr>
                <w:rFonts w:eastAsiaTheme="minorEastAsia"/>
                <w:lang w:val="en-US"/>
              </w:rPr>
            </w:pPr>
            <w:r>
              <w:rPr>
                <w:rFonts w:eastAsiaTheme="minorEastAsia"/>
                <w:lang w:val="en-US"/>
              </w:rPr>
              <w:t>June</w:t>
            </w:r>
          </w:p>
        </w:tc>
        <w:tc>
          <w:tcPr>
            <w:tcW w:w="1872" w:type="dxa"/>
          </w:tcPr>
          <w:p w14:paraId="01E80ED7" w14:textId="576B01EF" w:rsidR="004767AE" w:rsidRDefault="004767AE" w:rsidP="004767AE">
            <w:pPr>
              <w:spacing w:line="240" w:lineRule="auto"/>
              <w:jc w:val="center"/>
              <w:rPr>
                <w:rFonts w:eastAsiaTheme="minorEastAsia"/>
                <w:lang w:val="en-US"/>
              </w:rPr>
            </w:pPr>
            <w:r w:rsidRPr="00875A76">
              <w:t>247.89</w:t>
            </w:r>
          </w:p>
        </w:tc>
        <w:tc>
          <w:tcPr>
            <w:tcW w:w="1163" w:type="dxa"/>
          </w:tcPr>
          <w:p w14:paraId="166D0E3F" w14:textId="2A25D1CB" w:rsidR="004767AE" w:rsidRPr="00875A76" w:rsidRDefault="004767AE" w:rsidP="004767AE">
            <w:pPr>
              <w:spacing w:line="240" w:lineRule="auto"/>
              <w:jc w:val="center"/>
            </w:pPr>
            <w:r w:rsidRPr="00C43E98">
              <w:t>6</w:t>
            </w:r>
          </w:p>
        </w:tc>
        <w:tc>
          <w:tcPr>
            <w:tcW w:w="4095" w:type="dxa"/>
          </w:tcPr>
          <w:p w14:paraId="76536309" w14:textId="5070E4D7" w:rsidR="004767AE" w:rsidRPr="00C43E98" w:rsidRDefault="004767AE" w:rsidP="004767AE">
            <w:pPr>
              <w:spacing w:line="240" w:lineRule="auto"/>
              <w:jc w:val="center"/>
            </w:pPr>
            <w:r w:rsidRPr="00D52092">
              <w:t>15</w:t>
            </w:r>
          </w:p>
        </w:tc>
      </w:tr>
      <w:tr w:rsidR="004767AE" w14:paraId="2265D896" w14:textId="780B3F4F" w:rsidTr="004767AE">
        <w:trPr>
          <w:jc w:val="center"/>
        </w:trPr>
        <w:tc>
          <w:tcPr>
            <w:tcW w:w="1510" w:type="dxa"/>
          </w:tcPr>
          <w:p w14:paraId="6AE7CB65" w14:textId="77777777" w:rsidR="004767AE" w:rsidRDefault="004767AE" w:rsidP="004767AE">
            <w:pPr>
              <w:spacing w:line="240" w:lineRule="auto"/>
              <w:jc w:val="center"/>
              <w:rPr>
                <w:rFonts w:eastAsiaTheme="minorEastAsia"/>
                <w:lang w:val="en-US"/>
              </w:rPr>
            </w:pPr>
            <w:r>
              <w:rPr>
                <w:rFonts w:eastAsiaTheme="minorEastAsia"/>
                <w:lang w:val="en-US"/>
              </w:rPr>
              <w:t>July</w:t>
            </w:r>
          </w:p>
        </w:tc>
        <w:tc>
          <w:tcPr>
            <w:tcW w:w="1872" w:type="dxa"/>
          </w:tcPr>
          <w:p w14:paraId="5972C113" w14:textId="190CDCB2" w:rsidR="004767AE" w:rsidRDefault="004767AE" w:rsidP="004767AE">
            <w:pPr>
              <w:spacing w:line="240" w:lineRule="auto"/>
              <w:jc w:val="center"/>
              <w:rPr>
                <w:rFonts w:eastAsiaTheme="minorEastAsia"/>
                <w:lang w:val="en-US"/>
              </w:rPr>
            </w:pPr>
            <w:r w:rsidRPr="00875A76">
              <w:t>190.25</w:t>
            </w:r>
          </w:p>
        </w:tc>
        <w:tc>
          <w:tcPr>
            <w:tcW w:w="1163" w:type="dxa"/>
          </w:tcPr>
          <w:p w14:paraId="4C9651E8" w14:textId="07EE29F6" w:rsidR="004767AE" w:rsidRPr="00875A76" w:rsidRDefault="004767AE" w:rsidP="004767AE">
            <w:pPr>
              <w:spacing w:line="240" w:lineRule="auto"/>
              <w:jc w:val="center"/>
            </w:pPr>
            <w:r w:rsidRPr="00C43E98">
              <w:t>5</w:t>
            </w:r>
          </w:p>
        </w:tc>
        <w:tc>
          <w:tcPr>
            <w:tcW w:w="4095" w:type="dxa"/>
          </w:tcPr>
          <w:p w14:paraId="6288C164" w14:textId="1607EE1D" w:rsidR="004767AE" w:rsidRPr="00C43E98" w:rsidRDefault="004767AE" w:rsidP="004767AE">
            <w:pPr>
              <w:spacing w:line="240" w:lineRule="auto"/>
              <w:jc w:val="center"/>
            </w:pPr>
            <w:r w:rsidRPr="00D52092">
              <w:t>13</w:t>
            </w:r>
          </w:p>
        </w:tc>
      </w:tr>
      <w:tr w:rsidR="004767AE" w14:paraId="333DB23D" w14:textId="337017BC" w:rsidTr="004767AE">
        <w:trPr>
          <w:jc w:val="center"/>
        </w:trPr>
        <w:tc>
          <w:tcPr>
            <w:tcW w:w="1510" w:type="dxa"/>
          </w:tcPr>
          <w:p w14:paraId="3832AE70" w14:textId="77777777" w:rsidR="004767AE" w:rsidRDefault="004767AE" w:rsidP="004767AE">
            <w:pPr>
              <w:spacing w:line="240" w:lineRule="auto"/>
              <w:jc w:val="center"/>
              <w:rPr>
                <w:rFonts w:eastAsiaTheme="minorEastAsia"/>
                <w:lang w:val="en-US"/>
              </w:rPr>
            </w:pPr>
            <w:r>
              <w:rPr>
                <w:rFonts w:eastAsiaTheme="minorEastAsia"/>
                <w:lang w:val="en-US"/>
              </w:rPr>
              <w:t>August</w:t>
            </w:r>
          </w:p>
        </w:tc>
        <w:tc>
          <w:tcPr>
            <w:tcW w:w="1872" w:type="dxa"/>
          </w:tcPr>
          <w:p w14:paraId="0B5ABE28" w14:textId="21A88A46" w:rsidR="004767AE" w:rsidRDefault="004767AE" w:rsidP="004767AE">
            <w:pPr>
              <w:spacing w:line="240" w:lineRule="auto"/>
              <w:jc w:val="center"/>
              <w:rPr>
                <w:rFonts w:eastAsiaTheme="minorEastAsia"/>
                <w:lang w:val="en-US"/>
              </w:rPr>
            </w:pPr>
            <w:r w:rsidRPr="00875A76">
              <w:t>220.43</w:t>
            </w:r>
          </w:p>
        </w:tc>
        <w:tc>
          <w:tcPr>
            <w:tcW w:w="1163" w:type="dxa"/>
          </w:tcPr>
          <w:p w14:paraId="15EF8998" w14:textId="56CC8910" w:rsidR="004767AE" w:rsidRPr="00875A76" w:rsidRDefault="004767AE" w:rsidP="004767AE">
            <w:pPr>
              <w:spacing w:line="240" w:lineRule="auto"/>
              <w:jc w:val="center"/>
            </w:pPr>
            <w:r w:rsidRPr="00C43E98">
              <w:t>4</w:t>
            </w:r>
          </w:p>
        </w:tc>
        <w:tc>
          <w:tcPr>
            <w:tcW w:w="4095" w:type="dxa"/>
          </w:tcPr>
          <w:p w14:paraId="6E4B4B2E" w14:textId="4946987D" w:rsidR="004767AE" w:rsidRPr="00C43E98" w:rsidRDefault="004767AE" w:rsidP="004767AE">
            <w:pPr>
              <w:spacing w:line="240" w:lineRule="auto"/>
              <w:jc w:val="center"/>
            </w:pPr>
            <w:r w:rsidRPr="00D52092">
              <w:t>15</w:t>
            </w:r>
          </w:p>
        </w:tc>
      </w:tr>
      <w:tr w:rsidR="004767AE" w14:paraId="51D54407" w14:textId="59901347" w:rsidTr="004767AE">
        <w:trPr>
          <w:jc w:val="center"/>
        </w:trPr>
        <w:tc>
          <w:tcPr>
            <w:tcW w:w="1510" w:type="dxa"/>
          </w:tcPr>
          <w:p w14:paraId="60EBA05B" w14:textId="77777777" w:rsidR="004767AE" w:rsidRDefault="004767AE" w:rsidP="004767AE">
            <w:pPr>
              <w:spacing w:line="240" w:lineRule="auto"/>
              <w:jc w:val="center"/>
              <w:rPr>
                <w:rFonts w:eastAsiaTheme="minorEastAsia"/>
                <w:lang w:val="en-US"/>
              </w:rPr>
            </w:pPr>
            <w:r>
              <w:rPr>
                <w:rFonts w:eastAsiaTheme="minorEastAsia"/>
                <w:lang w:val="en-US"/>
              </w:rPr>
              <w:t>September</w:t>
            </w:r>
          </w:p>
        </w:tc>
        <w:tc>
          <w:tcPr>
            <w:tcW w:w="1872" w:type="dxa"/>
          </w:tcPr>
          <w:p w14:paraId="4A73A6DD" w14:textId="370BE7C5" w:rsidR="004767AE" w:rsidRDefault="004767AE" w:rsidP="004767AE">
            <w:pPr>
              <w:spacing w:line="240" w:lineRule="auto"/>
              <w:jc w:val="center"/>
              <w:rPr>
                <w:rFonts w:eastAsiaTheme="minorEastAsia"/>
                <w:lang w:val="en-US"/>
              </w:rPr>
            </w:pPr>
            <w:r w:rsidRPr="00875A76">
              <w:t>135.56</w:t>
            </w:r>
          </w:p>
        </w:tc>
        <w:tc>
          <w:tcPr>
            <w:tcW w:w="1163" w:type="dxa"/>
          </w:tcPr>
          <w:p w14:paraId="05300C64" w14:textId="7FB2FFF7" w:rsidR="004767AE" w:rsidRPr="00875A76" w:rsidRDefault="004767AE" w:rsidP="004767AE">
            <w:pPr>
              <w:spacing w:line="240" w:lineRule="auto"/>
              <w:jc w:val="center"/>
            </w:pPr>
            <w:r w:rsidRPr="00C43E98">
              <w:t>3</w:t>
            </w:r>
          </w:p>
        </w:tc>
        <w:tc>
          <w:tcPr>
            <w:tcW w:w="4095" w:type="dxa"/>
          </w:tcPr>
          <w:p w14:paraId="07407678" w14:textId="3454D7F7" w:rsidR="004767AE" w:rsidRPr="00C43E98" w:rsidRDefault="004767AE" w:rsidP="004767AE">
            <w:pPr>
              <w:spacing w:line="240" w:lineRule="auto"/>
              <w:jc w:val="center"/>
            </w:pPr>
            <w:r w:rsidRPr="00D52092">
              <w:t>9</w:t>
            </w:r>
          </w:p>
        </w:tc>
      </w:tr>
      <w:tr w:rsidR="004767AE" w14:paraId="7E27D49F" w14:textId="4F0D8DBE" w:rsidTr="004767AE">
        <w:trPr>
          <w:jc w:val="center"/>
        </w:trPr>
        <w:tc>
          <w:tcPr>
            <w:tcW w:w="1510" w:type="dxa"/>
          </w:tcPr>
          <w:p w14:paraId="7D9F8EEA" w14:textId="77777777" w:rsidR="004767AE" w:rsidRDefault="004767AE" w:rsidP="004767AE">
            <w:pPr>
              <w:spacing w:line="240" w:lineRule="auto"/>
              <w:jc w:val="center"/>
              <w:rPr>
                <w:rFonts w:eastAsiaTheme="minorEastAsia"/>
                <w:lang w:val="en-US"/>
              </w:rPr>
            </w:pPr>
            <w:r>
              <w:rPr>
                <w:rFonts w:eastAsiaTheme="minorEastAsia"/>
                <w:lang w:val="en-US"/>
              </w:rPr>
              <w:t>October</w:t>
            </w:r>
          </w:p>
        </w:tc>
        <w:tc>
          <w:tcPr>
            <w:tcW w:w="1872" w:type="dxa"/>
          </w:tcPr>
          <w:p w14:paraId="6D3AA70F" w14:textId="1DEBB00D" w:rsidR="004767AE" w:rsidRDefault="004767AE" w:rsidP="004767AE">
            <w:pPr>
              <w:spacing w:line="240" w:lineRule="auto"/>
              <w:jc w:val="center"/>
              <w:rPr>
                <w:rFonts w:eastAsiaTheme="minorEastAsia"/>
                <w:lang w:val="en-US"/>
              </w:rPr>
            </w:pPr>
            <w:r w:rsidRPr="00875A76">
              <w:t>78.9</w:t>
            </w:r>
          </w:p>
        </w:tc>
        <w:tc>
          <w:tcPr>
            <w:tcW w:w="1163" w:type="dxa"/>
          </w:tcPr>
          <w:p w14:paraId="0D684AEE" w14:textId="1112A477" w:rsidR="004767AE" w:rsidRPr="00875A76" w:rsidRDefault="004767AE" w:rsidP="004767AE">
            <w:pPr>
              <w:spacing w:line="240" w:lineRule="auto"/>
              <w:jc w:val="center"/>
            </w:pPr>
            <w:r w:rsidRPr="00C43E98">
              <w:t>2</w:t>
            </w:r>
          </w:p>
        </w:tc>
        <w:tc>
          <w:tcPr>
            <w:tcW w:w="4095" w:type="dxa"/>
          </w:tcPr>
          <w:p w14:paraId="56039C0C" w14:textId="35EDEF6E" w:rsidR="004767AE" w:rsidRPr="00C43E98" w:rsidRDefault="004767AE" w:rsidP="004767AE">
            <w:pPr>
              <w:spacing w:line="240" w:lineRule="auto"/>
              <w:jc w:val="center"/>
            </w:pPr>
            <w:r w:rsidRPr="00D52092">
              <w:t>8</w:t>
            </w:r>
          </w:p>
        </w:tc>
      </w:tr>
      <w:tr w:rsidR="004767AE" w14:paraId="5C917702" w14:textId="63865305" w:rsidTr="004767AE">
        <w:trPr>
          <w:jc w:val="center"/>
        </w:trPr>
        <w:tc>
          <w:tcPr>
            <w:tcW w:w="1510" w:type="dxa"/>
          </w:tcPr>
          <w:p w14:paraId="5914C06F" w14:textId="77777777" w:rsidR="004767AE" w:rsidRDefault="004767AE" w:rsidP="004767AE">
            <w:pPr>
              <w:spacing w:line="240" w:lineRule="auto"/>
              <w:jc w:val="center"/>
              <w:rPr>
                <w:rFonts w:eastAsiaTheme="minorEastAsia"/>
                <w:lang w:val="en-US"/>
              </w:rPr>
            </w:pPr>
            <w:r>
              <w:rPr>
                <w:rFonts w:eastAsiaTheme="minorEastAsia"/>
                <w:lang w:val="en-US"/>
              </w:rPr>
              <w:t>November</w:t>
            </w:r>
          </w:p>
        </w:tc>
        <w:tc>
          <w:tcPr>
            <w:tcW w:w="1872" w:type="dxa"/>
          </w:tcPr>
          <w:p w14:paraId="0C275917" w14:textId="6DB6F54A" w:rsidR="004767AE" w:rsidRDefault="004767AE" w:rsidP="004767AE">
            <w:pPr>
              <w:spacing w:line="240" w:lineRule="auto"/>
              <w:jc w:val="center"/>
              <w:rPr>
                <w:rFonts w:eastAsiaTheme="minorEastAsia"/>
                <w:lang w:val="en-US"/>
              </w:rPr>
            </w:pPr>
            <w:r w:rsidRPr="00875A76">
              <w:t>31.39</w:t>
            </w:r>
          </w:p>
        </w:tc>
        <w:tc>
          <w:tcPr>
            <w:tcW w:w="1163" w:type="dxa"/>
          </w:tcPr>
          <w:p w14:paraId="63B5FBA3" w14:textId="133C14EB" w:rsidR="004767AE" w:rsidRPr="00875A76" w:rsidRDefault="004767AE" w:rsidP="004767AE">
            <w:pPr>
              <w:spacing w:line="240" w:lineRule="auto"/>
              <w:jc w:val="center"/>
            </w:pPr>
            <w:r w:rsidRPr="00C43E98">
              <w:t>1</w:t>
            </w:r>
          </w:p>
        </w:tc>
        <w:tc>
          <w:tcPr>
            <w:tcW w:w="4095" w:type="dxa"/>
          </w:tcPr>
          <w:p w14:paraId="332BDEC7" w14:textId="4885EA24" w:rsidR="004767AE" w:rsidRPr="00C43E98" w:rsidRDefault="004767AE" w:rsidP="004767AE">
            <w:pPr>
              <w:spacing w:line="240" w:lineRule="auto"/>
              <w:jc w:val="center"/>
            </w:pPr>
            <w:r>
              <w:t>8</w:t>
            </w:r>
          </w:p>
        </w:tc>
      </w:tr>
      <w:tr w:rsidR="004767AE" w14:paraId="5E560F6B" w14:textId="350E4AB7" w:rsidTr="004767AE">
        <w:trPr>
          <w:jc w:val="center"/>
        </w:trPr>
        <w:tc>
          <w:tcPr>
            <w:tcW w:w="1510" w:type="dxa"/>
          </w:tcPr>
          <w:p w14:paraId="538F75A5" w14:textId="77777777" w:rsidR="004767AE" w:rsidRDefault="004767AE" w:rsidP="004767AE">
            <w:pPr>
              <w:spacing w:line="240" w:lineRule="auto"/>
              <w:jc w:val="center"/>
              <w:rPr>
                <w:rFonts w:eastAsiaTheme="minorEastAsia"/>
                <w:lang w:val="en-US"/>
              </w:rPr>
            </w:pPr>
            <w:r>
              <w:rPr>
                <w:rFonts w:eastAsiaTheme="minorEastAsia"/>
                <w:lang w:val="en-US"/>
              </w:rPr>
              <w:t>December</w:t>
            </w:r>
          </w:p>
        </w:tc>
        <w:tc>
          <w:tcPr>
            <w:tcW w:w="1872" w:type="dxa"/>
          </w:tcPr>
          <w:p w14:paraId="41A126B0" w14:textId="04D3C302" w:rsidR="004767AE" w:rsidRDefault="004767AE" w:rsidP="004767AE">
            <w:pPr>
              <w:spacing w:line="240" w:lineRule="auto"/>
              <w:jc w:val="center"/>
              <w:rPr>
                <w:rFonts w:eastAsiaTheme="minorEastAsia"/>
                <w:lang w:val="en-US"/>
              </w:rPr>
            </w:pPr>
            <w:r w:rsidRPr="00875A76">
              <w:t>3.66</w:t>
            </w:r>
          </w:p>
        </w:tc>
        <w:tc>
          <w:tcPr>
            <w:tcW w:w="1163" w:type="dxa"/>
          </w:tcPr>
          <w:p w14:paraId="69DEC28C" w14:textId="02FB2AE1" w:rsidR="004767AE" w:rsidRPr="00875A76" w:rsidRDefault="004767AE" w:rsidP="004767AE">
            <w:pPr>
              <w:spacing w:line="240" w:lineRule="auto"/>
              <w:jc w:val="center"/>
            </w:pPr>
            <w:r w:rsidRPr="00C43E98">
              <w:t>1</w:t>
            </w:r>
          </w:p>
        </w:tc>
        <w:tc>
          <w:tcPr>
            <w:tcW w:w="4095" w:type="dxa"/>
          </w:tcPr>
          <w:p w14:paraId="005520D5" w14:textId="656FE322" w:rsidR="004767AE" w:rsidRPr="00C43E98" w:rsidRDefault="004767AE" w:rsidP="004767AE">
            <w:pPr>
              <w:spacing w:line="240" w:lineRule="auto"/>
              <w:jc w:val="center"/>
            </w:pPr>
            <w:r>
              <w:t>7</w:t>
            </w:r>
          </w:p>
        </w:tc>
      </w:tr>
    </w:tbl>
    <w:p w14:paraId="7EC662D6" w14:textId="12B15B5C" w:rsidR="004767AE" w:rsidRDefault="004767AE" w:rsidP="00241FAA">
      <w:pPr>
        <w:rPr>
          <w:lang w:val="en-US"/>
        </w:rPr>
      </w:pPr>
    </w:p>
    <w:p w14:paraId="390A98F0" w14:textId="383B3942" w:rsidR="004767AE" w:rsidRDefault="004767AE" w:rsidP="00241FAA">
      <w:pPr>
        <w:rPr>
          <w:lang w:val="en-US"/>
        </w:rPr>
      </w:pPr>
      <w:r>
        <w:rPr>
          <w:lang w:val="en-US"/>
        </w:rPr>
        <w:t>The streamflow is extrapolated with the following equation:</w:t>
      </w:r>
    </w:p>
    <w:p w14:paraId="53106CF8" w14:textId="586B92E3" w:rsidR="004767AE" w:rsidRPr="004767AE" w:rsidRDefault="004767AE" w:rsidP="00241FAA">
      <w:pPr>
        <w:rPr>
          <w:rFonts w:eastAsiaTheme="minorEastAsia"/>
          <w:lang w:val="en-US"/>
        </w:rPr>
      </w:pPr>
      <m:oMathPara>
        <m:oMath>
          <m:r>
            <w:rPr>
              <w:rFonts w:ascii="Cambria Math" w:hAnsi="Cambria Math"/>
              <w:lang w:val="en-US"/>
            </w:rPr>
            <m:t>S=</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a</m:t>
              </m:r>
            </m:sub>
          </m:sSub>
          <m:r>
            <w:rPr>
              <w:rFonts w:ascii="Cambria Math" w:hAnsi="Cambria Math"/>
              <w:lang w:val="en-US"/>
            </w:rPr>
            <m:t>)*1000</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v</m:t>
                  </m:r>
                </m:sub>
              </m:sSub>
              <m:r>
                <w:rPr>
                  <w:rFonts w:ascii="Cambria Math" w:hAnsi="Cambria Math"/>
                  <w:lang w:val="en-US"/>
                </w:rPr>
                <m:t>W</m:t>
              </m:r>
            </m:num>
            <m:den>
              <m:r>
                <w:rPr>
                  <w:rFonts w:ascii="Cambria Math" w:hAnsi="Cambria Math"/>
                  <w:lang w:val="en-US"/>
                </w:rPr>
                <m:t>8</m:t>
              </m:r>
            </m:den>
          </m:f>
        </m:oMath>
      </m:oMathPara>
    </w:p>
    <w:p w14:paraId="4E296C18" w14:textId="174F0456" w:rsidR="004767AE" w:rsidRPr="004767AE" w:rsidRDefault="00783427" w:rsidP="00241FAA">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a</m:t>
              </m:r>
            </m:sub>
          </m:sSub>
          <m:r>
            <w:rPr>
              <w:rFonts w:ascii="Cambria Math" w:eastAsiaTheme="minorEastAsia" w:hAnsi="Cambria Math"/>
              <w:lang w:val="en-US"/>
            </w:rPr>
            <m:t>=P/50</m:t>
          </m:r>
        </m:oMath>
      </m:oMathPara>
    </w:p>
    <w:p w14:paraId="2C6CD0AC" w14:textId="21CE0A20" w:rsidR="004767AE" w:rsidRDefault="004767AE" w:rsidP="00241FAA">
      <w:pPr>
        <w:rPr>
          <w:rFonts w:eastAsiaTheme="minorEastAsia"/>
          <w:lang w:val="en-US"/>
        </w:rPr>
      </w:pPr>
      <w:r>
        <w:rPr>
          <w:rFonts w:eastAsiaTheme="minorEastAsia"/>
          <w:lang w:val="en-US"/>
        </w:rPr>
        <w:t>Where:</w:t>
      </w:r>
    </w:p>
    <w:p w14:paraId="78672DB0" w14:textId="3FA4EC70" w:rsidR="004767AE" w:rsidRDefault="004767AE" w:rsidP="00241FAA">
      <w:pPr>
        <w:rPr>
          <w:rFonts w:eastAsiaTheme="minorEastAsia"/>
          <w:lang w:val="en-US"/>
        </w:rPr>
      </w:pPr>
      <w:r>
        <w:rPr>
          <w:rFonts w:eastAsiaTheme="minorEastAsia"/>
          <w:lang w:val="en-US"/>
        </w:rPr>
        <w:t>S = Streamflow in Litres/s;</w:t>
      </w:r>
    </w:p>
    <w:p w14:paraId="350F6559" w14:textId="31245E5F" w:rsidR="004767AE" w:rsidRDefault="004767AE" w:rsidP="00241FAA">
      <w:pPr>
        <w:rPr>
          <w:rFonts w:eastAsiaTheme="minorEastAsia"/>
          <w:lang w:val="en-US"/>
        </w:rPr>
      </w:pPr>
      <w:r>
        <w:rPr>
          <w:rFonts w:eastAsiaTheme="minorEastAsia"/>
          <w:lang w:val="en-US"/>
        </w:rPr>
        <w:t>V</w:t>
      </w:r>
      <w:r>
        <w:rPr>
          <w:rFonts w:eastAsiaTheme="minorEastAsia"/>
          <w:vertAlign w:val="subscript"/>
          <w:lang w:val="en-US"/>
        </w:rPr>
        <w:t>b</w:t>
      </w:r>
      <w:r>
        <w:rPr>
          <w:rFonts w:eastAsiaTheme="minorEastAsia"/>
          <w:lang w:val="en-US"/>
        </w:rPr>
        <w:t xml:space="preserve"> =Minimum River Speed which is 0.444m/s as measured</w:t>
      </w:r>
    </w:p>
    <w:p w14:paraId="32B6DD43" w14:textId="4B9747B3" w:rsidR="004767AE" w:rsidRDefault="004767AE" w:rsidP="00241FAA">
      <w:pPr>
        <w:rPr>
          <w:rFonts w:eastAsiaTheme="minorEastAsia"/>
          <w:lang w:val="en-US"/>
        </w:rPr>
      </w:pPr>
      <w:r>
        <w:rPr>
          <w:rFonts w:eastAsiaTheme="minorEastAsia"/>
          <w:lang w:val="en-US"/>
        </w:rPr>
        <w:t>D</w:t>
      </w:r>
      <w:r>
        <w:rPr>
          <w:rFonts w:eastAsiaTheme="minorEastAsia"/>
          <w:vertAlign w:val="subscript"/>
          <w:lang w:val="en-US"/>
        </w:rPr>
        <w:t>b</w:t>
      </w:r>
      <w:r>
        <w:rPr>
          <w:rFonts w:eastAsiaTheme="minorEastAsia"/>
          <w:lang w:val="en-US"/>
        </w:rPr>
        <w:t xml:space="preserve"> = Minimum Depth which is 0.6m</w:t>
      </w:r>
    </w:p>
    <w:p w14:paraId="05A66D01" w14:textId="60D6E770" w:rsidR="004767AE" w:rsidRDefault="004767AE" w:rsidP="00241FAA">
      <w:pPr>
        <w:rPr>
          <w:rFonts w:eastAsiaTheme="minorEastAsia"/>
          <w:lang w:val="en-US"/>
        </w:rPr>
      </w:pPr>
      <w:r>
        <w:rPr>
          <w:rFonts w:eastAsiaTheme="minorEastAsia"/>
          <w:lang w:val="en-US"/>
        </w:rPr>
        <w:t>P = Total Monthly Precipitation in mm</w:t>
      </w:r>
    </w:p>
    <w:p w14:paraId="2F799638" w14:textId="5B257E6D" w:rsidR="004767AE" w:rsidRDefault="004767AE" w:rsidP="00241FAA">
      <w:pPr>
        <w:rPr>
          <w:rFonts w:eastAsiaTheme="minorEastAsia"/>
          <w:lang w:val="en-US"/>
        </w:rPr>
      </w:pPr>
      <w:r>
        <w:rPr>
          <w:rFonts w:eastAsiaTheme="minorEastAsia"/>
          <w:lang w:val="en-US"/>
        </w:rPr>
        <w:t>M</w:t>
      </w:r>
      <w:r>
        <w:rPr>
          <w:rFonts w:eastAsiaTheme="minorEastAsia"/>
          <w:lang w:val="en-US"/>
        </w:rPr>
        <w:softHyphen/>
      </w:r>
      <w:r>
        <w:rPr>
          <w:rFonts w:eastAsiaTheme="minorEastAsia"/>
          <w:vertAlign w:val="subscript"/>
          <w:lang w:val="en-US"/>
        </w:rPr>
        <w:t>v</w:t>
      </w:r>
      <w:r>
        <w:rPr>
          <w:rFonts w:eastAsiaTheme="minorEastAsia"/>
          <w:lang w:val="en-US"/>
        </w:rPr>
        <w:t xml:space="preserve"> = River speed multiplier (dimensionless)</w:t>
      </w:r>
    </w:p>
    <w:p w14:paraId="25BA957D" w14:textId="0F31ECAB" w:rsidR="004767AE" w:rsidRDefault="004767AE" w:rsidP="00241FAA">
      <w:pPr>
        <w:rPr>
          <w:rFonts w:eastAsiaTheme="minorEastAsia"/>
          <w:lang w:val="en-US"/>
        </w:rPr>
      </w:pPr>
      <w:r>
        <w:rPr>
          <w:rFonts w:eastAsiaTheme="minorEastAsia"/>
          <w:lang w:val="en-US"/>
        </w:rPr>
        <w:t>W = River width in m</w:t>
      </w:r>
    </w:p>
    <w:p w14:paraId="4B06A711" w14:textId="6218817C" w:rsidR="00AE3920" w:rsidRDefault="00AE3920" w:rsidP="00241FAA">
      <w:pPr>
        <w:rPr>
          <w:rFonts w:eastAsiaTheme="minorEastAsia"/>
          <w:lang w:val="en-US"/>
        </w:rPr>
      </w:pPr>
      <w:r>
        <w:rPr>
          <w:rFonts w:eastAsiaTheme="minorEastAsia"/>
          <w:lang w:val="en-US"/>
        </w:rPr>
        <w:t>The multipliers were chosen after numerical comparisons in similar studies.</w:t>
      </w:r>
    </w:p>
    <w:p w14:paraId="612C5493" w14:textId="4EFFA532" w:rsidR="00393998" w:rsidRDefault="00393998" w:rsidP="00241FAA">
      <w:pPr>
        <w:rPr>
          <w:rFonts w:eastAsiaTheme="minorEastAsia"/>
          <w:lang w:val="en-US"/>
        </w:rPr>
      </w:pPr>
    </w:p>
    <w:p w14:paraId="4071439C" w14:textId="3AC475AB" w:rsidR="00393998" w:rsidRDefault="00393998" w:rsidP="00241FAA">
      <w:pPr>
        <w:rPr>
          <w:rFonts w:eastAsiaTheme="minorEastAsia"/>
          <w:lang w:val="en-US"/>
        </w:rPr>
      </w:pPr>
    </w:p>
    <w:p w14:paraId="1DE2EE3A" w14:textId="2E1684BA" w:rsidR="00393998" w:rsidRDefault="00393998" w:rsidP="00241FAA">
      <w:pPr>
        <w:rPr>
          <w:rFonts w:eastAsiaTheme="minorEastAsia"/>
          <w:lang w:val="en-US"/>
        </w:rPr>
      </w:pPr>
    </w:p>
    <w:p w14:paraId="30EEAFE2" w14:textId="4D383B20" w:rsidR="00393998" w:rsidRDefault="00393998" w:rsidP="00241FAA">
      <w:pPr>
        <w:rPr>
          <w:rFonts w:eastAsiaTheme="minorEastAsia"/>
          <w:lang w:val="en-US"/>
        </w:rPr>
      </w:pPr>
    </w:p>
    <w:p w14:paraId="01410C9A" w14:textId="381B26A6" w:rsidR="00393998" w:rsidRDefault="00393998" w:rsidP="00241FAA">
      <w:pPr>
        <w:rPr>
          <w:rFonts w:eastAsiaTheme="minorEastAsia"/>
          <w:lang w:val="en-US"/>
        </w:rPr>
      </w:pPr>
    </w:p>
    <w:p w14:paraId="04A67318" w14:textId="3E06D64E" w:rsidR="00393998" w:rsidRDefault="00393998" w:rsidP="00241FAA">
      <w:pPr>
        <w:rPr>
          <w:rFonts w:eastAsiaTheme="minorEastAsia"/>
          <w:lang w:val="en-US"/>
        </w:rPr>
      </w:pPr>
    </w:p>
    <w:p w14:paraId="2758396A" w14:textId="63FC5618" w:rsidR="00393998" w:rsidRDefault="00393998" w:rsidP="00241FAA">
      <w:pPr>
        <w:rPr>
          <w:rFonts w:eastAsiaTheme="minorEastAsia"/>
          <w:lang w:val="en-US"/>
        </w:rPr>
      </w:pPr>
    </w:p>
    <w:p w14:paraId="627FC649" w14:textId="77777777" w:rsidR="00393998" w:rsidRPr="004767AE" w:rsidRDefault="00393998" w:rsidP="00241FAA">
      <w:pPr>
        <w:rPr>
          <w:rFonts w:eastAsiaTheme="minorEastAsia"/>
          <w:lang w:val="en-US"/>
        </w:rPr>
      </w:pPr>
    </w:p>
    <w:p w14:paraId="6FF39A1F" w14:textId="5FE4F937" w:rsidR="00BE03A5" w:rsidRPr="00471FDA" w:rsidRDefault="00BE03A5" w:rsidP="00BE03A5">
      <w:pPr>
        <w:pStyle w:val="Heading2"/>
      </w:pPr>
      <w:bookmarkStart w:id="115" w:name="_Toc103521907"/>
      <w:bookmarkStart w:id="116" w:name="_Toc110502646"/>
      <w:r>
        <w:t>APPENDIX VII</w:t>
      </w:r>
      <w:r w:rsidR="00241FAA">
        <w:t>I</w:t>
      </w:r>
      <w:r>
        <w:t xml:space="preserve"> – IMAGES OF WORK IN ACTION</w:t>
      </w:r>
      <w:bookmarkEnd w:id="115"/>
      <w:bookmarkEnd w:id="116"/>
    </w:p>
    <w:p w14:paraId="6F6C8029" w14:textId="059160B6" w:rsidR="00BE03A5" w:rsidRPr="00BE0741" w:rsidRDefault="00BE03A5" w:rsidP="00BE03A5">
      <w:pPr>
        <w:widowControl w:val="0"/>
        <w:autoSpaceDE w:val="0"/>
        <w:autoSpaceDN w:val="0"/>
        <w:adjustRightInd w:val="0"/>
        <w:spacing w:line="480" w:lineRule="auto"/>
        <w:ind w:left="480" w:hanging="480"/>
        <w:rPr>
          <w:noProof/>
        </w:rPr>
      </w:pPr>
      <w:r w:rsidRPr="00DA480D">
        <w:rPr>
          <w:noProof/>
          <w:lang w:val="en-US"/>
        </w:rPr>
        <w:drawing>
          <wp:inline distT="0" distB="0" distL="0" distR="0" wp14:anchorId="57F6B827" wp14:editId="22CBF561">
            <wp:extent cx="2545080" cy="3398520"/>
            <wp:effectExtent l="0" t="0" r="7620" b="0"/>
            <wp:docPr id="117" name="Picture 117" descr="C:\Users\oyinl\Desktop\Rekahgirly\IMG-202202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yinl\Desktop\Rekahgirly\IMG-20220222-WA002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45080" cy="3398520"/>
                    </a:xfrm>
                    <a:prstGeom prst="rect">
                      <a:avLst/>
                    </a:prstGeom>
                    <a:noFill/>
                    <a:ln>
                      <a:noFill/>
                    </a:ln>
                  </pic:spPr>
                </pic:pic>
              </a:graphicData>
            </a:graphic>
          </wp:inline>
        </w:drawing>
      </w:r>
      <w:r w:rsidRPr="00DA480D">
        <w:rPr>
          <w:noProof/>
          <w:lang w:val="en-US"/>
        </w:rPr>
        <w:drawing>
          <wp:inline distT="0" distB="0" distL="0" distR="0" wp14:anchorId="2F039B8B" wp14:editId="3EBF538B">
            <wp:extent cx="1866900" cy="2491740"/>
            <wp:effectExtent l="0" t="0" r="0" b="3810"/>
            <wp:docPr id="116" name="Picture 116" descr="C:\Users\oyinl\Desktop\Rekahgirly\IMG-2022022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yinl\Desktop\Rekahgirly\IMG-20220222-WA003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6900" cy="2491740"/>
                    </a:xfrm>
                    <a:prstGeom prst="rect">
                      <a:avLst/>
                    </a:prstGeom>
                    <a:noFill/>
                    <a:ln>
                      <a:noFill/>
                    </a:ln>
                  </pic:spPr>
                </pic:pic>
              </a:graphicData>
            </a:graphic>
          </wp:inline>
        </w:drawing>
      </w:r>
      <w:r w:rsidRPr="00DA480D">
        <w:rPr>
          <w:noProof/>
          <w:lang w:val="en-US"/>
        </w:rPr>
        <w:drawing>
          <wp:inline distT="0" distB="0" distL="0" distR="0" wp14:anchorId="3872E223" wp14:editId="0906F40D">
            <wp:extent cx="2019300" cy="2697480"/>
            <wp:effectExtent l="0" t="0" r="0" b="7620"/>
            <wp:docPr id="115" name="Picture 115" descr="C:\Users\oyinl\Desktop\Rekahgirly\IMG-2022022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yinl\Desktop\Rekahgirly\IMG-20220222-WA003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19300" cy="2697480"/>
                    </a:xfrm>
                    <a:prstGeom prst="rect">
                      <a:avLst/>
                    </a:prstGeom>
                    <a:noFill/>
                    <a:ln>
                      <a:noFill/>
                    </a:ln>
                  </pic:spPr>
                </pic:pic>
              </a:graphicData>
            </a:graphic>
          </wp:inline>
        </w:drawing>
      </w:r>
      <w:r w:rsidRPr="00DA480D">
        <w:rPr>
          <w:noProof/>
          <w:lang w:val="en-US"/>
        </w:rPr>
        <w:drawing>
          <wp:inline distT="0" distB="0" distL="0" distR="0" wp14:anchorId="2A5A2CDC" wp14:editId="435CF1B4">
            <wp:extent cx="1848678" cy="2464904"/>
            <wp:effectExtent l="0" t="0" r="0" b="0"/>
            <wp:docPr id="114" name="Picture 114" descr="C:\Users\oyinl\Desktop\Rekahgirly\IMG-2022022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yinl\Desktop\Rekahgirly\IMG-20220222-WA003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57824" cy="2477098"/>
                    </a:xfrm>
                    <a:prstGeom prst="rect">
                      <a:avLst/>
                    </a:prstGeom>
                    <a:noFill/>
                    <a:ln>
                      <a:noFill/>
                    </a:ln>
                  </pic:spPr>
                </pic:pic>
              </a:graphicData>
            </a:graphic>
          </wp:inline>
        </w:drawing>
      </w:r>
      <w:r w:rsidRPr="00DA480D">
        <w:rPr>
          <w:noProof/>
          <w:lang w:val="en-US"/>
        </w:rPr>
        <w:drawing>
          <wp:inline distT="0" distB="0" distL="0" distR="0" wp14:anchorId="6077CD16" wp14:editId="7D129A78">
            <wp:extent cx="5486400" cy="4815840"/>
            <wp:effectExtent l="0" t="0" r="0" b="3810"/>
            <wp:docPr id="113" name="Picture 113" descr="C:\Users\oyinl\Desktop\Rekahgirly\IMG_20220222_10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yinl\Desktop\Rekahgirly\IMG_20220222_104826.jpg"/>
                    <pic:cNvPicPr>
                      <a:picLocks noChangeAspect="1" noChangeArrowheads="1"/>
                    </pic:cNvPicPr>
                  </pic:nvPicPr>
                  <pic:blipFill>
                    <a:blip r:embed="rId90">
                      <a:extLst>
                        <a:ext uri="{28A0092B-C50C-407E-A947-70E740481C1C}">
                          <a14:useLocalDpi xmlns:a14="http://schemas.microsoft.com/office/drawing/2010/main" val="0"/>
                        </a:ext>
                      </a:extLst>
                    </a:blip>
                    <a:srcRect t="31007" b="29482"/>
                    <a:stretch>
                      <a:fillRect/>
                    </a:stretch>
                  </pic:blipFill>
                  <pic:spPr bwMode="auto">
                    <a:xfrm>
                      <a:off x="0" y="0"/>
                      <a:ext cx="5486400" cy="4815840"/>
                    </a:xfrm>
                    <a:prstGeom prst="rect">
                      <a:avLst/>
                    </a:prstGeom>
                    <a:noFill/>
                    <a:ln>
                      <a:noFill/>
                    </a:ln>
                  </pic:spPr>
                </pic:pic>
              </a:graphicData>
            </a:graphic>
          </wp:inline>
        </w:drawing>
      </w:r>
    </w:p>
    <w:p w14:paraId="5C83A6BC" w14:textId="0285C1EF" w:rsidR="00356566" w:rsidRPr="001462F4" w:rsidRDefault="00356566" w:rsidP="0035249E">
      <w:pPr>
        <w:rPr>
          <w:lang w:val="en-US"/>
        </w:rPr>
      </w:pPr>
    </w:p>
    <w:sectPr w:rsidR="00356566" w:rsidRPr="001462F4" w:rsidSect="00503241">
      <w:pgSz w:w="12240" w:h="15840"/>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ECED1" w14:textId="77777777" w:rsidR="00783427" w:rsidRDefault="00783427" w:rsidP="005425D0">
      <w:pPr>
        <w:spacing w:after="0" w:line="240" w:lineRule="auto"/>
      </w:pPr>
      <w:r>
        <w:separator/>
      </w:r>
    </w:p>
  </w:endnote>
  <w:endnote w:type="continuationSeparator" w:id="0">
    <w:p w14:paraId="11F2D13E" w14:textId="77777777" w:rsidR="00783427" w:rsidRDefault="00783427" w:rsidP="0054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224334"/>
      <w:docPartObj>
        <w:docPartGallery w:val="Page Numbers (Bottom of Page)"/>
        <w:docPartUnique/>
      </w:docPartObj>
    </w:sdtPr>
    <w:sdtEndPr>
      <w:rPr>
        <w:noProof/>
      </w:rPr>
    </w:sdtEndPr>
    <w:sdtContent>
      <w:p w14:paraId="6BA3753D" w14:textId="1E4F1228" w:rsidR="00FC41BC" w:rsidRDefault="00FC41BC">
        <w:pPr>
          <w:pStyle w:val="Footer"/>
          <w:jc w:val="center"/>
        </w:pPr>
        <w:r>
          <w:fldChar w:fldCharType="begin"/>
        </w:r>
        <w:r>
          <w:instrText xml:space="preserve"> PAGE   \* MERGEFORMAT </w:instrText>
        </w:r>
        <w:r>
          <w:fldChar w:fldCharType="separate"/>
        </w:r>
        <w:r w:rsidR="003E7EFE">
          <w:rPr>
            <w:noProof/>
          </w:rPr>
          <w:t>xiii</w:t>
        </w:r>
        <w:r>
          <w:rPr>
            <w:noProof/>
          </w:rPr>
          <w:fldChar w:fldCharType="end"/>
        </w:r>
      </w:p>
    </w:sdtContent>
  </w:sdt>
  <w:p w14:paraId="78D588F6" w14:textId="77777777" w:rsidR="00FC41BC" w:rsidRDefault="00FC41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D4768" w14:textId="77777777" w:rsidR="00FC41BC" w:rsidRDefault="00FC41BC">
    <w:pPr>
      <w:pStyle w:val="Footer"/>
      <w:jc w:val="center"/>
    </w:pPr>
  </w:p>
  <w:p w14:paraId="61394170" w14:textId="77777777" w:rsidR="00FC41BC" w:rsidRDefault="00FC41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396579"/>
      <w:docPartObj>
        <w:docPartGallery w:val="Page Numbers (Bottom of Page)"/>
        <w:docPartUnique/>
      </w:docPartObj>
    </w:sdtPr>
    <w:sdtEndPr>
      <w:rPr>
        <w:noProof/>
      </w:rPr>
    </w:sdtEndPr>
    <w:sdtContent>
      <w:p w14:paraId="76B39AC3" w14:textId="77777777" w:rsidR="00FC41BC" w:rsidRDefault="00FC41B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3451B28" w14:textId="77777777" w:rsidR="00FC41BC" w:rsidRDefault="00FC41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227ED" w14:textId="77777777" w:rsidR="00783427" w:rsidRDefault="00783427" w:rsidP="005425D0">
      <w:pPr>
        <w:spacing w:after="0" w:line="240" w:lineRule="auto"/>
      </w:pPr>
      <w:r>
        <w:separator/>
      </w:r>
    </w:p>
  </w:footnote>
  <w:footnote w:type="continuationSeparator" w:id="0">
    <w:p w14:paraId="50841207" w14:textId="77777777" w:rsidR="00783427" w:rsidRDefault="00783427" w:rsidP="00542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212E3"/>
    <w:multiLevelType w:val="multilevel"/>
    <w:tmpl w:val="5D24B57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04D12"/>
    <w:multiLevelType w:val="multilevel"/>
    <w:tmpl w:val="04163F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3D463F0"/>
    <w:multiLevelType w:val="hybridMultilevel"/>
    <w:tmpl w:val="C3309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A0057C"/>
    <w:multiLevelType w:val="multilevel"/>
    <w:tmpl w:val="239693E4"/>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BCC76BA"/>
    <w:multiLevelType w:val="hybridMultilevel"/>
    <w:tmpl w:val="246EF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317D55"/>
    <w:multiLevelType w:val="multilevel"/>
    <w:tmpl w:val="68EE02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10917B7"/>
    <w:multiLevelType w:val="hybridMultilevel"/>
    <w:tmpl w:val="0114A94A"/>
    <w:lvl w:ilvl="0" w:tplc="90B043A2">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360D8B"/>
    <w:multiLevelType w:val="multilevel"/>
    <w:tmpl w:val="7F927E0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31B4D50"/>
    <w:multiLevelType w:val="hybridMultilevel"/>
    <w:tmpl w:val="19285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D525E"/>
    <w:multiLevelType w:val="multilevel"/>
    <w:tmpl w:val="2DDCD6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7736E1F"/>
    <w:multiLevelType w:val="multilevel"/>
    <w:tmpl w:val="FAB48FDC"/>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9583350"/>
    <w:multiLevelType w:val="multilevel"/>
    <w:tmpl w:val="6DA4853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C0A128D"/>
    <w:multiLevelType w:val="multilevel"/>
    <w:tmpl w:val="A1B0624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F2755F9"/>
    <w:multiLevelType w:val="multilevel"/>
    <w:tmpl w:val="E79C11A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1"/>
  </w:num>
  <w:num w:numId="4">
    <w:abstractNumId w:val="0"/>
  </w:num>
  <w:num w:numId="5">
    <w:abstractNumId w:val="4"/>
  </w:num>
  <w:num w:numId="6">
    <w:abstractNumId w:val="3"/>
  </w:num>
  <w:num w:numId="7">
    <w:abstractNumId w:val="7"/>
  </w:num>
  <w:num w:numId="8">
    <w:abstractNumId w:val="10"/>
  </w:num>
  <w:num w:numId="9">
    <w:abstractNumId w:val="9"/>
  </w:num>
  <w:num w:numId="10">
    <w:abstractNumId w:val="11"/>
  </w:num>
  <w:num w:numId="11">
    <w:abstractNumId w:val="13"/>
  </w:num>
  <w:num w:numId="12">
    <w:abstractNumId w:val="12"/>
  </w:num>
  <w:num w:numId="13">
    <w:abstractNumId w:val="2"/>
  </w:num>
  <w:num w:numId="1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WzsDQ0NLAwtDA0tzRW0lEKTi0uzszPAykwrwUAXkHX7SwAAAA="/>
  </w:docVars>
  <w:rsids>
    <w:rsidRoot w:val="007035D4"/>
    <w:rsid w:val="00001A27"/>
    <w:rsid w:val="000022AF"/>
    <w:rsid w:val="0000268B"/>
    <w:rsid w:val="0000421B"/>
    <w:rsid w:val="00004A40"/>
    <w:rsid w:val="00006876"/>
    <w:rsid w:val="00007930"/>
    <w:rsid w:val="00010A12"/>
    <w:rsid w:val="000116C2"/>
    <w:rsid w:val="0001272B"/>
    <w:rsid w:val="00013F2D"/>
    <w:rsid w:val="00014AF3"/>
    <w:rsid w:val="0001534C"/>
    <w:rsid w:val="000175EC"/>
    <w:rsid w:val="0002075E"/>
    <w:rsid w:val="00020F87"/>
    <w:rsid w:val="00021BDA"/>
    <w:rsid w:val="00022BF8"/>
    <w:rsid w:val="00023884"/>
    <w:rsid w:val="00031C9B"/>
    <w:rsid w:val="00034D5D"/>
    <w:rsid w:val="000366DF"/>
    <w:rsid w:val="0003764D"/>
    <w:rsid w:val="00046467"/>
    <w:rsid w:val="0005075E"/>
    <w:rsid w:val="00051D77"/>
    <w:rsid w:val="0005253B"/>
    <w:rsid w:val="000529B4"/>
    <w:rsid w:val="0005452E"/>
    <w:rsid w:val="00056D12"/>
    <w:rsid w:val="00057C3E"/>
    <w:rsid w:val="00060AF9"/>
    <w:rsid w:val="000612B7"/>
    <w:rsid w:val="00061CF2"/>
    <w:rsid w:val="0006264A"/>
    <w:rsid w:val="00064BC8"/>
    <w:rsid w:val="00067917"/>
    <w:rsid w:val="00072436"/>
    <w:rsid w:val="00072952"/>
    <w:rsid w:val="00073914"/>
    <w:rsid w:val="00075F02"/>
    <w:rsid w:val="00081208"/>
    <w:rsid w:val="000818F6"/>
    <w:rsid w:val="00085BD9"/>
    <w:rsid w:val="00090EAF"/>
    <w:rsid w:val="00090F71"/>
    <w:rsid w:val="000921C8"/>
    <w:rsid w:val="000974ED"/>
    <w:rsid w:val="000A0EB8"/>
    <w:rsid w:val="000A36DE"/>
    <w:rsid w:val="000A5DF8"/>
    <w:rsid w:val="000A7367"/>
    <w:rsid w:val="000B1CAD"/>
    <w:rsid w:val="000B219A"/>
    <w:rsid w:val="000B26C3"/>
    <w:rsid w:val="000B4425"/>
    <w:rsid w:val="000B54F2"/>
    <w:rsid w:val="000B618F"/>
    <w:rsid w:val="000B62CB"/>
    <w:rsid w:val="000C01F0"/>
    <w:rsid w:val="000C032B"/>
    <w:rsid w:val="000C0379"/>
    <w:rsid w:val="000C1661"/>
    <w:rsid w:val="000C1DA4"/>
    <w:rsid w:val="000C2C02"/>
    <w:rsid w:val="000C2C4C"/>
    <w:rsid w:val="000C6122"/>
    <w:rsid w:val="000D3E40"/>
    <w:rsid w:val="000D3FDC"/>
    <w:rsid w:val="000D66EC"/>
    <w:rsid w:val="000D6B29"/>
    <w:rsid w:val="000D70F2"/>
    <w:rsid w:val="000E43B5"/>
    <w:rsid w:val="000E4517"/>
    <w:rsid w:val="000E4C82"/>
    <w:rsid w:val="000E52D5"/>
    <w:rsid w:val="000E58C9"/>
    <w:rsid w:val="000E5C9E"/>
    <w:rsid w:val="000E60DF"/>
    <w:rsid w:val="000F0ABB"/>
    <w:rsid w:val="000F28C1"/>
    <w:rsid w:val="000F321F"/>
    <w:rsid w:val="000F389E"/>
    <w:rsid w:val="000F468B"/>
    <w:rsid w:val="000F56A5"/>
    <w:rsid w:val="000F5783"/>
    <w:rsid w:val="000F7E13"/>
    <w:rsid w:val="00100528"/>
    <w:rsid w:val="00101164"/>
    <w:rsid w:val="00101CE7"/>
    <w:rsid w:val="00102601"/>
    <w:rsid w:val="001063E9"/>
    <w:rsid w:val="00107565"/>
    <w:rsid w:val="00111773"/>
    <w:rsid w:val="00113117"/>
    <w:rsid w:val="001135B8"/>
    <w:rsid w:val="00114F59"/>
    <w:rsid w:val="00115150"/>
    <w:rsid w:val="0011608B"/>
    <w:rsid w:val="00116EAE"/>
    <w:rsid w:val="001222C0"/>
    <w:rsid w:val="0012500B"/>
    <w:rsid w:val="00126C9A"/>
    <w:rsid w:val="00127CC8"/>
    <w:rsid w:val="001329AD"/>
    <w:rsid w:val="00133549"/>
    <w:rsid w:val="00134C11"/>
    <w:rsid w:val="001357C8"/>
    <w:rsid w:val="00143134"/>
    <w:rsid w:val="00145D4F"/>
    <w:rsid w:val="001462F4"/>
    <w:rsid w:val="001464B9"/>
    <w:rsid w:val="00150B39"/>
    <w:rsid w:val="00150BB6"/>
    <w:rsid w:val="0015135E"/>
    <w:rsid w:val="001514CF"/>
    <w:rsid w:val="0015214A"/>
    <w:rsid w:val="00154999"/>
    <w:rsid w:val="00155334"/>
    <w:rsid w:val="00155A66"/>
    <w:rsid w:val="001577A0"/>
    <w:rsid w:val="0016258C"/>
    <w:rsid w:val="001646DE"/>
    <w:rsid w:val="00166739"/>
    <w:rsid w:val="00167929"/>
    <w:rsid w:val="001713D6"/>
    <w:rsid w:val="001718B4"/>
    <w:rsid w:val="0017465B"/>
    <w:rsid w:val="001767FD"/>
    <w:rsid w:val="00177BD0"/>
    <w:rsid w:val="001823CA"/>
    <w:rsid w:val="00183F06"/>
    <w:rsid w:val="00185773"/>
    <w:rsid w:val="001908C1"/>
    <w:rsid w:val="00190BAD"/>
    <w:rsid w:val="0019211F"/>
    <w:rsid w:val="0019286A"/>
    <w:rsid w:val="00192BD4"/>
    <w:rsid w:val="00192BE7"/>
    <w:rsid w:val="00195871"/>
    <w:rsid w:val="001A03ED"/>
    <w:rsid w:val="001A08DE"/>
    <w:rsid w:val="001A2298"/>
    <w:rsid w:val="001A428A"/>
    <w:rsid w:val="001A4D83"/>
    <w:rsid w:val="001A5A46"/>
    <w:rsid w:val="001A5B92"/>
    <w:rsid w:val="001A6028"/>
    <w:rsid w:val="001A77FC"/>
    <w:rsid w:val="001A7E3E"/>
    <w:rsid w:val="001B0818"/>
    <w:rsid w:val="001B29B3"/>
    <w:rsid w:val="001B3CE5"/>
    <w:rsid w:val="001C0942"/>
    <w:rsid w:val="001C14B3"/>
    <w:rsid w:val="001C2A3C"/>
    <w:rsid w:val="001C3262"/>
    <w:rsid w:val="001C3F9A"/>
    <w:rsid w:val="001C489E"/>
    <w:rsid w:val="001D182B"/>
    <w:rsid w:val="001D3511"/>
    <w:rsid w:val="001D43D3"/>
    <w:rsid w:val="001D5123"/>
    <w:rsid w:val="001D76E8"/>
    <w:rsid w:val="001E124A"/>
    <w:rsid w:val="001E2592"/>
    <w:rsid w:val="001E33A3"/>
    <w:rsid w:val="001E359B"/>
    <w:rsid w:val="001E39A1"/>
    <w:rsid w:val="001E3BC8"/>
    <w:rsid w:val="001F0E2D"/>
    <w:rsid w:val="001F176B"/>
    <w:rsid w:val="001F372E"/>
    <w:rsid w:val="001F471E"/>
    <w:rsid w:val="001F729C"/>
    <w:rsid w:val="0020049C"/>
    <w:rsid w:val="00201044"/>
    <w:rsid w:val="002039BE"/>
    <w:rsid w:val="002040A7"/>
    <w:rsid w:val="00204CF2"/>
    <w:rsid w:val="0020669A"/>
    <w:rsid w:val="00206962"/>
    <w:rsid w:val="00206FB7"/>
    <w:rsid w:val="002120DE"/>
    <w:rsid w:val="00212BC2"/>
    <w:rsid w:val="002135FF"/>
    <w:rsid w:val="00213E82"/>
    <w:rsid w:val="00220F3E"/>
    <w:rsid w:val="002219D0"/>
    <w:rsid w:val="00224C86"/>
    <w:rsid w:val="002258C6"/>
    <w:rsid w:val="00226EBF"/>
    <w:rsid w:val="00227062"/>
    <w:rsid w:val="0022777A"/>
    <w:rsid w:val="0023109C"/>
    <w:rsid w:val="00232773"/>
    <w:rsid w:val="00241744"/>
    <w:rsid w:val="00241FAA"/>
    <w:rsid w:val="0024598D"/>
    <w:rsid w:val="002474EA"/>
    <w:rsid w:val="00247C4E"/>
    <w:rsid w:val="00257D56"/>
    <w:rsid w:val="00257E4F"/>
    <w:rsid w:val="00257E73"/>
    <w:rsid w:val="00260554"/>
    <w:rsid w:val="00261FCB"/>
    <w:rsid w:val="0026267D"/>
    <w:rsid w:val="0026422C"/>
    <w:rsid w:val="00266379"/>
    <w:rsid w:val="00266C85"/>
    <w:rsid w:val="002673A7"/>
    <w:rsid w:val="002677BD"/>
    <w:rsid w:val="00270E58"/>
    <w:rsid w:val="0027103F"/>
    <w:rsid w:val="002726A5"/>
    <w:rsid w:val="00272AA3"/>
    <w:rsid w:val="002736D6"/>
    <w:rsid w:val="00273C20"/>
    <w:rsid w:val="002757AE"/>
    <w:rsid w:val="00276237"/>
    <w:rsid w:val="002769DD"/>
    <w:rsid w:val="00276C93"/>
    <w:rsid w:val="00276E2F"/>
    <w:rsid w:val="002772E4"/>
    <w:rsid w:val="002812F2"/>
    <w:rsid w:val="002817F7"/>
    <w:rsid w:val="002829A3"/>
    <w:rsid w:val="00285BC3"/>
    <w:rsid w:val="002862ED"/>
    <w:rsid w:val="00290753"/>
    <w:rsid w:val="00293491"/>
    <w:rsid w:val="002935AC"/>
    <w:rsid w:val="00293E6B"/>
    <w:rsid w:val="002958CD"/>
    <w:rsid w:val="00295CC2"/>
    <w:rsid w:val="002976BE"/>
    <w:rsid w:val="00297999"/>
    <w:rsid w:val="002A18EF"/>
    <w:rsid w:val="002A325F"/>
    <w:rsid w:val="002A3A18"/>
    <w:rsid w:val="002A640C"/>
    <w:rsid w:val="002A6E32"/>
    <w:rsid w:val="002B0AC7"/>
    <w:rsid w:val="002B21D8"/>
    <w:rsid w:val="002B2297"/>
    <w:rsid w:val="002B246D"/>
    <w:rsid w:val="002B3686"/>
    <w:rsid w:val="002B4584"/>
    <w:rsid w:val="002B4A46"/>
    <w:rsid w:val="002B5016"/>
    <w:rsid w:val="002B50AC"/>
    <w:rsid w:val="002B607A"/>
    <w:rsid w:val="002C250D"/>
    <w:rsid w:val="002C5B69"/>
    <w:rsid w:val="002D1748"/>
    <w:rsid w:val="002D1984"/>
    <w:rsid w:val="002D24DA"/>
    <w:rsid w:val="002D28A0"/>
    <w:rsid w:val="002D2B4E"/>
    <w:rsid w:val="002D36F0"/>
    <w:rsid w:val="002D7754"/>
    <w:rsid w:val="002E098E"/>
    <w:rsid w:val="002E4F9A"/>
    <w:rsid w:val="002E6121"/>
    <w:rsid w:val="002E71CB"/>
    <w:rsid w:val="002E7390"/>
    <w:rsid w:val="002F1F6C"/>
    <w:rsid w:val="002F4348"/>
    <w:rsid w:val="002F6A1B"/>
    <w:rsid w:val="00303B31"/>
    <w:rsid w:val="00305356"/>
    <w:rsid w:val="00312959"/>
    <w:rsid w:val="00313206"/>
    <w:rsid w:val="0031321D"/>
    <w:rsid w:val="003154F1"/>
    <w:rsid w:val="00316578"/>
    <w:rsid w:val="00317FD9"/>
    <w:rsid w:val="00320EBB"/>
    <w:rsid w:val="00322F56"/>
    <w:rsid w:val="0032556F"/>
    <w:rsid w:val="00327681"/>
    <w:rsid w:val="003306E8"/>
    <w:rsid w:val="003318D4"/>
    <w:rsid w:val="00331B35"/>
    <w:rsid w:val="00331E35"/>
    <w:rsid w:val="0033230F"/>
    <w:rsid w:val="00332D23"/>
    <w:rsid w:val="00336849"/>
    <w:rsid w:val="00336D12"/>
    <w:rsid w:val="0033704D"/>
    <w:rsid w:val="00337162"/>
    <w:rsid w:val="00337611"/>
    <w:rsid w:val="00344C0F"/>
    <w:rsid w:val="00345414"/>
    <w:rsid w:val="003458CD"/>
    <w:rsid w:val="00350204"/>
    <w:rsid w:val="00350DDA"/>
    <w:rsid w:val="00351F72"/>
    <w:rsid w:val="0035249E"/>
    <w:rsid w:val="0035360A"/>
    <w:rsid w:val="003553B7"/>
    <w:rsid w:val="00355B41"/>
    <w:rsid w:val="00356566"/>
    <w:rsid w:val="00356713"/>
    <w:rsid w:val="00357534"/>
    <w:rsid w:val="003579F5"/>
    <w:rsid w:val="0036148B"/>
    <w:rsid w:val="0036155B"/>
    <w:rsid w:val="00364604"/>
    <w:rsid w:val="00364DFE"/>
    <w:rsid w:val="003671D3"/>
    <w:rsid w:val="00370A09"/>
    <w:rsid w:val="00385D14"/>
    <w:rsid w:val="003860E1"/>
    <w:rsid w:val="003879E0"/>
    <w:rsid w:val="00390898"/>
    <w:rsid w:val="00391266"/>
    <w:rsid w:val="00391D96"/>
    <w:rsid w:val="00392768"/>
    <w:rsid w:val="00393998"/>
    <w:rsid w:val="00395216"/>
    <w:rsid w:val="0039573A"/>
    <w:rsid w:val="00395761"/>
    <w:rsid w:val="00396CBE"/>
    <w:rsid w:val="003A342F"/>
    <w:rsid w:val="003B0C5D"/>
    <w:rsid w:val="003B50EF"/>
    <w:rsid w:val="003B5C1E"/>
    <w:rsid w:val="003B7326"/>
    <w:rsid w:val="003B763F"/>
    <w:rsid w:val="003C00F2"/>
    <w:rsid w:val="003C0A2F"/>
    <w:rsid w:val="003C325F"/>
    <w:rsid w:val="003C3D6D"/>
    <w:rsid w:val="003C3FFB"/>
    <w:rsid w:val="003C6082"/>
    <w:rsid w:val="003D1B32"/>
    <w:rsid w:val="003D70D3"/>
    <w:rsid w:val="003D7A3A"/>
    <w:rsid w:val="003E2379"/>
    <w:rsid w:val="003E34DE"/>
    <w:rsid w:val="003E3640"/>
    <w:rsid w:val="003E4A65"/>
    <w:rsid w:val="003E7EFE"/>
    <w:rsid w:val="003F2936"/>
    <w:rsid w:val="003F4C8B"/>
    <w:rsid w:val="00400BF3"/>
    <w:rsid w:val="00401021"/>
    <w:rsid w:val="00402002"/>
    <w:rsid w:val="00402DF0"/>
    <w:rsid w:val="00403501"/>
    <w:rsid w:val="00407585"/>
    <w:rsid w:val="00410DAB"/>
    <w:rsid w:val="004112FB"/>
    <w:rsid w:val="004131CE"/>
    <w:rsid w:val="00420540"/>
    <w:rsid w:val="00420E8F"/>
    <w:rsid w:val="0042190B"/>
    <w:rsid w:val="004228B1"/>
    <w:rsid w:val="00422FE4"/>
    <w:rsid w:val="00423369"/>
    <w:rsid w:val="0042346C"/>
    <w:rsid w:val="0042489E"/>
    <w:rsid w:val="00426F60"/>
    <w:rsid w:val="00430641"/>
    <w:rsid w:val="004306E2"/>
    <w:rsid w:val="00430DFD"/>
    <w:rsid w:val="00433E87"/>
    <w:rsid w:val="00433FD3"/>
    <w:rsid w:val="00434B92"/>
    <w:rsid w:val="0043566A"/>
    <w:rsid w:val="0043577C"/>
    <w:rsid w:val="0043693B"/>
    <w:rsid w:val="00442833"/>
    <w:rsid w:val="00451FEF"/>
    <w:rsid w:val="0045550C"/>
    <w:rsid w:val="00455BBB"/>
    <w:rsid w:val="0045615A"/>
    <w:rsid w:val="00456FF5"/>
    <w:rsid w:val="00460953"/>
    <w:rsid w:val="00461530"/>
    <w:rsid w:val="00461844"/>
    <w:rsid w:val="00463750"/>
    <w:rsid w:val="00464047"/>
    <w:rsid w:val="00464A8F"/>
    <w:rsid w:val="00466359"/>
    <w:rsid w:val="00466E8A"/>
    <w:rsid w:val="004700AA"/>
    <w:rsid w:val="004703D8"/>
    <w:rsid w:val="00471FDA"/>
    <w:rsid w:val="004725EB"/>
    <w:rsid w:val="00473648"/>
    <w:rsid w:val="004767AE"/>
    <w:rsid w:val="00480724"/>
    <w:rsid w:val="004817DB"/>
    <w:rsid w:val="00481A15"/>
    <w:rsid w:val="004821F5"/>
    <w:rsid w:val="004836D6"/>
    <w:rsid w:val="00484E6B"/>
    <w:rsid w:val="00484F42"/>
    <w:rsid w:val="00485EF6"/>
    <w:rsid w:val="00486D85"/>
    <w:rsid w:val="004932E1"/>
    <w:rsid w:val="0049397B"/>
    <w:rsid w:val="00493E02"/>
    <w:rsid w:val="00494281"/>
    <w:rsid w:val="00494A13"/>
    <w:rsid w:val="004962F3"/>
    <w:rsid w:val="00496E62"/>
    <w:rsid w:val="00497F5F"/>
    <w:rsid w:val="004A32B1"/>
    <w:rsid w:val="004A4E0B"/>
    <w:rsid w:val="004A5D73"/>
    <w:rsid w:val="004A69AD"/>
    <w:rsid w:val="004B5EFE"/>
    <w:rsid w:val="004B5FEB"/>
    <w:rsid w:val="004B6804"/>
    <w:rsid w:val="004B6C14"/>
    <w:rsid w:val="004B7666"/>
    <w:rsid w:val="004B7FDA"/>
    <w:rsid w:val="004C5D0E"/>
    <w:rsid w:val="004D07CB"/>
    <w:rsid w:val="004D0F18"/>
    <w:rsid w:val="004D0FAE"/>
    <w:rsid w:val="004D4054"/>
    <w:rsid w:val="004D40F0"/>
    <w:rsid w:val="004D475F"/>
    <w:rsid w:val="004D500E"/>
    <w:rsid w:val="004D665A"/>
    <w:rsid w:val="004E1594"/>
    <w:rsid w:val="004E2E44"/>
    <w:rsid w:val="004F24E8"/>
    <w:rsid w:val="004F2C7A"/>
    <w:rsid w:val="004F3551"/>
    <w:rsid w:val="004F3B14"/>
    <w:rsid w:val="004F53EB"/>
    <w:rsid w:val="005016F8"/>
    <w:rsid w:val="00503241"/>
    <w:rsid w:val="005056D1"/>
    <w:rsid w:val="00510A54"/>
    <w:rsid w:val="00510E2D"/>
    <w:rsid w:val="00511D1F"/>
    <w:rsid w:val="005136FD"/>
    <w:rsid w:val="00513BF1"/>
    <w:rsid w:val="00515009"/>
    <w:rsid w:val="005158BC"/>
    <w:rsid w:val="00516D9F"/>
    <w:rsid w:val="00517120"/>
    <w:rsid w:val="00517B37"/>
    <w:rsid w:val="00522135"/>
    <w:rsid w:val="00522CC4"/>
    <w:rsid w:val="00525B53"/>
    <w:rsid w:val="00525C3B"/>
    <w:rsid w:val="00526968"/>
    <w:rsid w:val="00526ECD"/>
    <w:rsid w:val="005313FF"/>
    <w:rsid w:val="005333C7"/>
    <w:rsid w:val="005339B5"/>
    <w:rsid w:val="005357FC"/>
    <w:rsid w:val="00535816"/>
    <w:rsid w:val="00535F73"/>
    <w:rsid w:val="0053706E"/>
    <w:rsid w:val="0053770C"/>
    <w:rsid w:val="00541245"/>
    <w:rsid w:val="005425D0"/>
    <w:rsid w:val="00542B6A"/>
    <w:rsid w:val="00542FB7"/>
    <w:rsid w:val="00543532"/>
    <w:rsid w:val="005442E3"/>
    <w:rsid w:val="00544A04"/>
    <w:rsid w:val="00545E41"/>
    <w:rsid w:val="00546CAC"/>
    <w:rsid w:val="0055276E"/>
    <w:rsid w:val="00554269"/>
    <w:rsid w:val="005568D3"/>
    <w:rsid w:val="0055720E"/>
    <w:rsid w:val="00560969"/>
    <w:rsid w:val="00564580"/>
    <w:rsid w:val="0056559E"/>
    <w:rsid w:val="00565960"/>
    <w:rsid w:val="00567115"/>
    <w:rsid w:val="00567F41"/>
    <w:rsid w:val="00572684"/>
    <w:rsid w:val="00573393"/>
    <w:rsid w:val="0057398C"/>
    <w:rsid w:val="005741A6"/>
    <w:rsid w:val="0057618F"/>
    <w:rsid w:val="005830D3"/>
    <w:rsid w:val="00584FDE"/>
    <w:rsid w:val="00586EBB"/>
    <w:rsid w:val="00587207"/>
    <w:rsid w:val="00587629"/>
    <w:rsid w:val="0059354D"/>
    <w:rsid w:val="005937AC"/>
    <w:rsid w:val="00594AC0"/>
    <w:rsid w:val="00596E74"/>
    <w:rsid w:val="00597EE7"/>
    <w:rsid w:val="005A0E81"/>
    <w:rsid w:val="005A2662"/>
    <w:rsid w:val="005A3F8C"/>
    <w:rsid w:val="005A566C"/>
    <w:rsid w:val="005A5C85"/>
    <w:rsid w:val="005A66CF"/>
    <w:rsid w:val="005B0F6F"/>
    <w:rsid w:val="005B38A8"/>
    <w:rsid w:val="005B51AA"/>
    <w:rsid w:val="005B59B3"/>
    <w:rsid w:val="005B60E4"/>
    <w:rsid w:val="005B66D3"/>
    <w:rsid w:val="005B69FE"/>
    <w:rsid w:val="005C1354"/>
    <w:rsid w:val="005C1501"/>
    <w:rsid w:val="005C1548"/>
    <w:rsid w:val="005C3078"/>
    <w:rsid w:val="005C329F"/>
    <w:rsid w:val="005C5853"/>
    <w:rsid w:val="005C7370"/>
    <w:rsid w:val="005C78A4"/>
    <w:rsid w:val="005D0663"/>
    <w:rsid w:val="005D2459"/>
    <w:rsid w:val="005D2E41"/>
    <w:rsid w:val="005D3213"/>
    <w:rsid w:val="005D4367"/>
    <w:rsid w:val="005D5009"/>
    <w:rsid w:val="005D7F66"/>
    <w:rsid w:val="005E0F14"/>
    <w:rsid w:val="005E184D"/>
    <w:rsid w:val="005E30C0"/>
    <w:rsid w:val="005E6872"/>
    <w:rsid w:val="005F11DE"/>
    <w:rsid w:val="005F253C"/>
    <w:rsid w:val="00600E4A"/>
    <w:rsid w:val="00602ABA"/>
    <w:rsid w:val="00602FAE"/>
    <w:rsid w:val="006031F6"/>
    <w:rsid w:val="0060428A"/>
    <w:rsid w:val="00605A25"/>
    <w:rsid w:val="0060769C"/>
    <w:rsid w:val="00610247"/>
    <w:rsid w:val="006108C4"/>
    <w:rsid w:val="00611722"/>
    <w:rsid w:val="006128C4"/>
    <w:rsid w:val="0061402A"/>
    <w:rsid w:val="006155BD"/>
    <w:rsid w:val="006159EC"/>
    <w:rsid w:val="00617BA3"/>
    <w:rsid w:val="00620053"/>
    <w:rsid w:val="00624B99"/>
    <w:rsid w:val="00624E41"/>
    <w:rsid w:val="006259BA"/>
    <w:rsid w:val="00630086"/>
    <w:rsid w:val="0063123E"/>
    <w:rsid w:val="006326A4"/>
    <w:rsid w:val="0063456C"/>
    <w:rsid w:val="006350F8"/>
    <w:rsid w:val="00635E9E"/>
    <w:rsid w:val="006370C5"/>
    <w:rsid w:val="00637F96"/>
    <w:rsid w:val="00640DA7"/>
    <w:rsid w:val="00643182"/>
    <w:rsid w:val="00645AF5"/>
    <w:rsid w:val="00645D30"/>
    <w:rsid w:val="00646BEA"/>
    <w:rsid w:val="006471C4"/>
    <w:rsid w:val="00647C92"/>
    <w:rsid w:val="00650196"/>
    <w:rsid w:val="0065199C"/>
    <w:rsid w:val="006543F6"/>
    <w:rsid w:val="0065493E"/>
    <w:rsid w:val="00655E26"/>
    <w:rsid w:val="00656BE3"/>
    <w:rsid w:val="00656BE8"/>
    <w:rsid w:val="00657ADA"/>
    <w:rsid w:val="00657B92"/>
    <w:rsid w:val="0066033D"/>
    <w:rsid w:val="00662D2F"/>
    <w:rsid w:val="006678BE"/>
    <w:rsid w:val="0067152A"/>
    <w:rsid w:val="00671BB3"/>
    <w:rsid w:val="00673C4E"/>
    <w:rsid w:val="00674E10"/>
    <w:rsid w:val="00681866"/>
    <w:rsid w:val="00683655"/>
    <w:rsid w:val="006847D4"/>
    <w:rsid w:val="006903BE"/>
    <w:rsid w:val="00691536"/>
    <w:rsid w:val="00693092"/>
    <w:rsid w:val="0069417F"/>
    <w:rsid w:val="006941C1"/>
    <w:rsid w:val="006963DD"/>
    <w:rsid w:val="006969E5"/>
    <w:rsid w:val="006A3492"/>
    <w:rsid w:val="006A39AF"/>
    <w:rsid w:val="006A4B14"/>
    <w:rsid w:val="006A4F75"/>
    <w:rsid w:val="006A6A74"/>
    <w:rsid w:val="006B0DFC"/>
    <w:rsid w:val="006B1642"/>
    <w:rsid w:val="006B16BD"/>
    <w:rsid w:val="006B1B23"/>
    <w:rsid w:val="006B22A1"/>
    <w:rsid w:val="006B554E"/>
    <w:rsid w:val="006B571C"/>
    <w:rsid w:val="006B628B"/>
    <w:rsid w:val="006B6BDE"/>
    <w:rsid w:val="006C05C9"/>
    <w:rsid w:val="006C1C4D"/>
    <w:rsid w:val="006C2695"/>
    <w:rsid w:val="006C46AA"/>
    <w:rsid w:val="006D22D2"/>
    <w:rsid w:val="006D475B"/>
    <w:rsid w:val="006E07F5"/>
    <w:rsid w:val="006E2B17"/>
    <w:rsid w:val="006E5496"/>
    <w:rsid w:val="006E7652"/>
    <w:rsid w:val="006F0E49"/>
    <w:rsid w:val="006F1053"/>
    <w:rsid w:val="006F4894"/>
    <w:rsid w:val="006F582E"/>
    <w:rsid w:val="00701560"/>
    <w:rsid w:val="00702FEB"/>
    <w:rsid w:val="007035D4"/>
    <w:rsid w:val="00704EB5"/>
    <w:rsid w:val="007065CE"/>
    <w:rsid w:val="00710131"/>
    <w:rsid w:val="00710A58"/>
    <w:rsid w:val="00711E66"/>
    <w:rsid w:val="007127F4"/>
    <w:rsid w:val="0071536A"/>
    <w:rsid w:val="00720A84"/>
    <w:rsid w:val="00720B45"/>
    <w:rsid w:val="0072334D"/>
    <w:rsid w:val="00724AA3"/>
    <w:rsid w:val="007306DB"/>
    <w:rsid w:val="007307E2"/>
    <w:rsid w:val="00731321"/>
    <w:rsid w:val="00733542"/>
    <w:rsid w:val="00733643"/>
    <w:rsid w:val="00734276"/>
    <w:rsid w:val="00735B4E"/>
    <w:rsid w:val="007400DA"/>
    <w:rsid w:val="007403C2"/>
    <w:rsid w:val="007416CB"/>
    <w:rsid w:val="007419F0"/>
    <w:rsid w:val="00741F4D"/>
    <w:rsid w:val="007428D7"/>
    <w:rsid w:val="0074586B"/>
    <w:rsid w:val="00746EDF"/>
    <w:rsid w:val="007506B6"/>
    <w:rsid w:val="0075110B"/>
    <w:rsid w:val="00753DFA"/>
    <w:rsid w:val="00754ECE"/>
    <w:rsid w:val="00757487"/>
    <w:rsid w:val="00760C8A"/>
    <w:rsid w:val="00760E7B"/>
    <w:rsid w:val="0076274F"/>
    <w:rsid w:val="007706B3"/>
    <w:rsid w:val="007708C9"/>
    <w:rsid w:val="00771ECA"/>
    <w:rsid w:val="007722E5"/>
    <w:rsid w:val="00772307"/>
    <w:rsid w:val="0077572E"/>
    <w:rsid w:val="00777CDA"/>
    <w:rsid w:val="00777D81"/>
    <w:rsid w:val="00777DF8"/>
    <w:rsid w:val="007801F6"/>
    <w:rsid w:val="0078165F"/>
    <w:rsid w:val="00782857"/>
    <w:rsid w:val="00783427"/>
    <w:rsid w:val="0078480A"/>
    <w:rsid w:val="00784A0A"/>
    <w:rsid w:val="007857D0"/>
    <w:rsid w:val="007861B7"/>
    <w:rsid w:val="00787206"/>
    <w:rsid w:val="00790B04"/>
    <w:rsid w:val="00790F02"/>
    <w:rsid w:val="00793BEE"/>
    <w:rsid w:val="007A1E2D"/>
    <w:rsid w:val="007A2C58"/>
    <w:rsid w:val="007A3CC5"/>
    <w:rsid w:val="007A3DAA"/>
    <w:rsid w:val="007A5C77"/>
    <w:rsid w:val="007B0416"/>
    <w:rsid w:val="007B0F4E"/>
    <w:rsid w:val="007B12FE"/>
    <w:rsid w:val="007B350E"/>
    <w:rsid w:val="007B7F08"/>
    <w:rsid w:val="007C12CB"/>
    <w:rsid w:val="007C1C95"/>
    <w:rsid w:val="007C1FF9"/>
    <w:rsid w:val="007C47D4"/>
    <w:rsid w:val="007C5609"/>
    <w:rsid w:val="007D21C8"/>
    <w:rsid w:val="007D2F13"/>
    <w:rsid w:val="007D5D1B"/>
    <w:rsid w:val="007D5FD3"/>
    <w:rsid w:val="007D676A"/>
    <w:rsid w:val="007D6C58"/>
    <w:rsid w:val="007D79C2"/>
    <w:rsid w:val="007E01A6"/>
    <w:rsid w:val="007E0BD2"/>
    <w:rsid w:val="007E0E78"/>
    <w:rsid w:val="007E196B"/>
    <w:rsid w:val="007E3FBD"/>
    <w:rsid w:val="007E4C56"/>
    <w:rsid w:val="007F34FF"/>
    <w:rsid w:val="007F4765"/>
    <w:rsid w:val="007F4E51"/>
    <w:rsid w:val="008015D4"/>
    <w:rsid w:val="00804C2A"/>
    <w:rsid w:val="0080584B"/>
    <w:rsid w:val="008072B4"/>
    <w:rsid w:val="00810090"/>
    <w:rsid w:val="00810A65"/>
    <w:rsid w:val="00811649"/>
    <w:rsid w:val="008140A9"/>
    <w:rsid w:val="008158D8"/>
    <w:rsid w:val="00817138"/>
    <w:rsid w:val="00820733"/>
    <w:rsid w:val="00825860"/>
    <w:rsid w:val="00827606"/>
    <w:rsid w:val="00830A95"/>
    <w:rsid w:val="00830D1B"/>
    <w:rsid w:val="008314A6"/>
    <w:rsid w:val="00831A79"/>
    <w:rsid w:val="00831D7F"/>
    <w:rsid w:val="00832230"/>
    <w:rsid w:val="00832F6F"/>
    <w:rsid w:val="00834BD3"/>
    <w:rsid w:val="008355F8"/>
    <w:rsid w:val="0083584A"/>
    <w:rsid w:val="00840E10"/>
    <w:rsid w:val="008420ED"/>
    <w:rsid w:val="00842332"/>
    <w:rsid w:val="008426D3"/>
    <w:rsid w:val="00843345"/>
    <w:rsid w:val="00843462"/>
    <w:rsid w:val="0084372A"/>
    <w:rsid w:val="00852F30"/>
    <w:rsid w:val="00853810"/>
    <w:rsid w:val="0085393A"/>
    <w:rsid w:val="0085405F"/>
    <w:rsid w:val="0085525A"/>
    <w:rsid w:val="00856445"/>
    <w:rsid w:val="00857242"/>
    <w:rsid w:val="008575DF"/>
    <w:rsid w:val="0086162A"/>
    <w:rsid w:val="008618CD"/>
    <w:rsid w:val="008637EA"/>
    <w:rsid w:val="00863C5C"/>
    <w:rsid w:val="008666D2"/>
    <w:rsid w:val="008678B5"/>
    <w:rsid w:val="008701C9"/>
    <w:rsid w:val="0087044F"/>
    <w:rsid w:val="0087105F"/>
    <w:rsid w:val="00871E07"/>
    <w:rsid w:val="0087517A"/>
    <w:rsid w:val="00875479"/>
    <w:rsid w:val="008757BE"/>
    <w:rsid w:val="00876066"/>
    <w:rsid w:val="00876A3D"/>
    <w:rsid w:val="00876DF0"/>
    <w:rsid w:val="00880A7A"/>
    <w:rsid w:val="00881424"/>
    <w:rsid w:val="00883DF2"/>
    <w:rsid w:val="00884340"/>
    <w:rsid w:val="00887AB0"/>
    <w:rsid w:val="008924D8"/>
    <w:rsid w:val="0089258B"/>
    <w:rsid w:val="00894D7B"/>
    <w:rsid w:val="00895DF3"/>
    <w:rsid w:val="008960CF"/>
    <w:rsid w:val="00896244"/>
    <w:rsid w:val="00896365"/>
    <w:rsid w:val="00897CE9"/>
    <w:rsid w:val="008A2ED0"/>
    <w:rsid w:val="008A4F53"/>
    <w:rsid w:val="008A4FE6"/>
    <w:rsid w:val="008A770A"/>
    <w:rsid w:val="008B13FD"/>
    <w:rsid w:val="008B3D06"/>
    <w:rsid w:val="008B4015"/>
    <w:rsid w:val="008B418A"/>
    <w:rsid w:val="008B5A38"/>
    <w:rsid w:val="008C1FFC"/>
    <w:rsid w:val="008C231A"/>
    <w:rsid w:val="008C2C43"/>
    <w:rsid w:val="008C43DD"/>
    <w:rsid w:val="008C490F"/>
    <w:rsid w:val="008C5CD0"/>
    <w:rsid w:val="008D06C3"/>
    <w:rsid w:val="008D07E6"/>
    <w:rsid w:val="008D1C7E"/>
    <w:rsid w:val="008D2546"/>
    <w:rsid w:val="008D58CD"/>
    <w:rsid w:val="008D6E07"/>
    <w:rsid w:val="008E2D31"/>
    <w:rsid w:val="008E35CB"/>
    <w:rsid w:val="008E519C"/>
    <w:rsid w:val="008E6BA7"/>
    <w:rsid w:val="008E7586"/>
    <w:rsid w:val="008E777D"/>
    <w:rsid w:val="008F0415"/>
    <w:rsid w:val="008F1069"/>
    <w:rsid w:val="008F3325"/>
    <w:rsid w:val="008F3F5A"/>
    <w:rsid w:val="008F3F6E"/>
    <w:rsid w:val="008F4806"/>
    <w:rsid w:val="00903C65"/>
    <w:rsid w:val="00905417"/>
    <w:rsid w:val="00905568"/>
    <w:rsid w:val="00911D5B"/>
    <w:rsid w:val="00912130"/>
    <w:rsid w:val="009132E7"/>
    <w:rsid w:val="00915C03"/>
    <w:rsid w:val="00916521"/>
    <w:rsid w:val="00921DCD"/>
    <w:rsid w:val="009226E7"/>
    <w:rsid w:val="00923B62"/>
    <w:rsid w:val="00924A0D"/>
    <w:rsid w:val="009312E6"/>
    <w:rsid w:val="009321DE"/>
    <w:rsid w:val="00932AAD"/>
    <w:rsid w:val="009332AB"/>
    <w:rsid w:val="00933FB7"/>
    <w:rsid w:val="009347E2"/>
    <w:rsid w:val="00934EA0"/>
    <w:rsid w:val="00935260"/>
    <w:rsid w:val="0094013E"/>
    <w:rsid w:val="0094274D"/>
    <w:rsid w:val="00942FD5"/>
    <w:rsid w:val="00943B0D"/>
    <w:rsid w:val="00946285"/>
    <w:rsid w:val="0094678E"/>
    <w:rsid w:val="00947039"/>
    <w:rsid w:val="0096466B"/>
    <w:rsid w:val="009646F5"/>
    <w:rsid w:val="00964A25"/>
    <w:rsid w:val="00964F2B"/>
    <w:rsid w:val="0096508B"/>
    <w:rsid w:val="009675F1"/>
    <w:rsid w:val="00967768"/>
    <w:rsid w:val="009722DF"/>
    <w:rsid w:val="009733FD"/>
    <w:rsid w:val="009757E9"/>
    <w:rsid w:val="00977E2F"/>
    <w:rsid w:val="00980263"/>
    <w:rsid w:val="00980352"/>
    <w:rsid w:val="0098076B"/>
    <w:rsid w:val="00985FBF"/>
    <w:rsid w:val="009861F9"/>
    <w:rsid w:val="00992C25"/>
    <w:rsid w:val="00992E1E"/>
    <w:rsid w:val="0099460B"/>
    <w:rsid w:val="00994832"/>
    <w:rsid w:val="009963E6"/>
    <w:rsid w:val="009A0308"/>
    <w:rsid w:val="009A272D"/>
    <w:rsid w:val="009A34D3"/>
    <w:rsid w:val="009A43BC"/>
    <w:rsid w:val="009A43CE"/>
    <w:rsid w:val="009A4AB8"/>
    <w:rsid w:val="009B0427"/>
    <w:rsid w:val="009B4FF9"/>
    <w:rsid w:val="009B51A1"/>
    <w:rsid w:val="009B5B4B"/>
    <w:rsid w:val="009B69EB"/>
    <w:rsid w:val="009B791D"/>
    <w:rsid w:val="009C0038"/>
    <w:rsid w:val="009C0106"/>
    <w:rsid w:val="009C093D"/>
    <w:rsid w:val="009C0B45"/>
    <w:rsid w:val="009C2562"/>
    <w:rsid w:val="009D38F9"/>
    <w:rsid w:val="009E042F"/>
    <w:rsid w:val="009E2610"/>
    <w:rsid w:val="009E3737"/>
    <w:rsid w:val="009E3BA3"/>
    <w:rsid w:val="009E6EA8"/>
    <w:rsid w:val="009F1421"/>
    <w:rsid w:val="009F1845"/>
    <w:rsid w:val="009F38A2"/>
    <w:rsid w:val="009F3BB2"/>
    <w:rsid w:val="009F7871"/>
    <w:rsid w:val="00A02D01"/>
    <w:rsid w:val="00A02EC0"/>
    <w:rsid w:val="00A0481F"/>
    <w:rsid w:val="00A075BD"/>
    <w:rsid w:val="00A134AA"/>
    <w:rsid w:val="00A14A25"/>
    <w:rsid w:val="00A14E28"/>
    <w:rsid w:val="00A14F61"/>
    <w:rsid w:val="00A2562E"/>
    <w:rsid w:val="00A3063A"/>
    <w:rsid w:val="00A311C8"/>
    <w:rsid w:val="00A31489"/>
    <w:rsid w:val="00A334DA"/>
    <w:rsid w:val="00A33767"/>
    <w:rsid w:val="00A346D7"/>
    <w:rsid w:val="00A34F9A"/>
    <w:rsid w:val="00A35923"/>
    <w:rsid w:val="00A42807"/>
    <w:rsid w:val="00A44418"/>
    <w:rsid w:val="00A44941"/>
    <w:rsid w:val="00A452D4"/>
    <w:rsid w:val="00A521B8"/>
    <w:rsid w:val="00A52E1E"/>
    <w:rsid w:val="00A540A2"/>
    <w:rsid w:val="00A54E9E"/>
    <w:rsid w:val="00A554CE"/>
    <w:rsid w:val="00A56751"/>
    <w:rsid w:val="00A56D42"/>
    <w:rsid w:val="00A57045"/>
    <w:rsid w:val="00A577B8"/>
    <w:rsid w:val="00A62BB8"/>
    <w:rsid w:val="00A64CC7"/>
    <w:rsid w:val="00A66A7A"/>
    <w:rsid w:val="00A70872"/>
    <w:rsid w:val="00A72384"/>
    <w:rsid w:val="00A734DB"/>
    <w:rsid w:val="00A74094"/>
    <w:rsid w:val="00A74E10"/>
    <w:rsid w:val="00A7550E"/>
    <w:rsid w:val="00A767B1"/>
    <w:rsid w:val="00A76EED"/>
    <w:rsid w:val="00A85F71"/>
    <w:rsid w:val="00A91CA5"/>
    <w:rsid w:val="00A92570"/>
    <w:rsid w:val="00A96F7B"/>
    <w:rsid w:val="00A977C7"/>
    <w:rsid w:val="00A97D34"/>
    <w:rsid w:val="00AA19D0"/>
    <w:rsid w:val="00AA3E43"/>
    <w:rsid w:val="00AB1020"/>
    <w:rsid w:val="00AB19E8"/>
    <w:rsid w:val="00AB1B42"/>
    <w:rsid w:val="00AB458C"/>
    <w:rsid w:val="00AB562B"/>
    <w:rsid w:val="00AB575B"/>
    <w:rsid w:val="00AB6EB2"/>
    <w:rsid w:val="00AC0DAE"/>
    <w:rsid w:val="00AC2CE2"/>
    <w:rsid w:val="00AC3945"/>
    <w:rsid w:val="00AC5C84"/>
    <w:rsid w:val="00AC7A46"/>
    <w:rsid w:val="00AD1F16"/>
    <w:rsid w:val="00AD2E65"/>
    <w:rsid w:val="00AD4ACC"/>
    <w:rsid w:val="00AD5CEF"/>
    <w:rsid w:val="00AD6413"/>
    <w:rsid w:val="00AD7579"/>
    <w:rsid w:val="00AE154A"/>
    <w:rsid w:val="00AE3920"/>
    <w:rsid w:val="00AE4286"/>
    <w:rsid w:val="00AE6591"/>
    <w:rsid w:val="00AE67F8"/>
    <w:rsid w:val="00AE71E1"/>
    <w:rsid w:val="00AF17CD"/>
    <w:rsid w:val="00AF2AEF"/>
    <w:rsid w:val="00AF33BB"/>
    <w:rsid w:val="00B008DE"/>
    <w:rsid w:val="00B00C2A"/>
    <w:rsid w:val="00B01316"/>
    <w:rsid w:val="00B01B35"/>
    <w:rsid w:val="00B0330A"/>
    <w:rsid w:val="00B03C5F"/>
    <w:rsid w:val="00B05C29"/>
    <w:rsid w:val="00B06831"/>
    <w:rsid w:val="00B07E5D"/>
    <w:rsid w:val="00B119A7"/>
    <w:rsid w:val="00B12084"/>
    <w:rsid w:val="00B202D6"/>
    <w:rsid w:val="00B2209A"/>
    <w:rsid w:val="00B2344D"/>
    <w:rsid w:val="00B23A3F"/>
    <w:rsid w:val="00B26267"/>
    <w:rsid w:val="00B305BB"/>
    <w:rsid w:val="00B32218"/>
    <w:rsid w:val="00B3318E"/>
    <w:rsid w:val="00B33E2A"/>
    <w:rsid w:val="00B3679D"/>
    <w:rsid w:val="00B36F01"/>
    <w:rsid w:val="00B42DB8"/>
    <w:rsid w:val="00B47D89"/>
    <w:rsid w:val="00B57E56"/>
    <w:rsid w:val="00B631EF"/>
    <w:rsid w:val="00B70D33"/>
    <w:rsid w:val="00B716C1"/>
    <w:rsid w:val="00B7418D"/>
    <w:rsid w:val="00B74E38"/>
    <w:rsid w:val="00B80A22"/>
    <w:rsid w:val="00B811AD"/>
    <w:rsid w:val="00B827DE"/>
    <w:rsid w:val="00B8291D"/>
    <w:rsid w:val="00B8449A"/>
    <w:rsid w:val="00B84BFC"/>
    <w:rsid w:val="00B85D13"/>
    <w:rsid w:val="00B86C19"/>
    <w:rsid w:val="00B903EE"/>
    <w:rsid w:val="00B90C09"/>
    <w:rsid w:val="00B90D76"/>
    <w:rsid w:val="00B91BB0"/>
    <w:rsid w:val="00B935BA"/>
    <w:rsid w:val="00B94B06"/>
    <w:rsid w:val="00B97233"/>
    <w:rsid w:val="00BA0666"/>
    <w:rsid w:val="00BA09B0"/>
    <w:rsid w:val="00BA1744"/>
    <w:rsid w:val="00BA1D29"/>
    <w:rsid w:val="00BA34FE"/>
    <w:rsid w:val="00BA3D02"/>
    <w:rsid w:val="00BA436C"/>
    <w:rsid w:val="00BA4F0B"/>
    <w:rsid w:val="00BA59BE"/>
    <w:rsid w:val="00BA65E8"/>
    <w:rsid w:val="00BA7380"/>
    <w:rsid w:val="00BB1765"/>
    <w:rsid w:val="00BB2A92"/>
    <w:rsid w:val="00BB52DE"/>
    <w:rsid w:val="00BB7BC4"/>
    <w:rsid w:val="00BC1E65"/>
    <w:rsid w:val="00BC4BED"/>
    <w:rsid w:val="00BC712A"/>
    <w:rsid w:val="00BD0554"/>
    <w:rsid w:val="00BD1A03"/>
    <w:rsid w:val="00BD1EBD"/>
    <w:rsid w:val="00BD39C0"/>
    <w:rsid w:val="00BD4D54"/>
    <w:rsid w:val="00BD6603"/>
    <w:rsid w:val="00BE03A5"/>
    <w:rsid w:val="00BE0741"/>
    <w:rsid w:val="00BE1096"/>
    <w:rsid w:val="00BE1EAA"/>
    <w:rsid w:val="00BE2266"/>
    <w:rsid w:val="00BE238C"/>
    <w:rsid w:val="00BE3689"/>
    <w:rsid w:val="00BE427F"/>
    <w:rsid w:val="00BE6DDB"/>
    <w:rsid w:val="00BF00F2"/>
    <w:rsid w:val="00BF0878"/>
    <w:rsid w:val="00BF1C3F"/>
    <w:rsid w:val="00BF3C5F"/>
    <w:rsid w:val="00BF4B8D"/>
    <w:rsid w:val="00BF4D4C"/>
    <w:rsid w:val="00BF68C4"/>
    <w:rsid w:val="00C06289"/>
    <w:rsid w:val="00C134EB"/>
    <w:rsid w:val="00C13F8F"/>
    <w:rsid w:val="00C155FC"/>
    <w:rsid w:val="00C1582C"/>
    <w:rsid w:val="00C2019D"/>
    <w:rsid w:val="00C21E96"/>
    <w:rsid w:val="00C22347"/>
    <w:rsid w:val="00C23D40"/>
    <w:rsid w:val="00C24A8E"/>
    <w:rsid w:val="00C25088"/>
    <w:rsid w:val="00C3069E"/>
    <w:rsid w:val="00C313A6"/>
    <w:rsid w:val="00C329B3"/>
    <w:rsid w:val="00C33364"/>
    <w:rsid w:val="00C33AB7"/>
    <w:rsid w:val="00C348FA"/>
    <w:rsid w:val="00C36E0F"/>
    <w:rsid w:val="00C37774"/>
    <w:rsid w:val="00C40069"/>
    <w:rsid w:val="00C42CA9"/>
    <w:rsid w:val="00C4338D"/>
    <w:rsid w:val="00C43732"/>
    <w:rsid w:val="00C45B1A"/>
    <w:rsid w:val="00C46499"/>
    <w:rsid w:val="00C4730F"/>
    <w:rsid w:val="00C5122B"/>
    <w:rsid w:val="00C51616"/>
    <w:rsid w:val="00C56801"/>
    <w:rsid w:val="00C57308"/>
    <w:rsid w:val="00C615B0"/>
    <w:rsid w:val="00C61F46"/>
    <w:rsid w:val="00C62010"/>
    <w:rsid w:val="00C65D61"/>
    <w:rsid w:val="00C660B7"/>
    <w:rsid w:val="00C66230"/>
    <w:rsid w:val="00C6691D"/>
    <w:rsid w:val="00C66E84"/>
    <w:rsid w:val="00C67229"/>
    <w:rsid w:val="00C704F1"/>
    <w:rsid w:val="00C70E31"/>
    <w:rsid w:val="00C71CF6"/>
    <w:rsid w:val="00C771D1"/>
    <w:rsid w:val="00C77D96"/>
    <w:rsid w:val="00C80C8A"/>
    <w:rsid w:val="00C8192C"/>
    <w:rsid w:val="00C8366D"/>
    <w:rsid w:val="00C857DB"/>
    <w:rsid w:val="00C92653"/>
    <w:rsid w:val="00C93B25"/>
    <w:rsid w:val="00C966A2"/>
    <w:rsid w:val="00C96AF6"/>
    <w:rsid w:val="00C96DB0"/>
    <w:rsid w:val="00CA378D"/>
    <w:rsid w:val="00CA7E0B"/>
    <w:rsid w:val="00CB0351"/>
    <w:rsid w:val="00CB1586"/>
    <w:rsid w:val="00CB4764"/>
    <w:rsid w:val="00CB56F1"/>
    <w:rsid w:val="00CB77B3"/>
    <w:rsid w:val="00CC00D3"/>
    <w:rsid w:val="00CC3433"/>
    <w:rsid w:val="00CC50DA"/>
    <w:rsid w:val="00CC5183"/>
    <w:rsid w:val="00CC577A"/>
    <w:rsid w:val="00CD2DAA"/>
    <w:rsid w:val="00CD5E41"/>
    <w:rsid w:val="00CD7B0E"/>
    <w:rsid w:val="00CE15D4"/>
    <w:rsid w:val="00CE4629"/>
    <w:rsid w:val="00CE4FD3"/>
    <w:rsid w:val="00CE56C9"/>
    <w:rsid w:val="00CF2D48"/>
    <w:rsid w:val="00CF33BC"/>
    <w:rsid w:val="00CF33CB"/>
    <w:rsid w:val="00CF59F2"/>
    <w:rsid w:val="00CF66DA"/>
    <w:rsid w:val="00D007BB"/>
    <w:rsid w:val="00D00F7B"/>
    <w:rsid w:val="00D02833"/>
    <w:rsid w:val="00D04231"/>
    <w:rsid w:val="00D04E48"/>
    <w:rsid w:val="00D10086"/>
    <w:rsid w:val="00D1039A"/>
    <w:rsid w:val="00D117A5"/>
    <w:rsid w:val="00D11977"/>
    <w:rsid w:val="00D12C63"/>
    <w:rsid w:val="00D13210"/>
    <w:rsid w:val="00D143A7"/>
    <w:rsid w:val="00D14DF4"/>
    <w:rsid w:val="00D15BC6"/>
    <w:rsid w:val="00D22292"/>
    <w:rsid w:val="00D22361"/>
    <w:rsid w:val="00D22592"/>
    <w:rsid w:val="00D228E1"/>
    <w:rsid w:val="00D235A8"/>
    <w:rsid w:val="00D2378C"/>
    <w:rsid w:val="00D2387A"/>
    <w:rsid w:val="00D245B1"/>
    <w:rsid w:val="00D24E78"/>
    <w:rsid w:val="00D2712E"/>
    <w:rsid w:val="00D32534"/>
    <w:rsid w:val="00D33EBC"/>
    <w:rsid w:val="00D35D78"/>
    <w:rsid w:val="00D4146B"/>
    <w:rsid w:val="00D429B8"/>
    <w:rsid w:val="00D433D6"/>
    <w:rsid w:val="00D440F1"/>
    <w:rsid w:val="00D442BE"/>
    <w:rsid w:val="00D44F65"/>
    <w:rsid w:val="00D46237"/>
    <w:rsid w:val="00D53F05"/>
    <w:rsid w:val="00D548DE"/>
    <w:rsid w:val="00D54EC7"/>
    <w:rsid w:val="00D54FAA"/>
    <w:rsid w:val="00D55053"/>
    <w:rsid w:val="00D573FD"/>
    <w:rsid w:val="00D57920"/>
    <w:rsid w:val="00D6076A"/>
    <w:rsid w:val="00D6224C"/>
    <w:rsid w:val="00D636FF"/>
    <w:rsid w:val="00D66567"/>
    <w:rsid w:val="00D66B61"/>
    <w:rsid w:val="00D71507"/>
    <w:rsid w:val="00D72779"/>
    <w:rsid w:val="00D72B76"/>
    <w:rsid w:val="00D72CAF"/>
    <w:rsid w:val="00D73FD5"/>
    <w:rsid w:val="00D74C78"/>
    <w:rsid w:val="00D75485"/>
    <w:rsid w:val="00D75724"/>
    <w:rsid w:val="00D773FA"/>
    <w:rsid w:val="00D77E3F"/>
    <w:rsid w:val="00D80502"/>
    <w:rsid w:val="00D80F93"/>
    <w:rsid w:val="00D8353F"/>
    <w:rsid w:val="00D84CA1"/>
    <w:rsid w:val="00D86696"/>
    <w:rsid w:val="00D9049C"/>
    <w:rsid w:val="00D9476C"/>
    <w:rsid w:val="00D95AF5"/>
    <w:rsid w:val="00DA12D1"/>
    <w:rsid w:val="00DA39A7"/>
    <w:rsid w:val="00DB35FF"/>
    <w:rsid w:val="00DB4184"/>
    <w:rsid w:val="00DB552C"/>
    <w:rsid w:val="00DC027F"/>
    <w:rsid w:val="00DC31CB"/>
    <w:rsid w:val="00DC4BD9"/>
    <w:rsid w:val="00DD144C"/>
    <w:rsid w:val="00DD18DC"/>
    <w:rsid w:val="00DD2097"/>
    <w:rsid w:val="00DD262B"/>
    <w:rsid w:val="00DD2D0E"/>
    <w:rsid w:val="00DD7CFD"/>
    <w:rsid w:val="00DE14EF"/>
    <w:rsid w:val="00DE21B9"/>
    <w:rsid w:val="00DE2287"/>
    <w:rsid w:val="00DE437C"/>
    <w:rsid w:val="00DE4C6D"/>
    <w:rsid w:val="00DE5436"/>
    <w:rsid w:val="00DE5612"/>
    <w:rsid w:val="00DF019A"/>
    <w:rsid w:val="00DF170D"/>
    <w:rsid w:val="00DF1E27"/>
    <w:rsid w:val="00DF2572"/>
    <w:rsid w:val="00DF2E02"/>
    <w:rsid w:val="00DF44F7"/>
    <w:rsid w:val="00DF4E22"/>
    <w:rsid w:val="00DF5B8F"/>
    <w:rsid w:val="00DF5CA8"/>
    <w:rsid w:val="00DF5FCA"/>
    <w:rsid w:val="00DF7A41"/>
    <w:rsid w:val="00DF7CCD"/>
    <w:rsid w:val="00E01C7F"/>
    <w:rsid w:val="00E02566"/>
    <w:rsid w:val="00E02BEA"/>
    <w:rsid w:val="00E02D15"/>
    <w:rsid w:val="00E053C1"/>
    <w:rsid w:val="00E05728"/>
    <w:rsid w:val="00E11444"/>
    <w:rsid w:val="00E11E05"/>
    <w:rsid w:val="00E12E78"/>
    <w:rsid w:val="00E137ED"/>
    <w:rsid w:val="00E14C01"/>
    <w:rsid w:val="00E15040"/>
    <w:rsid w:val="00E15D89"/>
    <w:rsid w:val="00E16F8B"/>
    <w:rsid w:val="00E21151"/>
    <w:rsid w:val="00E26DB2"/>
    <w:rsid w:val="00E30372"/>
    <w:rsid w:val="00E30813"/>
    <w:rsid w:val="00E318C7"/>
    <w:rsid w:val="00E33722"/>
    <w:rsid w:val="00E33E07"/>
    <w:rsid w:val="00E35219"/>
    <w:rsid w:val="00E43A43"/>
    <w:rsid w:val="00E44F0D"/>
    <w:rsid w:val="00E45891"/>
    <w:rsid w:val="00E505F3"/>
    <w:rsid w:val="00E51A17"/>
    <w:rsid w:val="00E52229"/>
    <w:rsid w:val="00E524FA"/>
    <w:rsid w:val="00E52FB5"/>
    <w:rsid w:val="00E5350B"/>
    <w:rsid w:val="00E54863"/>
    <w:rsid w:val="00E6090E"/>
    <w:rsid w:val="00E60AC6"/>
    <w:rsid w:val="00E61A6B"/>
    <w:rsid w:val="00E65945"/>
    <w:rsid w:val="00E70932"/>
    <w:rsid w:val="00E70990"/>
    <w:rsid w:val="00E71E52"/>
    <w:rsid w:val="00E739DD"/>
    <w:rsid w:val="00E73C67"/>
    <w:rsid w:val="00E74CA4"/>
    <w:rsid w:val="00E822D4"/>
    <w:rsid w:val="00E83160"/>
    <w:rsid w:val="00E84089"/>
    <w:rsid w:val="00E85561"/>
    <w:rsid w:val="00E85D75"/>
    <w:rsid w:val="00E86635"/>
    <w:rsid w:val="00E86EE1"/>
    <w:rsid w:val="00E90E97"/>
    <w:rsid w:val="00E93F4E"/>
    <w:rsid w:val="00E97CC7"/>
    <w:rsid w:val="00EA0C8C"/>
    <w:rsid w:val="00EA39B5"/>
    <w:rsid w:val="00EA3B32"/>
    <w:rsid w:val="00EB017E"/>
    <w:rsid w:val="00EB13F0"/>
    <w:rsid w:val="00EB1DF1"/>
    <w:rsid w:val="00EB2A10"/>
    <w:rsid w:val="00EB2BEA"/>
    <w:rsid w:val="00EB314C"/>
    <w:rsid w:val="00EB5E46"/>
    <w:rsid w:val="00EB789E"/>
    <w:rsid w:val="00EC2B41"/>
    <w:rsid w:val="00EC7478"/>
    <w:rsid w:val="00ED3977"/>
    <w:rsid w:val="00ED52EB"/>
    <w:rsid w:val="00ED68C5"/>
    <w:rsid w:val="00ED734C"/>
    <w:rsid w:val="00ED749C"/>
    <w:rsid w:val="00ED7D2E"/>
    <w:rsid w:val="00EE75EE"/>
    <w:rsid w:val="00EE7CAC"/>
    <w:rsid w:val="00F007B7"/>
    <w:rsid w:val="00F028F1"/>
    <w:rsid w:val="00F03645"/>
    <w:rsid w:val="00F04D9A"/>
    <w:rsid w:val="00F04EC9"/>
    <w:rsid w:val="00F0597D"/>
    <w:rsid w:val="00F06320"/>
    <w:rsid w:val="00F07862"/>
    <w:rsid w:val="00F1293F"/>
    <w:rsid w:val="00F15C47"/>
    <w:rsid w:val="00F16BCE"/>
    <w:rsid w:val="00F20C9C"/>
    <w:rsid w:val="00F21561"/>
    <w:rsid w:val="00F23D7E"/>
    <w:rsid w:val="00F24591"/>
    <w:rsid w:val="00F24B7C"/>
    <w:rsid w:val="00F30195"/>
    <w:rsid w:val="00F30353"/>
    <w:rsid w:val="00F3159E"/>
    <w:rsid w:val="00F3161B"/>
    <w:rsid w:val="00F31994"/>
    <w:rsid w:val="00F320AA"/>
    <w:rsid w:val="00F345EB"/>
    <w:rsid w:val="00F367A3"/>
    <w:rsid w:val="00F37066"/>
    <w:rsid w:val="00F4402A"/>
    <w:rsid w:val="00F44E81"/>
    <w:rsid w:val="00F4685F"/>
    <w:rsid w:val="00F4692B"/>
    <w:rsid w:val="00F46EF3"/>
    <w:rsid w:val="00F47F46"/>
    <w:rsid w:val="00F50535"/>
    <w:rsid w:val="00F506AD"/>
    <w:rsid w:val="00F512DD"/>
    <w:rsid w:val="00F513C6"/>
    <w:rsid w:val="00F51CA6"/>
    <w:rsid w:val="00F527E6"/>
    <w:rsid w:val="00F535A1"/>
    <w:rsid w:val="00F53C99"/>
    <w:rsid w:val="00F5471E"/>
    <w:rsid w:val="00F561BD"/>
    <w:rsid w:val="00F56D04"/>
    <w:rsid w:val="00F57D98"/>
    <w:rsid w:val="00F67F5F"/>
    <w:rsid w:val="00F67F65"/>
    <w:rsid w:val="00F724C9"/>
    <w:rsid w:val="00F73BF4"/>
    <w:rsid w:val="00F7614E"/>
    <w:rsid w:val="00F774F9"/>
    <w:rsid w:val="00F77E5F"/>
    <w:rsid w:val="00F810C8"/>
    <w:rsid w:val="00F837A1"/>
    <w:rsid w:val="00F84936"/>
    <w:rsid w:val="00F84ED8"/>
    <w:rsid w:val="00F86057"/>
    <w:rsid w:val="00F86580"/>
    <w:rsid w:val="00F91618"/>
    <w:rsid w:val="00F918B5"/>
    <w:rsid w:val="00F92226"/>
    <w:rsid w:val="00F9555D"/>
    <w:rsid w:val="00F97611"/>
    <w:rsid w:val="00FA0FF4"/>
    <w:rsid w:val="00FA2566"/>
    <w:rsid w:val="00FA2F34"/>
    <w:rsid w:val="00FA7204"/>
    <w:rsid w:val="00FB0187"/>
    <w:rsid w:val="00FB0888"/>
    <w:rsid w:val="00FB1A99"/>
    <w:rsid w:val="00FB1DC4"/>
    <w:rsid w:val="00FB67FA"/>
    <w:rsid w:val="00FB7809"/>
    <w:rsid w:val="00FC1A0B"/>
    <w:rsid w:val="00FC1C20"/>
    <w:rsid w:val="00FC339F"/>
    <w:rsid w:val="00FC359C"/>
    <w:rsid w:val="00FC41BC"/>
    <w:rsid w:val="00FC4825"/>
    <w:rsid w:val="00FD0B9B"/>
    <w:rsid w:val="00FD0DBC"/>
    <w:rsid w:val="00FD1B63"/>
    <w:rsid w:val="00FD1EBC"/>
    <w:rsid w:val="00FD2D58"/>
    <w:rsid w:val="00FD5B27"/>
    <w:rsid w:val="00FD7C2B"/>
    <w:rsid w:val="00FE1C5B"/>
    <w:rsid w:val="00FE2BAC"/>
    <w:rsid w:val="00FE55AE"/>
    <w:rsid w:val="00FE575F"/>
    <w:rsid w:val="00FF11F4"/>
    <w:rsid w:val="00FF1A46"/>
    <w:rsid w:val="00FF1FE5"/>
    <w:rsid w:val="00FF586A"/>
    <w:rsid w:val="00FF5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3FA81"/>
  <w15:chartTrackingRefBased/>
  <w15:docId w15:val="{BA8C0360-5120-4925-B387-4554D7C5F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266"/>
    <w:pPr>
      <w:spacing w:line="360" w:lineRule="auto"/>
      <w:jc w:val="both"/>
    </w:pPr>
    <w:rPr>
      <w:rFonts w:ascii="Times New Roman" w:hAnsi="Times New Roman"/>
      <w:sz w:val="24"/>
      <w:lang w:val="en-GB"/>
    </w:rPr>
  </w:style>
  <w:style w:type="paragraph" w:styleId="Heading1">
    <w:name w:val="heading 1"/>
    <w:basedOn w:val="Normal"/>
    <w:next w:val="Normal"/>
    <w:link w:val="Heading1Char"/>
    <w:uiPriority w:val="9"/>
    <w:qFormat/>
    <w:rsid w:val="00150BB6"/>
    <w:pPr>
      <w:keepNext/>
      <w:keepLines/>
      <w:spacing w:before="240" w:after="240"/>
      <w:jc w:val="center"/>
      <w:outlineLvl w:val="0"/>
    </w:pPr>
    <w:rPr>
      <w:rFonts w:eastAsiaTheme="majorEastAsia" w:cstheme="majorBidi"/>
      <w:b/>
      <w:sz w:val="32"/>
      <w:szCs w:val="32"/>
    </w:rPr>
  </w:style>
  <w:style w:type="paragraph" w:styleId="Heading2">
    <w:name w:val="heading 2"/>
    <w:next w:val="Normal"/>
    <w:link w:val="Heading2Char"/>
    <w:uiPriority w:val="9"/>
    <w:unhideWhenUsed/>
    <w:qFormat/>
    <w:rsid w:val="00150BB6"/>
    <w:pPr>
      <w:spacing w:before="40"/>
      <w:jc w:val="center"/>
      <w:outlineLvl w:val="1"/>
    </w:pPr>
    <w:rPr>
      <w:rFonts w:ascii="Times New Roman" w:eastAsiaTheme="majorEastAsia" w:hAnsi="Times New Roman" w:cstheme="majorBidi"/>
      <w:b/>
      <w:sz w:val="28"/>
      <w:szCs w:val="26"/>
      <w:lang w:val="en-GB"/>
    </w:rPr>
  </w:style>
  <w:style w:type="paragraph" w:styleId="Heading3">
    <w:name w:val="heading 3"/>
    <w:basedOn w:val="Heading2"/>
    <w:next w:val="Normal"/>
    <w:link w:val="Heading3Char"/>
    <w:uiPriority w:val="9"/>
    <w:unhideWhenUsed/>
    <w:qFormat/>
    <w:rsid w:val="00880A7A"/>
    <w:pPr>
      <w:spacing w:before="120" w:after="120"/>
      <w:jc w:val="left"/>
      <w:outlineLvl w:val="2"/>
    </w:pPr>
    <w:rPr>
      <w:sz w:val="24"/>
      <w:lang w:val="en-US"/>
    </w:rPr>
  </w:style>
  <w:style w:type="paragraph" w:styleId="Heading4">
    <w:name w:val="heading 4"/>
    <w:basedOn w:val="Heading3"/>
    <w:next w:val="Normal"/>
    <w:link w:val="Heading4Char"/>
    <w:uiPriority w:val="9"/>
    <w:unhideWhenUsed/>
    <w:qFormat/>
    <w:rsid w:val="00567F41"/>
    <w:pPr>
      <w:keepNext/>
      <w:keepLines/>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BB6"/>
    <w:rPr>
      <w:rFonts w:ascii="Times New Roman" w:eastAsiaTheme="majorEastAsia" w:hAnsi="Times New Roman" w:cstheme="majorBidi"/>
      <w:b/>
      <w:sz w:val="32"/>
      <w:szCs w:val="32"/>
      <w:lang w:val="en-GB"/>
    </w:rPr>
  </w:style>
  <w:style w:type="character" w:customStyle="1" w:styleId="Heading2Char">
    <w:name w:val="Heading 2 Char"/>
    <w:basedOn w:val="DefaultParagraphFont"/>
    <w:link w:val="Heading2"/>
    <w:uiPriority w:val="9"/>
    <w:rsid w:val="00150BB6"/>
    <w:rPr>
      <w:rFonts w:ascii="Times New Roman" w:eastAsiaTheme="majorEastAsia" w:hAnsi="Times New Roman" w:cstheme="majorBidi"/>
      <w:b/>
      <w:sz w:val="28"/>
      <w:szCs w:val="26"/>
      <w:lang w:val="en-GB"/>
    </w:rPr>
  </w:style>
  <w:style w:type="character" w:customStyle="1" w:styleId="Heading3Char">
    <w:name w:val="Heading 3 Char"/>
    <w:basedOn w:val="DefaultParagraphFont"/>
    <w:link w:val="Heading3"/>
    <w:uiPriority w:val="9"/>
    <w:rsid w:val="00880A7A"/>
    <w:rPr>
      <w:rFonts w:ascii="Times New Roman" w:eastAsiaTheme="majorEastAsia" w:hAnsi="Times New Roman" w:cstheme="majorBidi"/>
      <w:b/>
      <w:sz w:val="24"/>
      <w:szCs w:val="26"/>
    </w:rPr>
  </w:style>
  <w:style w:type="character" w:customStyle="1" w:styleId="Heading4Char">
    <w:name w:val="Heading 4 Char"/>
    <w:basedOn w:val="DefaultParagraphFont"/>
    <w:link w:val="Heading4"/>
    <w:uiPriority w:val="9"/>
    <w:rsid w:val="00567F41"/>
    <w:rPr>
      <w:rFonts w:ascii="Times New Roman" w:eastAsiaTheme="majorEastAsia" w:hAnsi="Times New Roman" w:cstheme="majorBidi"/>
      <w:b/>
      <w:iCs/>
      <w:sz w:val="24"/>
      <w:szCs w:val="26"/>
    </w:rPr>
  </w:style>
  <w:style w:type="paragraph" w:styleId="ListParagraph">
    <w:name w:val="List Paragraph"/>
    <w:basedOn w:val="Normal"/>
    <w:uiPriority w:val="34"/>
    <w:qFormat/>
    <w:rsid w:val="002039BE"/>
    <w:pPr>
      <w:ind w:left="720"/>
      <w:contextualSpacing/>
    </w:pPr>
  </w:style>
  <w:style w:type="paragraph" w:styleId="TOCHeading">
    <w:name w:val="TOC Heading"/>
    <w:basedOn w:val="Heading1"/>
    <w:next w:val="Normal"/>
    <w:uiPriority w:val="39"/>
    <w:unhideWhenUsed/>
    <w:qFormat/>
    <w:rsid w:val="005425D0"/>
    <w:pPr>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5425D0"/>
    <w:pPr>
      <w:spacing w:after="100"/>
    </w:pPr>
  </w:style>
  <w:style w:type="paragraph" w:styleId="TOC2">
    <w:name w:val="toc 2"/>
    <w:basedOn w:val="Normal"/>
    <w:next w:val="Normal"/>
    <w:autoRedefine/>
    <w:uiPriority w:val="39"/>
    <w:unhideWhenUsed/>
    <w:rsid w:val="005425D0"/>
    <w:pPr>
      <w:spacing w:after="100"/>
      <w:ind w:left="240"/>
    </w:pPr>
  </w:style>
  <w:style w:type="paragraph" w:styleId="TOC3">
    <w:name w:val="toc 3"/>
    <w:basedOn w:val="Normal"/>
    <w:next w:val="Normal"/>
    <w:autoRedefine/>
    <w:uiPriority w:val="39"/>
    <w:unhideWhenUsed/>
    <w:rsid w:val="005425D0"/>
    <w:pPr>
      <w:spacing w:after="100"/>
      <w:ind w:left="480"/>
    </w:pPr>
  </w:style>
  <w:style w:type="character" w:styleId="Hyperlink">
    <w:name w:val="Hyperlink"/>
    <w:basedOn w:val="DefaultParagraphFont"/>
    <w:uiPriority w:val="99"/>
    <w:unhideWhenUsed/>
    <w:rsid w:val="005425D0"/>
    <w:rPr>
      <w:color w:val="0563C1" w:themeColor="hyperlink"/>
      <w:u w:val="single"/>
    </w:rPr>
  </w:style>
  <w:style w:type="paragraph" w:styleId="Header">
    <w:name w:val="header"/>
    <w:basedOn w:val="Normal"/>
    <w:link w:val="HeaderChar"/>
    <w:uiPriority w:val="99"/>
    <w:unhideWhenUsed/>
    <w:rsid w:val="00542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5D0"/>
    <w:rPr>
      <w:rFonts w:ascii="Times New Roman" w:hAnsi="Times New Roman"/>
      <w:sz w:val="24"/>
      <w:lang w:val="en-GB"/>
    </w:rPr>
  </w:style>
  <w:style w:type="paragraph" w:styleId="Footer">
    <w:name w:val="footer"/>
    <w:basedOn w:val="Normal"/>
    <w:link w:val="FooterChar"/>
    <w:uiPriority w:val="99"/>
    <w:unhideWhenUsed/>
    <w:rsid w:val="00542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5D0"/>
    <w:rPr>
      <w:rFonts w:ascii="Times New Roman" w:hAnsi="Times New Roman"/>
      <w:sz w:val="24"/>
      <w:lang w:val="en-GB"/>
    </w:rPr>
  </w:style>
  <w:style w:type="table" w:styleId="TableGrid">
    <w:name w:val="Table Grid"/>
    <w:basedOn w:val="TableNormal"/>
    <w:uiPriority w:val="39"/>
    <w:rsid w:val="009B69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37162"/>
    <w:rPr>
      <w:color w:val="808080"/>
    </w:rPr>
  </w:style>
  <w:style w:type="paragraph" w:styleId="BalloonText">
    <w:name w:val="Balloon Text"/>
    <w:basedOn w:val="Normal"/>
    <w:link w:val="BalloonTextChar"/>
    <w:uiPriority w:val="99"/>
    <w:semiHidden/>
    <w:unhideWhenUsed/>
    <w:rsid w:val="006F1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053"/>
    <w:rPr>
      <w:rFonts w:ascii="Segoe UI" w:hAnsi="Segoe UI" w:cs="Segoe UI"/>
      <w:sz w:val="18"/>
      <w:szCs w:val="18"/>
      <w:lang w:val="en-GB"/>
    </w:rPr>
  </w:style>
  <w:style w:type="paragraph" w:customStyle="1" w:styleId="HomerTableBody">
    <w:name w:val="HomerTableBody"/>
    <w:rsid w:val="00CE4629"/>
    <w:pPr>
      <w:spacing w:after="180" w:line="276" w:lineRule="auto"/>
    </w:pPr>
    <w:rPr>
      <w:rFonts w:ascii="Verdana" w:eastAsia="Times New Roman" w:hAnsi="Verdana" w:cs="Verdana"/>
      <w:sz w:val="18"/>
      <w:szCs w:val="18"/>
    </w:rPr>
  </w:style>
  <w:style w:type="table" w:styleId="GridTable4">
    <w:name w:val="Grid Table 4"/>
    <w:basedOn w:val="TableNormal"/>
    <w:uiPriority w:val="49"/>
    <w:rsid w:val="00CE4629"/>
    <w:pPr>
      <w:spacing w:after="0" w:line="240" w:lineRule="auto"/>
    </w:pPr>
    <w:rPr>
      <w:rFonts w:ascii="Verdana" w:eastAsia="Times New Roman" w:hAnsi="Verdana" w:cs="Verdana"/>
      <w:sz w:val="24"/>
      <w:szCs w:val="24"/>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5" w:type="dxa"/>
        <w:bottom w:w="0" w:type="dxa"/>
        <w:right w:w="105" w:type="dxa"/>
      </w:tblCellMar>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000000"/>
          <w:insideV w:val="none" w:sz="0" w:space="0" w:color="000000"/>
        </w:tcBorders>
        <w:shd w:val="clear" w:color="auto" w:fill="000000" w:themeFill="text1"/>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E6121"/>
    <w:rPr>
      <w:color w:val="954F72"/>
      <w:u w:val="single"/>
    </w:rPr>
  </w:style>
  <w:style w:type="paragraph" w:customStyle="1" w:styleId="msonormal0">
    <w:name w:val="msonormal"/>
    <w:basedOn w:val="Normal"/>
    <w:rsid w:val="002E6121"/>
    <w:pPr>
      <w:spacing w:before="100" w:beforeAutospacing="1" w:after="100" w:afterAutospacing="1" w:line="240" w:lineRule="auto"/>
      <w:jc w:val="left"/>
    </w:pPr>
    <w:rPr>
      <w:rFonts w:eastAsia="Times New Roman" w:cs="Times New Roman"/>
      <w:szCs w:val="24"/>
      <w:lang w:val="en-US"/>
    </w:rPr>
  </w:style>
  <w:style w:type="paragraph" w:styleId="TOC4">
    <w:name w:val="toc 4"/>
    <w:basedOn w:val="Normal"/>
    <w:next w:val="Normal"/>
    <w:autoRedefine/>
    <w:uiPriority w:val="39"/>
    <w:unhideWhenUsed/>
    <w:rsid w:val="0033704D"/>
    <w:pPr>
      <w:spacing w:after="100" w:line="259" w:lineRule="auto"/>
      <w:ind w:left="660"/>
      <w:jc w:val="left"/>
    </w:pPr>
    <w:rPr>
      <w:rFonts w:asciiTheme="minorHAnsi" w:eastAsiaTheme="minorEastAsia" w:hAnsiTheme="minorHAnsi"/>
      <w:sz w:val="22"/>
      <w:lang w:val="en-US"/>
    </w:rPr>
  </w:style>
  <w:style w:type="paragraph" w:styleId="TOC5">
    <w:name w:val="toc 5"/>
    <w:basedOn w:val="Normal"/>
    <w:next w:val="Normal"/>
    <w:autoRedefine/>
    <w:uiPriority w:val="39"/>
    <w:unhideWhenUsed/>
    <w:rsid w:val="0033704D"/>
    <w:pPr>
      <w:spacing w:after="100" w:line="259" w:lineRule="auto"/>
      <w:ind w:left="88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33704D"/>
    <w:pPr>
      <w:spacing w:after="100" w:line="259" w:lineRule="auto"/>
      <w:ind w:left="110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33704D"/>
    <w:pPr>
      <w:spacing w:after="100" w:line="259" w:lineRule="auto"/>
      <w:ind w:left="132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33704D"/>
    <w:pPr>
      <w:spacing w:after="100" w:line="259" w:lineRule="auto"/>
      <w:ind w:left="154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33704D"/>
    <w:pPr>
      <w:spacing w:after="100" w:line="259" w:lineRule="auto"/>
      <w:ind w:left="1760"/>
      <w:jc w:val="left"/>
    </w:pPr>
    <w:rPr>
      <w:rFonts w:asciiTheme="minorHAnsi" w:eastAsiaTheme="minorEastAsia" w:hAnsiTheme="minorHAnsi"/>
      <w:sz w:val="22"/>
      <w:lang w:val="en-US"/>
    </w:rPr>
  </w:style>
  <w:style w:type="paragraph" w:styleId="NormalWeb">
    <w:name w:val="Normal (Web)"/>
    <w:basedOn w:val="Normal"/>
    <w:uiPriority w:val="99"/>
    <w:semiHidden/>
    <w:unhideWhenUsed/>
    <w:rsid w:val="00AD6413"/>
    <w:pPr>
      <w:spacing w:before="100" w:beforeAutospacing="1" w:after="100" w:afterAutospacing="1" w:line="240" w:lineRule="auto"/>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147">
      <w:bodyDiv w:val="1"/>
      <w:marLeft w:val="0"/>
      <w:marRight w:val="0"/>
      <w:marTop w:val="0"/>
      <w:marBottom w:val="0"/>
      <w:divBdr>
        <w:top w:val="none" w:sz="0" w:space="0" w:color="auto"/>
        <w:left w:val="none" w:sz="0" w:space="0" w:color="auto"/>
        <w:bottom w:val="none" w:sz="0" w:space="0" w:color="auto"/>
        <w:right w:val="none" w:sz="0" w:space="0" w:color="auto"/>
      </w:divBdr>
    </w:div>
    <w:div w:id="56637180">
      <w:bodyDiv w:val="1"/>
      <w:marLeft w:val="0"/>
      <w:marRight w:val="0"/>
      <w:marTop w:val="0"/>
      <w:marBottom w:val="0"/>
      <w:divBdr>
        <w:top w:val="none" w:sz="0" w:space="0" w:color="auto"/>
        <w:left w:val="none" w:sz="0" w:space="0" w:color="auto"/>
        <w:bottom w:val="none" w:sz="0" w:space="0" w:color="auto"/>
        <w:right w:val="none" w:sz="0" w:space="0" w:color="auto"/>
      </w:divBdr>
    </w:div>
    <w:div w:id="59601024">
      <w:bodyDiv w:val="1"/>
      <w:marLeft w:val="0"/>
      <w:marRight w:val="0"/>
      <w:marTop w:val="0"/>
      <w:marBottom w:val="0"/>
      <w:divBdr>
        <w:top w:val="none" w:sz="0" w:space="0" w:color="auto"/>
        <w:left w:val="none" w:sz="0" w:space="0" w:color="auto"/>
        <w:bottom w:val="none" w:sz="0" w:space="0" w:color="auto"/>
        <w:right w:val="none" w:sz="0" w:space="0" w:color="auto"/>
      </w:divBdr>
    </w:div>
    <w:div w:id="72052521">
      <w:bodyDiv w:val="1"/>
      <w:marLeft w:val="0"/>
      <w:marRight w:val="0"/>
      <w:marTop w:val="0"/>
      <w:marBottom w:val="0"/>
      <w:divBdr>
        <w:top w:val="none" w:sz="0" w:space="0" w:color="auto"/>
        <w:left w:val="none" w:sz="0" w:space="0" w:color="auto"/>
        <w:bottom w:val="none" w:sz="0" w:space="0" w:color="auto"/>
        <w:right w:val="none" w:sz="0" w:space="0" w:color="auto"/>
      </w:divBdr>
    </w:div>
    <w:div w:id="80876746">
      <w:bodyDiv w:val="1"/>
      <w:marLeft w:val="0"/>
      <w:marRight w:val="0"/>
      <w:marTop w:val="0"/>
      <w:marBottom w:val="0"/>
      <w:divBdr>
        <w:top w:val="none" w:sz="0" w:space="0" w:color="auto"/>
        <w:left w:val="none" w:sz="0" w:space="0" w:color="auto"/>
        <w:bottom w:val="none" w:sz="0" w:space="0" w:color="auto"/>
        <w:right w:val="none" w:sz="0" w:space="0" w:color="auto"/>
      </w:divBdr>
    </w:div>
    <w:div w:id="94176977">
      <w:bodyDiv w:val="1"/>
      <w:marLeft w:val="0"/>
      <w:marRight w:val="0"/>
      <w:marTop w:val="0"/>
      <w:marBottom w:val="0"/>
      <w:divBdr>
        <w:top w:val="none" w:sz="0" w:space="0" w:color="auto"/>
        <w:left w:val="none" w:sz="0" w:space="0" w:color="auto"/>
        <w:bottom w:val="none" w:sz="0" w:space="0" w:color="auto"/>
        <w:right w:val="none" w:sz="0" w:space="0" w:color="auto"/>
      </w:divBdr>
    </w:div>
    <w:div w:id="96802144">
      <w:bodyDiv w:val="1"/>
      <w:marLeft w:val="0"/>
      <w:marRight w:val="0"/>
      <w:marTop w:val="0"/>
      <w:marBottom w:val="0"/>
      <w:divBdr>
        <w:top w:val="none" w:sz="0" w:space="0" w:color="auto"/>
        <w:left w:val="none" w:sz="0" w:space="0" w:color="auto"/>
        <w:bottom w:val="none" w:sz="0" w:space="0" w:color="auto"/>
        <w:right w:val="none" w:sz="0" w:space="0" w:color="auto"/>
      </w:divBdr>
    </w:div>
    <w:div w:id="98914516">
      <w:bodyDiv w:val="1"/>
      <w:marLeft w:val="0"/>
      <w:marRight w:val="0"/>
      <w:marTop w:val="0"/>
      <w:marBottom w:val="0"/>
      <w:divBdr>
        <w:top w:val="none" w:sz="0" w:space="0" w:color="auto"/>
        <w:left w:val="none" w:sz="0" w:space="0" w:color="auto"/>
        <w:bottom w:val="none" w:sz="0" w:space="0" w:color="auto"/>
        <w:right w:val="none" w:sz="0" w:space="0" w:color="auto"/>
      </w:divBdr>
    </w:div>
    <w:div w:id="126507003">
      <w:bodyDiv w:val="1"/>
      <w:marLeft w:val="0"/>
      <w:marRight w:val="0"/>
      <w:marTop w:val="0"/>
      <w:marBottom w:val="0"/>
      <w:divBdr>
        <w:top w:val="none" w:sz="0" w:space="0" w:color="auto"/>
        <w:left w:val="none" w:sz="0" w:space="0" w:color="auto"/>
        <w:bottom w:val="none" w:sz="0" w:space="0" w:color="auto"/>
        <w:right w:val="none" w:sz="0" w:space="0" w:color="auto"/>
      </w:divBdr>
    </w:div>
    <w:div w:id="170527985">
      <w:bodyDiv w:val="1"/>
      <w:marLeft w:val="0"/>
      <w:marRight w:val="0"/>
      <w:marTop w:val="0"/>
      <w:marBottom w:val="0"/>
      <w:divBdr>
        <w:top w:val="none" w:sz="0" w:space="0" w:color="auto"/>
        <w:left w:val="none" w:sz="0" w:space="0" w:color="auto"/>
        <w:bottom w:val="none" w:sz="0" w:space="0" w:color="auto"/>
        <w:right w:val="none" w:sz="0" w:space="0" w:color="auto"/>
      </w:divBdr>
    </w:div>
    <w:div w:id="177552040">
      <w:bodyDiv w:val="1"/>
      <w:marLeft w:val="0"/>
      <w:marRight w:val="0"/>
      <w:marTop w:val="0"/>
      <w:marBottom w:val="0"/>
      <w:divBdr>
        <w:top w:val="none" w:sz="0" w:space="0" w:color="auto"/>
        <w:left w:val="none" w:sz="0" w:space="0" w:color="auto"/>
        <w:bottom w:val="none" w:sz="0" w:space="0" w:color="auto"/>
        <w:right w:val="none" w:sz="0" w:space="0" w:color="auto"/>
      </w:divBdr>
    </w:div>
    <w:div w:id="188298588">
      <w:bodyDiv w:val="1"/>
      <w:marLeft w:val="0"/>
      <w:marRight w:val="0"/>
      <w:marTop w:val="0"/>
      <w:marBottom w:val="0"/>
      <w:divBdr>
        <w:top w:val="none" w:sz="0" w:space="0" w:color="auto"/>
        <w:left w:val="none" w:sz="0" w:space="0" w:color="auto"/>
        <w:bottom w:val="none" w:sz="0" w:space="0" w:color="auto"/>
        <w:right w:val="none" w:sz="0" w:space="0" w:color="auto"/>
      </w:divBdr>
    </w:div>
    <w:div w:id="199979007">
      <w:bodyDiv w:val="1"/>
      <w:marLeft w:val="0"/>
      <w:marRight w:val="0"/>
      <w:marTop w:val="0"/>
      <w:marBottom w:val="0"/>
      <w:divBdr>
        <w:top w:val="none" w:sz="0" w:space="0" w:color="auto"/>
        <w:left w:val="none" w:sz="0" w:space="0" w:color="auto"/>
        <w:bottom w:val="none" w:sz="0" w:space="0" w:color="auto"/>
        <w:right w:val="none" w:sz="0" w:space="0" w:color="auto"/>
      </w:divBdr>
    </w:div>
    <w:div w:id="206569688">
      <w:bodyDiv w:val="1"/>
      <w:marLeft w:val="0"/>
      <w:marRight w:val="0"/>
      <w:marTop w:val="0"/>
      <w:marBottom w:val="0"/>
      <w:divBdr>
        <w:top w:val="none" w:sz="0" w:space="0" w:color="auto"/>
        <w:left w:val="none" w:sz="0" w:space="0" w:color="auto"/>
        <w:bottom w:val="none" w:sz="0" w:space="0" w:color="auto"/>
        <w:right w:val="none" w:sz="0" w:space="0" w:color="auto"/>
      </w:divBdr>
    </w:div>
    <w:div w:id="274336507">
      <w:bodyDiv w:val="1"/>
      <w:marLeft w:val="0"/>
      <w:marRight w:val="0"/>
      <w:marTop w:val="0"/>
      <w:marBottom w:val="0"/>
      <w:divBdr>
        <w:top w:val="none" w:sz="0" w:space="0" w:color="auto"/>
        <w:left w:val="none" w:sz="0" w:space="0" w:color="auto"/>
        <w:bottom w:val="none" w:sz="0" w:space="0" w:color="auto"/>
        <w:right w:val="none" w:sz="0" w:space="0" w:color="auto"/>
      </w:divBdr>
    </w:div>
    <w:div w:id="291060153">
      <w:bodyDiv w:val="1"/>
      <w:marLeft w:val="0"/>
      <w:marRight w:val="0"/>
      <w:marTop w:val="0"/>
      <w:marBottom w:val="0"/>
      <w:divBdr>
        <w:top w:val="none" w:sz="0" w:space="0" w:color="auto"/>
        <w:left w:val="none" w:sz="0" w:space="0" w:color="auto"/>
        <w:bottom w:val="none" w:sz="0" w:space="0" w:color="auto"/>
        <w:right w:val="none" w:sz="0" w:space="0" w:color="auto"/>
      </w:divBdr>
    </w:div>
    <w:div w:id="305743739">
      <w:bodyDiv w:val="1"/>
      <w:marLeft w:val="0"/>
      <w:marRight w:val="0"/>
      <w:marTop w:val="0"/>
      <w:marBottom w:val="0"/>
      <w:divBdr>
        <w:top w:val="none" w:sz="0" w:space="0" w:color="auto"/>
        <w:left w:val="none" w:sz="0" w:space="0" w:color="auto"/>
        <w:bottom w:val="none" w:sz="0" w:space="0" w:color="auto"/>
        <w:right w:val="none" w:sz="0" w:space="0" w:color="auto"/>
      </w:divBdr>
    </w:div>
    <w:div w:id="322395624">
      <w:bodyDiv w:val="1"/>
      <w:marLeft w:val="0"/>
      <w:marRight w:val="0"/>
      <w:marTop w:val="0"/>
      <w:marBottom w:val="0"/>
      <w:divBdr>
        <w:top w:val="none" w:sz="0" w:space="0" w:color="auto"/>
        <w:left w:val="none" w:sz="0" w:space="0" w:color="auto"/>
        <w:bottom w:val="none" w:sz="0" w:space="0" w:color="auto"/>
        <w:right w:val="none" w:sz="0" w:space="0" w:color="auto"/>
      </w:divBdr>
    </w:div>
    <w:div w:id="329061828">
      <w:bodyDiv w:val="1"/>
      <w:marLeft w:val="0"/>
      <w:marRight w:val="0"/>
      <w:marTop w:val="0"/>
      <w:marBottom w:val="0"/>
      <w:divBdr>
        <w:top w:val="none" w:sz="0" w:space="0" w:color="auto"/>
        <w:left w:val="none" w:sz="0" w:space="0" w:color="auto"/>
        <w:bottom w:val="none" w:sz="0" w:space="0" w:color="auto"/>
        <w:right w:val="none" w:sz="0" w:space="0" w:color="auto"/>
      </w:divBdr>
    </w:div>
    <w:div w:id="354770321">
      <w:bodyDiv w:val="1"/>
      <w:marLeft w:val="0"/>
      <w:marRight w:val="0"/>
      <w:marTop w:val="0"/>
      <w:marBottom w:val="0"/>
      <w:divBdr>
        <w:top w:val="none" w:sz="0" w:space="0" w:color="auto"/>
        <w:left w:val="none" w:sz="0" w:space="0" w:color="auto"/>
        <w:bottom w:val="none" w:sz="0" w:space="0" w:color="auto"/>
        <w:right w:val="none" w:sz="0" w:space="0" w:color="auto"/>
      </w:divBdr>
    </w:div>
    <w:div w:id="428819931">
      <w:bodyDiv w:val="1"/>
      <w:marLeft w:val="0"/>
      <w:marRight w:val="0"/>
      <w:marTop w:val="0"/>
      <w:marBottom w:val="0"/>
      <w:divBdr>
        <w:top w:val="none" w:sz="0" w:space="0" w:color="auto"/>
        <w:left w:val="none" w:sz="0" w:space="0" w:color="auto"/>
        <w:bottom w:val="none" w:sz="0" w:space="0" w:color="auto"/>
        <w:right w:val="none" w:sz="0" w:space="0" w:color="auto"/>
      </w:divBdr>
    </w:div>
    <w:div w:id="480856386">
      <w:bodyDiv w:val="1"/>
      <w:marLeft w:val="0"/>
      <w:marRight w:val="0"/>
      <w:marTop w:val="0"/>
      <w:marBottom w:val="0"/>
      <w:divBdr>
        <w:top w:val="none" w:sz="0" w:space="0" w:color="auto"/>
        <w:left w:val="none" w:sz="0" w:space="0" w:color="auto"/>
        <w:bottom w:val="none" w:sz="0" w:space="0" w:color="auto"/>
        <w:right w:val="none" w:sz="0" w:space="0" w:color="auto"/>
      </w:divBdr>
    </w:div>
    <w:div w:id="495920745">
      <w:bodyDiv w:val="1"/>
      <w:marLeft w:val="0"/>
      <w:marRight w:val="0"/>
      <w:marTop w:val="0"/>
      <w:marBottom w:val="0"/>
      <w:divBdr>
        <w:top w:val="none" w:sz="0" w:space="0" w:color="auto"/>
        <w:left w:val="none" w:sz="0" w:space="0" w:color="auto"/>
        <w:bottom w:val="none" w:sz="0" w:space="0" w:color="auto"/>
        <w:right w:val="none" w:sz="0" w:space="0" w:color="auto"/>
      </w:divBdr>
    </w:div>
    <w:div w:id="525411082">
      <w:bodyDiv w:val="1"/>
      <w:marLeft w:val="0"/>
      <w:marRight w:val="0"/>
      <w:marTop w:val="0"/>
      <w:marBottom w:val="0"/>
      <w:divBdr>
        <w:top w:val="none" w:sz="0" w:space="0" w:color="auto"/>
        <w:left w:val="none" w:sz="0" w:space="0" w:color="auto"/>
        <w:bottom w:val="none" w:sz="0" w:space="0" w:color="auto"/>
        <w:right w:val="none" w:sz="0" w:space="0" w:color="auto"/>
      </w:divBdr>
    </w:div>
    <w:div w:id="545213794">
      <w:bodyDiv w:val="1"/>
      <w:marLeft w:val="0"/>
      <w:marRight w:val="0"/>
      <w:marTop w:val="0"/>
      <w:marBottom w:val="0"/>
      <w:divBdr>
        <w:top w:val="none" w:sz="0" w:space="0" w:color="auto"/>
        <w:left w:val="none" w:sz="0" w:space="0" w:color="auto"/>
        <w:bottom w:val="none" w:sz="0" w:space="0" w:color="auto"/>
        <w:right w:val="none" w:sz="0" w:space="0" w:color="auto"/>
      </w:divBdr>
    </w:div>
    <w:div w:id="548108247">
      <w:bodyDiv w:val="1"/>
      <w:marLeft w:val="0"/>
      <w:marRight w:val="0"/>
      <w:marTop w:val="0"/>
      <w:marBottom w:val="0"/>
      <w:divBdr>
        <w:top w:val="none" w:sz="0" w:space="0" w:color="auto"/>
        <w:left w:val="none" w:sz="0" w:space="0" w:color="auto"/>
        <w:bottom w:val="none" w:sz="0" w:space="0" w:color="auto"/>
        <w:right w:val="none" w:sz="0" w:space="0" w:color="auto"/>
      </w:divBdr>
    </w:div>
    <w:div w:id="556091683">
      <w:bodyDiv w:val="1"/>
      <w:marLeft w:val="0"/>
      <w:marRight w:val="0"/>
      <w:marTop w:val="0"/>
      <w:marBottom w:val="0"/>
      <w:divBdr>
        <w:top w:val="none" w:sz="0" w:space="0" w:color="auto"/>
        <w:left w:val="none" w:sz="0" w:space="0" w:color="auto"/>
        <w:bottom w:val="none" w:sz="0" w:space="0" w:color="auto"/>
        <w:right w:val="none" w:sz="0" w:space="0" w:color="auto"/>
      </w:divBdr>
    </w:div>
    <w:div w:id="566766131">
      <w:bodyDiv w:val="1"/>
      <w:marLeft w:val="0"/>
      <w:marRight w:val="0"/>
      <w:marTop w:val="0"/>
      <w:marBottom w:val="0"/>
      <w:divBdr>
        <w:top w:val="none" w:sz="0" w:space="0" w:color="auto"/>
        <w:left w:val="none" w:sz="0" w:space="0" w:color="auto"/>
        <w:bottom w:val="none" w:sz="0" w:space="0" w:color="auto"/>
        <w:right w:val="none" w:sz="0" w:space="0" w:color="auto"/>
      </w:divBdr>
    </w:div>
    <w:div w:id="649405955">
      <w:bodyDiv w:val="1"/>
      <w:marLeft w:val="0"/>
      <w:marRight w:val="0"/>
      <w:marTop w:val="0"/>
      <w:marBottom w:val="0"/>
      <w:divBdr>
        <w:top w:val="none" w:sz="0" w:space="0" w:color="auto"/>
        <w:left w:val="none" w:sz="0" w:space="0" w:color="auto"/>
        <w:bottom w:val="none" w:sz="0" w:space="0" w:color="auto"/>
        <w:right w:val="none" w:sz="0" w:space="0" w:color="auto"/>
      </w:divBdr>
    </w:div>
    <w:div w:id="667177697">
      <w:bodyDiv w:val="1"/>
      <w:marLeft w:val="0"/>
      <w:marRight w:val="0"/>
      <w:marTop w:val="0"/>
      <w:marBottom w:val="0"/>
      <w:divBdr>
        <w:top w:val="none" w:sz="0" w:space="0" w:color="auto"/>
        <w:left w:val="none" w:sz="0" w:space="0" w:color="auto"/>
        <w:bottom w:val="none" w:sz="0" w:space="0" w:color="auto"/>
        <w:right w:val="none" w:sz="0" w:space="0" w:color="auto"/>
      </w:divBdr>
    </w:div>
    <w:div w:id="706949774">
      <w:bodyDiv w:val="1"/>
      <w:marLeft w:val="0"/>
      <w:marRight w:val="0"/>
      <w:marTop w:val="0"/>
      <w:marBottom w:val="0"/>
      <w:divBdr>
        <w:top w:val="none" w:sz="0" w:space="0" w:color="auto"/>
        <w:left w:val="none" w:sz="0" w:space="0" w:color="auto"/>
        <w:bottom w:val="none" w:sz="0" w:space="0" w:color="auto"/>
        <w:right w:val="none" w:sz="0" w:space="0" w:color="auto"/>
      </w:divBdr>
    </w:div>
    <w:div w:id="755514992">
      <w:bodyDiv w:val="1"/>
      <w:marLeft w:val="0"/>
      <w:marRight w:val="0"/>
      <w:marTop w:val="0"/>
      <w:marBottom w:val="0"/>
      <w:divBdr>
        <w:top w:val="none" w:sz="0" w:space="0" w:color="auto"/>
        <w:left w:val="none" w:sz="0" w:space="0" w:color="auto"/>
        <w:bottom w:val="none" w:sz="0" w:space="0" w:color="auto"/>
        <w:right w:val="none" w:sz="0" w:space="0" w:color="auto"/>
      </w:divBdr>
    </w:div>
    <w:div w:id="781845298">
      <w:bodyDiv w:val="1"/>
      <w:marLeft w:val="0"/>
      <w:marRight w:val="0"/>
      <w:marTop w:val="0"/>
      <w:marBottom w:val="0"/>
      <w:divBdr>
        <w:top w:val="none" w:sz="0" w:space="0" w:color="auto"/>
        <w:left w:val="none" w:sz="0" w:space="0" w:color="auto"/>
        <w:bottom w:val="none" w:sz="0" w:space="0" w:color="auto"/>
        <w:right w:val="none" w:sz="0" w:space="0" w:color="auto"/>
      </w:divBdr>
    </w:div>
    <w:div w:id="784885047">
      <w:bodyDiv w:val="1"/>
      <w:marLeft w:val="0"/>
      <w:marRight w:val="0"/>
      <w:marTop w:val="0"/>
      <w:marBottom w:val="0"/>
      <w:divBdr>
        <w:top w:val="none" w:sz="0" w:space="0" w:color="auto"/>
        <w:left w:val="none" w:sz="0" w:space="0" w:color="auto"/>
        <w:bottom w:val="none" w:sz="0" w:space="0" w:color="auto"/>
        <w:right w:val="none" w:sz="0" w:space="0" w:color="auto"/>
      </w:divBdr>
    </w:div>
    <w:div w:id="802966833">
      <w:bodyDiv w:val="1"/>
      <w:marLeft w:val="0"/>
      <w:marRight w:val="0"/>
      <w:marTop w:val="0"/>
      <w:marBottom w:val="0"/>
      <w:divBdr>
        <w:top w:val="none" w:sz="0" w:space="0" w:color="auto"/>
        <w:left w:val="none" w:sz="0" w:space="0" w:color="auto"/>
        <w:bottom w:val="none" w:sz="0" w:space="0" w:color="auto"/>
        <w:right w:val="none" w:sz="0" w:space="0" w:color="auto"/>
      </w:divBdr>
    </w:div>
    <w:div w:id="804081121">
      <w:bodyDiv w:val="1"/>
      <w:marLeft w:val="0"/>
      <w:marRight w:val="0"/>
      <w:marTop w:val="0"/>
      <w:marBottom w:val="0"/>
      <w:divBdr>
        <w:top w:val="none" w:sz="0" w:space="0" w:color="auto"/>
        <w:left w:val="none" w:sz="0" w:space="0" w:color="auto"/>
        <w:bottom w:val="none" w:sz="0" w:space="0" w:color="auto"/>
        <w:right w:val="none" w:sz="0" w:space="0" w:color="auto"/>
      </w:divBdr>
    </w:div>
    <w:div w:id="810050925">
      <w:bodyDiv w:val="1"/>
      <w:marLeft w:val="0"/>
      <w:marRight w:val="0"/>
      <w:marTop w:val="0"/>
      <w:marBottom w:val="0"/>
      <w:divBdr>
        <w:top w:val="none" w:sz="0" w:space="0" w:color="auto"/>
        <w:left w:val="none" w:sz="0" w:space="0" w:color="auto"/>
        <w:bottom w:val="none" w:sz="0" w:space="0" w:color="auto"/>
        <w:right w:val="none" w:sz="0" w:space="0" w:color="auto"/>
      </w:divBdr>
    </w:div>
    <w:div w:id="869025060">
      <w:bodyDiv w:val="1"/>
      <w:marLeft w:val="0"/>
      <w:marRight w:val="0"/>
      <w:marTop w:val="0"/>
      <w:marBottom w:val="0"/>
      <w:divBdr>
        <w:top w:val="none" w:sz="0" w:space="0" w:color="auto"/>
        <w:left w:val="none" w:sz="0" w:space="0" w:color="auto"/>
        <w:bottom w:val="none" w:sz="0" w:space="0" w:color="auto"/>
        <w:right w:val="none" w:sz="0" w:space="0" w:color="auto"/>
      </w:divBdr>
    </w:div>
    <w:div w:id="874736270">
      <w:bodyDiv w:val="1"/>
      <w:marLeft w:val="0"/>
      <w:marRight w:val="0"/>
      <w:marTop w:val="0"/>
      <w:marBottom w:val="0"/>
      <w:divBdr>
        <w:top w:val="none" w:sz="0" w:space="0" w:color="auto"/>
        <w:left w:val="none" w:sz="0" w:space="0" w:color="auto"/>
        <w:bottom w:val="none" w:sz="0" w:space="0" w:color="auto"/>
        <w:right w:val="none" w:sz="0" w:space="0" w:color="auto"/>
      </w:divBdr>
    </w:div>
    <w:div w:id="881017695">
      <w:bodyDiv w:val="1"/>
      <w:marLeft w:val="0"/>
      <w:marRight w:val="0"/>
      <w:marTop w:val="0"/>
      <w:marBottom w:val="0"/>
      <w:divBdr>
        <w:top w:val="none" w:sz="0" w:space="0" w:color="auto"/>
        <w:left w:val="none" w:sz="0" w:space="0" w:color="auto"/>
        <w:bottom w:val="none" w:sz="0" w:space="0" w:color="auto"/>
        <w:right w:val="none" w:sz="0" w:space="0" w:color="auto"/>
      </w:divBdr>
    </w:div>
    <w:div w:id="898589825">
      <w:bodyDiv w:val="1"/>
      <w:marLeft w:val="0"/>
      <w:marRight w:val="0"/>
      <w:marTop w:val="0"/>
      <w:marBottom w:val="0"/>
      <w:divBdr>
        <w:top w:val="none" w:sz="0" w:space="0" w:color="auto"/>
        <w:left w:val="none" w:sz="0" w:space="0" w:color="auto"/>
        <w:bottom w:val="none" w:sz="0" w:space="0" w:color="auto"/>
        <w:right w:val="none" w:sz="0" w:space="0" w:color="auto"/>
      </w:divBdr>
    </w:div>
    <w:div w:id="988829656">
      <w:bodyDiv w:val="1"/>
      <w:marLeft w:val="0"/>
      <w:marRight w:val="0"/>
      <w:marTop w:val="0"/>
      <w:marBottom w:val="0"/>
      <w:divBdr>
        <w:top w:val="none" w:sz="0" w:space="0" w:color="auto"/>
        <w:left w:val="none" w:sz="0" w:space="0" w:color="auto"/>
        <w:bottom w:val="none" w:sz="0" w:space="0" w:color="auto"/>
        <w:right w:val="none" w:sz="0" w:space="0" w:color="auto"/>
      </w:divBdr>
    </w:div>
    <w:div w:id="1019939524">
      <w:bodyDiv w:val="1"/>
      <w:marLeft w:val="0"/>
      <w:marRight w:val="0"/>
      <w:marTop w:val="0"/>
      <w:marBottom w:val="0"/>
      <w:divBdr>
        <w:top w:val="none" w:sz="0" w:space="0" w:color="auto"/>
        <w:left w:val="none" w:sz="0" w:space="0" w:color="auto"/>
        <w:bottom w:val="none" w:sz="0" w:space="0" w:color="auto"/>
        <w:right w:val="none" w:sz="0" w:space="0" w:color="auto"/>
      </w:divBdr>
    </w:div>
    <w:div w:id="1040940451">
      <w:bodyDiv w:val="1"/>
      <w:marLeft w:val="0"/>
      <w:marRight w:val="0"/>
      <w:marTop w:val="0"/>
      <w:marBottom w:val="0"/>
      <w:divBdr>
        <w:top w:val="none" w:sz="0" w:space="0" w:color="auto"/>
        <w:left w:val="none" w:sz="0" w:space="0" w:color="auto"/>
        <w:bottom w:val="none" w:sz="0" w:space="0" w:color="auto"/>
        <w:right w:val="none" w:sz="0" w:space="0" w:color="auto"/>
      </w:divBdr>
    </w:div>
    <w:div w:id="1069882191">
      <w:bodyDiv w:val="1"/>
      <w:marLeft w:val="0"/>
      <w:marRight w:val="0"/>
      <w:marTop w:val="0"/>
      <w:marBottom w:val="0"/>
      <w:divBdr>
        <w:top w:val="none" w:sz="0" w:space="0" w:color="auto"/>
        <w:left w:val="none" w:sz="0" w:space="0" w:color="auto"/>
        <w:bottom w:val="none" w:sz="0" w:space="0" w:color="auto"/>
        <w:right w:val="none" w:sz="0" w:space="0" w:color="auto"/>
      </w:divBdr>
    </w:div>
    <w:div w:id="1072970921">
      <w:bodyDiv w:val="1"/>
      <w:marLeft w:val="0"/>
      <w:marRight w:val="0"/>
      <w:marTop w:val="0"/>
      <w:marBottom w:val="0"/>
      <w:divBdr>
        <w:top w:val="none" w:sz="0" w:space="0" w:color="auto"/>
        <w:left w:val="none" w:sz="0" w:space="0" w:color="auto"/>
        <w:bottom w:val="none" w:sz="0" w:space="0" w:color="auto"/>
        <w:right w:val="none" w:sz="0" w:space="0" w:color="auto"/>
      </w:divBdr>
    </w:div>
    <w:div w:id="1131285996">
      <w:bodyDiv w:val="1"/>
      <w:marLeft w:val="0"/>
      <w:marRight w:val="0"/>
      <w:marTop w:val="0"/>
      <w:marBottom w:val="0"/>
      <w:divBdr>
        <w:top w:val="none" w:sz="0" w:space="0" w:color="auto"/>
        <w:left w:val="none" w:sz="0" w:space="0" w:color="auto"/>
        <w:bottom w:val="none" w:sz="0" w:space="0" w:color="auto"/>
        <w:right w:val="none" w:sz="0" w:space="0" w:color="auto"/>
      </w:divBdr>
    </w:div>
    <w:div w:id="1167213085">
      <w:bodyDiv w:val="1"/>
      <w:marLeft w:val="0"/>
      <w:marRight w:val="0"/>
      <w:marTop w:val="0"/>
      <w:marBottom w:val="0"/>
      <w:divBdr>
        <w:top w:val="none" w:sz="0" w:space="0" w:color="auto"/>
        <w:left w:val="none" w:sz="0" w:space="0" w:color="auto"/>
        <w:bottom w:val="none" w:sz="0" w:space="0" w:color="auto"/>
        <w:right w:val="none" w:sz="0" w:space="0" w:color="auto"/>
      </w:divBdr>
    </w:div>
    <w:div w:id="1186020625">
      <w:bodyDiv w:val="1"/>
      <w:marLeft w:val="0"/>
      <w:marRight w:val="0"/>
      <w:marTop w:val="0"/>
      <w:marBottom w:val="0"/>
      <w:divBdr>
        <w:top w:val="none" w:sz="0" w:space="0" w:color="auto"/>
        <w:left w:val="none" w:sz="0" w:space="0" w:color="auto"/>
        <w:bottom w:val="none" w:sz="0" w:space="0" w:color="auto"/>
        <w:right w:val="none" w:sz="0" w:space="0" w:color="auto"/>
      </w:divBdr>
    </w:div>
    <w:div w:id="1193419180">
      <w:bodyDiv w:val="1"/>
      <w:marLeft w:val="0"/>
      <w:marRight w:val="0"/>
      <w:marTop w:val="0"/>
      <w:marBottom w:val="0"/>
      <w:divBdr>
        <w:top w:val="none" w:sz="0" w:space="0" w:color="auto"/>
        <w:left w:val="none" w:sz="0" w:space="0" w:color="auto"/>
        <w:bottom w:val="none" w:sz="0" w:space="0" w:color="auto"/>
        <w:right w:val="none" w:sz="0" w:space="0" w:color="auto"/>
      </w:divBdr>
    </w:div>
    <w:div w:id="1212037332">
      <w:bodyDiv w:val="1"/>
      <w:marLeft w:val="0"/>
      <w:marRight w:val="0"/>
      <w:marTop w:val="0"/>
      <w:marBottom w:val="0"/>
      <w:divBdr>
        <w:top w:val="none" w:sz="0" w:space="0" w:color="auto"/>
        <w:left w:val="none" w:sz="0" w:space="0" w:color="auto"/>
        <w:bottom w:val="none" w:sz="0" w:space="0" w:color="auto"/>
        <w:right w:val="none" w:sz="0" w:space="0" w:color="auto"/>
      </w:divBdr>
    </w:div>
    <w:div w:id="1221526434">
      <w:bodyDiv w:val="1"/>
      <w:marLeft w:val="0"/>
      <w:marRight w:val="0"/>
      <w:marTop w:val="0"/>
      <w:marBottom w:val="0"/>
      <w:divBdr>
        <w:top w:val="none" w:sz="0" w:space="0" w:color="auto"/>
        <w:left w:val="none" w:sz="0" w:space="0" w:color="auto"/>
        <w:bottom w:val="none" w:sz="0" w:space="0" w:color="auto"/>
        <w:right w:val="none" w:sz="0" w:space="0" w:color="auto"/>
      </w:divBdr>
    </w:div>
    <w:div w:id="1251617726">
      <w:bodyDiv w:val="1"/>
      <w:marLeft w:val="0"/>
      <w:marRight w:val="0"/>
      <w:marTop w:val="0"/>
      <w:marBottom w:val="0"/>
      <w:divBdr>
        <w:top w:val="none" w:sz="0" w:space="0" w:color="auto"/>
        <w:left w:val="none" w:sz="0" w:space="0" w:color="auto"/>
        <w:bottom w:val="none" w:sz="0" w:space="0" w:color="auto"/>
        <w:right w:val="none" w:sz="0" w:space="0" w:color="auto"/>
      </w:divBdr>
    </w:div>
    <w:div w:id="1256594749">
      <w:bodyDiv w:val="1"/>
      <w:marLeft w:val="0"/>
      <w:marRight w:val="0"/>
      <w:marTop w:val="0"/>
      <w:marBottom w:val="0"/>
      <w:divBdr>
        <w:top w:val="none" w:sz="0" w:space="0" w:color="auto"/>
        <w:left w:val="none" w:sz="0" w:space="0" w:color="auto"/>
        <w:bottom w:val="none" w:sz="0" w:space="0" w:color="auto"/>
        <w:right w:val="none" w:sz="0" w:space="0" w:color="auto"/>
      </w:divBdr>
    </w:div>
    <w:div w:id="1306351430">
      <w:bodyDiv w:val="1"/>
      <w:marLeft w:val="0"/>
      <w:marRight w:val="0"/>
      <w:marTop w:val="0"/>
      <w:marBottom w:val="0"/>
      <w:divBdr>
        <w:top w:val="none" w:sz="0" w:space="0" w:color="auto"/>
        <w:left w:val="none" w:sz="0" w:space="0" w:color="auto"/>
        <w:bottom w:val="none" w:sz="0" w:space="0" w:color="auto"/>
        <w:right w:val="none" w:sz="0" w:space="0" w:color="auto"/>
      </w:divBdr>
    </w:div>
    <w:div w:id="1318001688">
      <w:bodyDiv w:val="1"/>
      <w:marLeft w:val="0"/>
      <w:marRight w:val="0"/>
      <w:marTop w:val="0"/>
      <w:marBottom w:val="0"/>
      <w:divBdr>
        <w:top w:val="none" w:sz="0" w:space="0" w:color="auto"/>
        <w:left w:val="none" w:sz="0" w:space="0" w:color="auto"/>
        <w:bottom w:val="none" w:sz="0" w:space="0" w:color="auto"/>
        <w:right w:val="none" w:sz="0" w:space="0" w:color="auto"/>
      </w:divBdr>
    </w:div>
    <w:div w:id="1361711393">
      <w:bodyDiv w:val="1"/>
      <w:marLeft w:val="0"/>
      <w:marRight w:val="0"/>
      <w:marTop w:val="0"/>
      <w:marBottom w:val="0"/>
      <w:divBdr>
        <w:top w:val="none" w:sz="0" w:space="0" w:color="auto"/>
        <w:left w:val="none" w:sz="0" w:space="0" w:color="auto"/>
        <w:bottom w:val="none" w:sz="0" w:space="0" w:color="auto"/>
        <w:right w:val="none" w:sz="0" w:space="0" w:color="auto"/>
      </w:divBdr>
    </w:div>
    <w:div w:id="1375882942">
      <w:bodyDiv w:val="1"/>
      <w:marLeft w:val="0"/>
      <w:marRight w:val="0"/>
      <w:marTop w:val="0"/>
      <w:marBottom w:val="0"/>
      <w:divBdr>
        <w:top w:val="none" w:sz="0" w:space="0" w:color="auto"/>
        <w:left w:val="none" w:sz="0" w:space="0" w:color="auto"/>
        <w:bottom w:val="none" w:sz="0" w:space="0" w:color="auto"/>
        <w:right w:val="none" w:sz="0" w:space="0" w:color="auto"/>
      </w:divBdr>
    </w:div>
    <w:div w:id="1386877718">
      <w:bodyDiv w:val="1"/>
      <w:marLeft w:val="0"/>
      <w:marRight w:val="0"/>
      <w:marTop w:val="0"/>
      <w:marBottom w:val="0"/>
      <w:divBdr>
        <w:top w:val="none" w:sz="0" w:space="0" w:color="auto"/>
        <w:left w:val="none" w:sz="0" w:space="0" w:color="auto"/>
        <w:bottom w:val="none" w:sz="0" w:space="0" w:color="auto"/>
        <w:right w:val="none" w:sz="0" w:space="0" w:color="auto"/>
      </w:divBdr>
    </w:div>
    <w:div w:id="1420180569">
      <w:bodyDiv w:val="1"/>
      <w:marLeft w:val="0"/>
      <w:marRight w:val="0"/>
      <w:marTop w:val="0"/>
      <w:marBottom w:val="0"/>
      <w:divBdr>
        <w:top w:val="none" w:sz="0" w:space="0" w:color="auto"/>
        <w:left w:val="none" w:sz="0" w:space="0" w:color="auto"/>
        <w:bottom w:val="none" w:sz="0" w:space="0" w:color="auto"/>
        <w:right w:val="none" w:sz="0" w:space="0" w:color="auto"/>
      </w:divBdr>
    </w:div>
    <w:div w:id="1454205736">
      <w:bodyDiv w:val="1"/>
      <w:marLeft w:val="0"/>
      <w:marRight w:val="0"/>
      <w:marTop w:val="0"/>
      <w:marBottom w:val="0"/>
      <w:divBdr>
        <w:top w:val="none" w:sz="0" w:space="0" w:color="auto"/>
        <w:left w:val="none" w:sz="0" w:space="0" w:color="auto"/>
        <w:bottom w:val="none" w:sz="0" w:space="0" w:color="auto"/>
        <w:right w:val="none" w:sz="0" w:space="0" w:color="auto"/>
      </w:divBdr>
    </w:div>
    <w:div w:id="1508128962">
      <w:bodyDiv w:val="1"/>
      <w:marLeft w:val="0"/>
      <w:marRight w:val="0"/>
      <w:marTop w:val="0"/>
      <w:marBottom w:val="0"/>
      <w:divBdr>
        <w:top w:val="none" w:sz="0" w:space="0" w:color="auto"/>
        <w:left w:val="none" w:sz="0" w:space="0" w:color="auto"/>
        <w:bottom w:val="none" w:sz="0" w:space="0" w:color="auto"/>
        <w:right w:val="none" w:sz="0" w:space="0" w:color="auto"/>
      </w:divBdr>
    </w:div>
    <w:div w:id="1536112474">
      <w:bodyDiv w:val="1"/>
      <w:marLeft w:val="0"/>
      <w:marRight w:val="0"/>
      <w:marTop w:val="0"/>
      <w:marBottom w:val="0"/>
      <w:divBdr>
        <w:top w:val="none" w:sz="0" w:space="0" w:color="auto"/>
        <w:left w:val="none" w:sz="0" w:space="0" w:color="auto"/>
        <w:bottom w:val="none" w:sz="0" w:space="0" w:color="auto"/>
        <w:right w:val="none" w:sz="0" w:space="0" w:color="auto"/>
      </w:divBdr>
    </w:div>
    <w:div w:id="1620062903">
      <w:bodyDiv w:val="1"/>
      <w:marLeft w:val="0"/>
      <w:marRight w:val="0"/>
      <w:marTop w:val="0"/>
      <w:marBottom w:val="0"/>
      <w:divBdr>
        <w:top w:val="none" w:sz="0" w:space="0" w:color="auto"/>
        <w:left w:val="none" w:sz="0" w:space="0" w:color="auto"/>
        <w:bottom w:val="none" w:sz="0" w:space="0" w:color="auto"/>
        <w:right w:val="none" w:sz="0" w:space="0" w:color="auto"/>
      </w:divBdr>
    </w:div>
    <w:div w:id="1625110186">
      <w:bodyDiv w:val="1"/>
      <w:marLeft w:val="0"/>
      <w:marRight w:val="0"/>
      <w:marTop w:val="0"/>
      <w:marBottom w:val="0"/>
      <w:divBdr>
        <w:top w:val="none" w:sz="0" w:space="0" w:color="auto"/>
        <w:left w:val="none" w:sz="0" w:space="0" w:color="auto"/>
        <w:bottom w:val="none" w:sz="0" w:space="0" w:color="auto"/>
        <w:right w:val="none" w:sz="0" w:space="0" w:color="auto"/>
      </w:divBdr>
    </w:div>
    <w:div w:id="1626155467">
      <w:bodyDiv w:val="1"/>
      <w:marLeft w:val="0"/>
      <w:marRight w:val="0"/>
      <w:marTop w:val="0"/>
      <w:marBottom w:val="0"/>
      <w:divBdr>
        <w:top w:val="none" w:sz="0" w:space="0" w:color="auto"/>
        <w:left w:val="none" w:sz="0" w:space="0" w:color="auto"/>
        <w:bottom w:val="none" w:sz="0" w:space="0" w:color="auto"/>
        <w:right w:val="none" w:sz="0" w:space="0" w:color="auto"/>
      </w:divBdr>
    </w:div>
    <w:div w:id="1699812794">
      <w:bodyDiv w:val="1"/>
      <w:marLeft w:val="0"/>
      <w:marRight w:val="0"/>
      <w:marTop w:val="0"/>
      <w:marBottom w:val="0"/>
      <w:divBdr>
        <w:top w:val="none" w:sz="0" w:space="0" w:color="auto"/>
        <w:left w:val="none" w:sz="0" w:space="0" w:color="auto"/>
        <w:bottom w:val="none" w:sz="0" w:space="0" w:color="auto"/>
        <w:right w:val="none" w:sz="0" w:space="0" w:color="auto"/>
      </w:divBdr>
    </w:div>
    <w:div w:id="1727725962">
      <w:bodyDiv w:val="1"/>
      <w:marLeft w:val="0"/>
      <w:marRight w:val="0"/>
      <w:marTop w:val="0"/>
      <w:marBottom w:val="0"/>
      <w:divBdr>
        <w:top w:val="none" w:sz="0" w:space="0" w:color="auto"/>
        <w:left w:val="none" w:sz="0" w:space="0" w:color="auto"/>
        <w:bottom w:val="none" w:sz="0" w:space="0" w:color="auto"/>
        <w:right w:val="none" w:sz="0" w:space="0" w:color="auto"/>
      </w:divBdr>
    </w:div>
    <w:div w:id="1746340471">
      <w:bodyDiv w:val="1"/>
      <w:marLeft w:val="0"/>
      <w:marRight w:val="0"/>
      <w:marTop w:val="0"/>
      <w:marBottom w:val="0"/>
      <w:divBdr>
        <w:top w:val="none" w:sz="0" w:space="0" w:color="auto"/>
        <w:left w:val="none" w:sz="0" w:space="0" w:color="auto"/>
        <w:bottom w:val="none" w:sz="0" w:space="0" w:color="auto"/>
        <w:right w:val="none" w:sz="0" w:space="0" w:color="auto"/>
      </w:divBdr>
      <w:divsChild>
        <w:div w:id="110054160">
          <w:marLeft w:val="0"/>
          <w:marRight w:val="0"/>
          <w:marTop w:val="0"/>
          <w:marBottom w:val="0"/>
          <w:divBdr>
            <w:top w:val="single" w:sz="6" w:space="12" w:color="CCCCCC"/>
            <w:left w:val="single" w:sz="6" w:space="12" w:color="CCCCCC"/>
            <w:bottom w:val="single" w:sz="6" w:space="12" w:color="CCCCCC"/>
            <w:right w:val="single" w:sz="6" w:space="12" w:color="CCCCCC"/>
          </w:divBdr>
          <w:divsChild>
            <w:div w:id="639384377">
              <w:marLeft w:val="0"/>
              <w:marRight w:val="0"/>
              <w:marTop w:val="0"/>
              <w:marBottom w:val="0"/>
              <w:divBdr>
                <w:top w:val="none" w:sz="0" w:space="0" w:color="auto"/>
                <w:left w:val="none" w:sz="0" w:space="0" w:color="auto"/>
                <w:bottom w:val="none" w:sz="0" w:space="0" w:color="auto"/>
                <w:right w:val="none" w:sz="0" w:space="0" w:color="auto"/>
              </w:divBdr>
              <w:divsChild>
                <w:div w:id="1848977658">
                  <w:marLeft w:val="0"/>
                  <w:marRight w:val="0"/>
                  <w:marTop w:val="0"/>
                  <w:marBottom w:val="0"/>
                  <w:divBdr>
                    <w:top w:val="none" w:sz="0" w:space="0" w:color="auto"/>
                    <w:left w:val="none" w:sz="0" w:space="0" w:color="auto"/>
                    <w:bottom w:val="none" w:sz="0" w:space="0" w:color="auto"/>
                    <w:right w:val="none" w:sz="0" w:space="0" w:color="auto"/>
                  </w:divBdr>
                  <w:divsChild>
                    <w:div w:id="1244418450">
                      <w:marLeft w:val="0"/>
                      <w:marRight w:val="0"/>
                      <w:marTop w:val="0"/>
                      <w:marBottom w:val="0"/>
                      <w:divBdr>
                        <w:top w:val="none" w:sz="0" w:space="0" w:color="auto"/>
                        <w:left w:val="none" w:sz="0" w:space="0" w:color="auto"/>
                        <w:bottom w:val="none" w:sz="0" w:space="0" w:color="auto"/>
                        <w:right w:val="none" w:sz="0" w:space="0" w:color="auto"/>
                      </w:divBdr>
                      <w:divsChild>
                        <w:div w:id="867909064">
                          <w:marLeft w:val="0"/>
                          <w:marRight w:val="0"/>
                          <w:marTop w:val="0"/>
                          <w:marBottom w:val="0"/>
                          <w:divBdr>
                            <w:top w:val="none" w:sz="0" w:space="0" w:color="auto"/>
                            <w:left w:val="none" w:sz="0" w:space="0" w:color="auto"/>
                            <w:bottom w:val="none" w:sz="0" w:space="0" w:color="auto"/>
                            <w:right w:val="none" w:sz="0" w:space="0" w:color="auto"/>
                          </w:divBdr>
                        </w:div>
                        <w:div w:id="183587339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20770">
          <w:marLeft w:val="0"/>
          <w:marRight w:val="0"/>
          <w:marTop w:val="0"/>
          <w:marBottom w:val="600"/>
          <w:divBdr>
            <w:top w:val="none" w:sz="0" w:space="0" w:color="auto"/>
            <w:left w:val="none" w:sz="0" w:space="0" w:color="auto"/>
            <w:bottom w:val="none" w:sz="0" w:space="0" w:color="auto"/>
            <w:right w:val="none" w:sz="0" w:space="0" w:color="auto"/>
          </w:divBdr>
        </w:div>
      </w:divsChild>
    </w:div>
    <w:div w:id="1749422779">
      <w:bodyDiv w:val="1"/>
      <w:marLeft w:val="0"/>
      <w:marRight w:val="0"/>
      <w:marTop w:val="0"/>
      <w:marBottom w:val="0"/>
      <w:divBdr>
        <w:top w:val="none" w:sz="0" w:space="0" w:color="auto"/>
        <w:left w:val="none" w:sz="0" w:space="0" w:color="auto"/>
        <w:bottom w:val="none" w:sz="0" w:space="0" w:color="auto"/>
        <w:right w:val="none" w:sz="0" w:space="0" w:color="auto"/>
      </w:divBdr>
    </w:div>
    <w:div w:id="1794862363">
      <w:bodyDiv w:val="1"/>
      <w:marLeft w:val="0"/>
      <w:marRight w:val="0"/>
      <w:marTop w:val="0"/>
      <w:marBottom w:val="0"/>
      <w:divBdr>
        <w:top w:val="none" w:sz="0" w:space="0" w:color="auto"/>
        <w:left w:val="none" w:sz="0" w:space="0" w:color="auto"/>
        <w:bottom w:val="none" w:sz="0" w:space="0" w:color="auto"/>
        <w:right w:val="none" w:sz="0" w:space="0" w:color="auto"/>
      </w:divBdr>
    </w:div>
    <w:div w:id="1830050859">
      <w:bodyDiv w:val="1"/>
      <w:marLeft w:val="0"/>
      <w:marRight w:val="0"/>
      <w:marTop w:val="0"/>
      <w:marBottom w:val="0"/>
      <w:divBdr>
        <w:top w:val="none" w:sz="0" w:space="0" w:color="auto"/>
        <w:left w:val="none" w:sz="0" w:space="0" w:color="auto"/>
        <w:bottom w:val="none" w:sz="0" w:space="0" w:color="auto"/>
        <w:right w:val="none" w:sz="0" w:space="0" w:color="auto"/>
      </w:divBdr>
    </w:div>
    <w:div w:id="1855652419">
      <w:bodyDiv w:val="1"/>
      <w:marLeft w:val="0"/>
      <w:marRight w:val="0"/>
      <w:marTop w:val="0"/>
      <w:marBottom w:val="0"/>
      <w:divBdr>
        <w:top w:val="none" w:sz="0" w:space="0" w:color="auto"/>
        <w:left w:val="none" w:sz="0" w:space="0" w:color="auto"/>
        <w:bottom w:val="none" w:sz="0" w:space="0" w:color="auto"/>
        <w:right w:val="none" w:sz="0" w:space="0" w:color="auto"/>
      </w:divBdr>
    </w:div>
    <w:div w:id="1873305118">
      <w:bodyDiv w:val="1"/>
      <w:marLeft w:val="0"/>
      <w:marRight w:val="0"/>
      <w:marTop w:val="0"/>
      <w:marBottom w:val="0"/>
      <w:divBdr>
        <w:top w:val="none" w:sz="0" w:space="0" w:color="auto"/>
        <w:left w:val="none" w:sz="0" w:space="0" w:color="auto"/>
        <w:bottom w:val="none" w:sz="0" w:space="0" w:color="auto"/>
        <w:right w:val="none" w:sz="0" w:space="0" w:color="auto"/>
      </w:divBdr>
    </w:div>
    <w:div w:id="1910268405">
      <w:bodyDiv w:val="1"/>
      <w:marLeft w:val="0"/>
      <w:marRight w:val="0"/>
      <w:marTop w:val="0"/>
      <w:marBottom w:val="0"/>
      <w:divBdr>
        <w:top w:val="none" w:sz="0" w:space="0" w:color="auto"/>
        <w:left w:val="none" w:sz="0" w:space="0" w:color="auto"/>
        <w:bottom w:val="none" w:sz="0" w:space="0" w:color="auto"/>
        <w:right w:val="none" w:sz="0" w:space="0" w:color="auto"/>
      </w:divBdr>
    </w:div>
    <w:div w:id="1948266788">
      <w:bodyDiv w:val="1"/>
      <w:marLeft w:val="0"/>
      <w:marRight w:val="0"/>
      <w:marTop w:val="0"/>
      <w:marBottom w:val="0"/>
      <w:divBdr>
        <w:top w:val="none" w:sz="0" w:space="0" w:color="auto"/>
        <w:left w:val="none" w:sz="0" w:space="0" w:color="auto"/>
        <w:bottom w:val="none" w:sz="0" w:space="0" w:color="auto"/>
        <w:right w:val="none" w:sz="0" w:space="0" w:color="auto"/>
      </w:divBdr>
    </w:div>
    <w:div w:id="1956020122">
      <w:bodyDiv w:val="1"/>
      <w:marLeft w:val="0"/>
      <w:marRight w:val="0"/>
      <w:marTop w:val="0"/>
      <w:marBottom w:val="0"/>
      <w:divBdr>
        <w:top w:val="none" w:sz="0" w:space="0" w:color="auto"/>
        <w:left w:val="none" w:sz="0" w:space="0" w:color="auto"/>
        <w:bottom w:val="none" w:sz="0" w:space="0" w:color="auto"/>
        <w:right w:val="none" w:sz="0" w:space="0" w:color="auto"/>
      </w:divBdr>
    </w:div>
    <w:div w:id="1968002413">
      <w:bodyDiv w:val="1"/>
      <w:marLeft w:val="0"/>
      <w:marRight w:val="0"/>
      <w:marTop w:val="0"/>
      <w:marBottom w:val="0"/>
      <w:divBdr>
        <w:top w:val="none" w:sz="0" w:space="0" w:color="auto"/>
        <w:left w:val="none" w:sz="0" w:space="0" w:color="auto"/>
        <w:bottom w:val="none" w:sz="0" w:space="0" w:color="auto"/>
        <w:right w:val="none" w:sz="0" w:space="0" w:color="auto"/>
      </w:divBdr>
    </w:div>
    <w:div w:id="2027753504">
      <w:bodyDiv w:val="1"/>
      <w:marLeft w:val="0"/>
      <w:marRight w:val="0"/>
      <w:marTop w:val="0"/>
      <w:marBottom w:val="0"/>
      <w:divBdr>
        <w:top w:val="none" w:sz="0" w:space="0" w:color="auto"/>
        <w:left w:val="none" w:sz="0" w:space="0" w:color="auto"/>
        <w:bottom w:val="none" w:sz="0" w:space="0" w:color="auto"/>
        <w:right w:val="none" w:sz="0" w:space="0" w:color="auto"/>
      </w:divBdr>
    </w:div>
    <w:div w:id="2107310195">
      <w:bodyDiv w:val="1"/>
      <w:marLeft w:val="0"/>
      <w:marRight w:val="0"/>
      <w:marTop w:val="0"/>
      <w:marBottom w:val="0"/>
      <w:divBdr>
        <w:top w:val="none" w:sz="0" w:space="0" w:color="auto"/>
        <w:left w:val="none" w:sz="0" w:space="0" w:color="auto"/>
        <w:bottom w:val="none" w:sz="0" w:space="0" w:color="auto"/>
        <w:right w:val="none" w:sz="0" w:space="0" w:color="auto"/>
      </w:divBdr>
    </w:div>
    <w:div w:id="211740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0.emf"/><Relationship Id="rId30" Type="http://schemas.openxmlformats.org/officeDocument/2006/relationships/hyperlink" Target="https://power.larc.nasa.gov"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yinl\Documents\Custom%20Office%20Templates\Citation%20Movie%20Review%20Oy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A067E-799D-428E-A61B-131460E26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Citation Movie Review Oyin</Template>
  <TotalTime>0</TotalTime>
  <Pages>14</Pages>
  <Words>42094</Words>
  <Characters>235451</Characters>
  <Application>Microsoft Office Word</Application>
  <DocSecurity>0</DocSecurity>
  <Lines>6591</Lines>
  <Paragraphs>3314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Hoyenhoney</dc:creator>
  <cp:keywords/>
  <dc:description/>
  <cp:lastModifiedBy>tunde.intel@gmail.com</cp:lastModifiedBy>
  <cp:revision>4</cp:revision>
  <cp:lastPrinted>2022-08-03T22:56:00Z</cp:lastPrinted>
  <dcterms:created xsi:type="dcterms:W3CDTF">2022-08-04T10:16:00Z</dcterms:created>
  <dcterms:modified xsi:type="dcterms:W3CDTF">2022-10-31T08:54:00Z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491455d5-4a78-3c42-ab87-47ef74cc0caf</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http://www.zotero.org/styles/apa-5th-edition</vt:lpwstr>
  </property>
  <property fmtid="{D5CDD505-2E9C-101B-9397-08002B2CF9AE}" pid="8" name="Mendeley Recent Style Name 1_1">
    <vt:lpwstr>American Psychological Association 5th edition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f419d69c09f16257535fcfe189088fd8df5d948453206ee2a97c4016585a7e67</vt:lpwstr>
  </property>
</Properties>
</file>