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AC4" w:rsidRDefault="00B11CCA">
      <w:pPr>
        <w:spacing w:line="256" w:lineRule="auto"/>
        <w:ind w:right="185"/>
        <w:jc w:val="center"/>
        <w:rPr>
          <w:b/>
          <w:sz w:val="44"/>
          <w:szCs w:val="44"/>
        </w:rPr>
      </w:pPr>
      <w:bookmarkStart w:id="0" w:name="_GoBack"/>
      <w:bookmarkEnd w:id="0"/>
      <w:r>
        <w:rPr>
          <w:b/>
          <w:bCs/>
          <w:noProof/>
          <w:sz w:val="32"/>
          <w:szCs w:val="32"/>
          <w:lang w:val="en-US"/>
        </w:rPr>
        <w:drawing>
          <wp:anchor distT="0" distB="0" distL="0" distR="0" simplePos="0" relativeHeight="4" behindDoc="0" locked="0" layoutInCell="1" allowOverlap="1">
            <wp:simplePos x="0" y="0"/>
            <wp:positionH relativeFrom="column">
              <wp:posOffset>981488</wp:posOffset>
            </wp:positionH>
            <wp:positionV relativeFrom="paragraph">
              <wp:posOffset>-304800</wp:posOffset>
            </wp:positionV>
            <wp:extent cx="2947847" cy="1240404"/>
            <wp:effectExtent l="0" t="0" r="5080" b="0"/>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2947847" cy="1240404"/>
                    </a:xfrm>
                    <a:prstGeom prst="rect">
                      <a:avLst/>
                    </a:prstGeom>
                  </pic:spPr>
                </pic:pic>
              </a:graphicData>
            </a:graphic>
            <wp14:sizeRelH relativeFrom="margin">
              <wp14:pctWidth>0</wp14:pctWidth>
            </wp14:sizeRelH>
            <wp14:sizeRelV relativeFrom="margin">
              <wp14:pctHeight>0</wp14:pctHeight>
            </wp14:sizeRelV>
          </wp:anchor>
        </w:drawing>
      </w:r>
    </w:p>
    <w:p w:rsidR="00FA1AC4" w:rsidRDefault="00FA1AC4">
      <w:pPr>
        <w:spacing w:line="256" w:lineRule="auto"/>
        <w:ind w:right="185"/>
        <w:jc w:val="center"/>
        <w:rPr>
          <w:b/>
          <w:sz w:val="44"/>
          <w:szCs w:val="44"/>
        </w:rPr>
      </w:pPr>
    </w:p>
    <w:p w:rsidR="00FA1AC4" w:rsidRDefault="00FA1AC4">
      <w:pPr>
        <w:spacing w:line="256" w:lineRule="auto"/>
        <w:ind w:right="185"/>
        <w:jc w:val="center"/>
        <w:rPr>
          <w:b/>
          <w:sz w:val="44"/>
          <w:szCs w:val="44"/>
        </w:rPr>
      </w:pPr>
    </w:p>
    <w:p w:rsidR="00FA1AC4" w:rsidRDefault="00FA1AC4">
      <w:pPr>
        <w:spacing w:line="256" w:lineRule="auto"/>
        <w:ind w:right="185"/>
        <w:jc w:val="center"/>
        <w:rPr>
          <w:b/>
          <w:sz w:val="44"/>
          <w:szCs w:val="44"/>
        </w:rPr>
      </w:pPr>
    </w:p>
    <w:p w:rsidR="00FA1AC4" w:rsidRDefault="00B11CCA">
      <w:pPr>
        <w:spacing w:line="256" w:lineRule="auto"/>
        <w:ind w:right="185"/>
        <w:jc w:val="center"/>
      </w:pPr>
      <w:r>
        <w:rPr>
          <w:b/>
          <w:sz w:val="44"/>
          <w:szCs w:val="44"/>
        </w:rPr>
        <w:t>Audit Committee, Internal Control and Financial Reporting Quality of Listed Service Companies in Nigeria</w:t>
      </w:r>
    </w:p>
    <w:p w:rsidR="00FA1AC4" w:rsidRDefault="00FA1AC4">
      <w:pPr>
        <w:spacing w:line="360" w:lineRule="auto"/>
        <w:ind w:right="53"/>
        <w:jc w:val="center"/>
        <w:rPr>
          <w:b/>
          <w:sz w:val="36"/>
          <w:szCs w:val="36"/>
        </w:rPr>
      </w:pPr>
    </w:p>
    <w:p w:rsidR="00FA1AC4" w:rsidRDefault="00FA1AC4">
      <w:pPr>
        <w:spacing w:line="360" w:lineRule="auto"/>
        <w:ind w:right="53"/>
        <w:jc w:val="center"/>
        <w:rPr>
          <w:b/>
          <w:sz w:val="36"/>
          <w:szCs w:val="36"/>
        </w:rPr>
      </w:pPr>
    </w:p>
    <w:p w:rsidR="00FA1AC4" w:rsidRDefault="00FA1AC4">
      <w:pPr>
        <w:spacing w:line="360" w:lineRule="auto"/>
        <w:ind w:right="53"/>
        <w:jc w:val="center"/>
        <w:rPr>
          <w:b/>
          <w:sz w:val="36"/>
          <w:szCs w:val="36"/>
        </w:rPr>
      </w:pPr>
    </w:p>
    <w:p w:rsidR="00FA1AC4" w:rsidRDefault="00B11CCA">
      <w:pPr>
        <w:spacing w:line="360" w:lineRule="auto"/>
        <w:ind w:right="53"/>
        <w:jc w:val="center"/>
        <w:rPr>
          <w:b/>
          <w:sz w:val="36"/>
          <w:szCs w:val="36"/>
        </w:rPr>
      </w:pPr>
      <w:r>
        <w:rPr>
          <w:b/>
          <w:sz w:val="36"/>
          <w:szCs w:val="36"/>
        </w:rPr>
        <w:t>By</w:t>
      </w:r>
    </w:p>
    <w:p w:rsidR="00FA1AC4" w:rsidRDefault="00B11CCA">
      <w:pPr>
        <w:spacing w:line="360" w:lineRule="auto"/>
        <w:jc w:val="center"/>
        <w:rPr>
          <w:b/>
          <w:sz w:val="44"/>
          <w:szCs w:val="44"/>
        </w:rPr>
      </w:pPr>
      <w:r>
        <w:rPr>
          <w:b/>
          <w:sz w:val="36"/>
          <w:szCs w:val="36"/>
        </w:rPr>
        <w:t xml:space="preserve">AKANDE Faith Yetunde </w:t>
      </w:r>
    </w:p>
    <w:p w:rsidR="00FA1AC4" w:rsidRDefault="00B11CCA">
      <w:pPr>
        <w:spacing w:line="360" w:lineRule="auto"/>
        <w:jc w:val="center"/>
        <w:rPr>
          <w:b/>
          <w:sz w:val="40"/>
          <w:szCs w:val="40"/>
        </w:rPr>
      </w:pPr>
      <w:r>
        <w:rPr>
          <w:b/>
          <w:sz w:val="40"/>
          <w:szCs w:val="40"/>
        </w:rPr>
        <w:t>(20PGDA000104)</w:t>
      </w:r>
    </w:p>
    <w:p w:rsidR="00FA1AC4" w:rsidRDefault="00FA1AC4">
      <w:pPr>
        <w:spacing w:line="360" w:lineRule="auto"/>
        <w:rPr>
          <w:b/>
          <w:sz w:val="36"/>
          <w:szCs w:val="36"/>
        </w:rPr>
      </w:pPr>
    </w:p>
    <w:p w:rsidR="00FA1AC4" w:rsidRDefault="00FA1AC4">
      <w:pPr>
        <w:spacing w:line="360" w:lineRule="auto"/>
        <w:rPr>
          <w:b/>
          <w:sz w:val="36"/>
          <w:szCs w:val="36"/>
        </w:rPr>
      </w:pPr>
    </w:p>
    <w:p w:rsidR="00FA1AC4" w:rsidRDefault="00B11CCA">
      <w:pPr>
        <w:spacing w:line="256" w:lineRule="auto"/>
        <w:ind w:left="10" w:right="265"/>
        <w:jc w:val="center"/>
        <w:rPr>
          <w:b/>
          <w:sz w:val="36"/>
          <w:szCs w:val="36"/>
        </w:rPr>
      </w:pPr>
      <w:r>
        <w:rPr>
          <w:b/>
          <w:sz w:val="36"/>
          <w:szCs w:val="36"/>
        </w:rPr>
        <w:t>An M. Sc Dissertation Submitted to the</w:t>
      </w:r>
    </w:p>
    <w:p w:rsidR="00FA1AC4" w:rsidRDefault="00B11CCA">
      <w:pPr>
        <w:spacing w:line="240" w:lineRule="auto"/>
        <w:jc w:val="center"/>
        <w:rPr>
          <w:b/>
          <w:sz w:val="36"/>
          <w:szCs w:val="36"/>
        </w:rPr>
      </w:pPr>
      <w:r>
        <w:rPr>
          <w:b/>
          <w:sz w:val="36"/>
          <w:szCs w:val="36"/>
        </w:rPr>
        <w:t>Department of Accounting and Finance Landmark University, Omu-Aran. In Partial Fulfilment of the Requirements for the Award of Masters Degree in Accounting</w:t>
      </w:r>
    </w:p>
    <w:p w:rsidR="00FA1AC4" w:rsidRDefault="00B11CCA">
      <w:pPr>
        <w:spacing w:line="360" w:lineRule="auto"/>
        <w:ind w:right="185"/>
      </w:pPr>
      <w:r>
        <w:rPr>
          <w:b/>
          <w:sz w:val="28"/>
        </w:rPr>
        <w:t xml:space="preserve">  </w:t>
      </w:r>
    </w:p>
    <w:p w:rsidR="00FA1AC4" w:rsidRDefault="00FA1AC4">
      <w:pPr>
        <w:spacing w:line="360" w:lineRule="auto"/>
        <w:ind w:right="185"/>
        <w:jc w:val="center"/>
        <w:rPr>
          <w:b/>
          <w:sz w:val="36"/>
          <w:szCs w:val="36"/>
        </w:rPr>
      </w:pPr>
    </w:p>
    <w:p w:rsidR="00FA1AC4" w:rsidRDefault="00B11CCA">
      <w:pPr>
        <w:spacing w:line="360" w:lineRule="auto"/>
        <w:ind w:right="185"/>
        <w:jc w:val="center"/>
        <w:rPr>
          <w:sz w:val="32"/>
          <w:szCs w:val="32"/>
        </w:rPr>
      </w:pPr>
      <w:r>
        <w:rPr>
          <w:b/>
          <w:sz w:val="32"/>
          <w:szCs w:val="32"/>
        </w:rPr>
        <w:t>August, 2022</w:t>
      </w:r>
    </w:p>
    <w:p w:rsidR="00FA1AC4" w:rsidRDefault="00B11CCA">
      <w:pPr>
        <w:pStyle w:val="Heading1"/>
      </w:pPr>
      <w:r>
        <w:rPr>
          <w:rStyle w:val="15"/>
          <w:rFonts w:ascii="Times New Roman" w:eastAsia="Calibri" w:hAnsi="Times New Roman"/>
          <w:b w:val="0"/>
        </w:rPr>
        <w:br w:type="page"/>
      </w:r>
      <w:bookmarkStart w:id="1" w:name="_Toc112342324"/>
      <w:r>
        <w:lastRenderedPageBreak/>
        <w:t>DECLARATION</w:t>
      </w:r>
      <w:bookmarkEnd w:id="1"/>
    </w:p>
    <w:p w:rsidR="00FA1AC4" w:rsidRDefault="00FA1AC4">
      <w:pPr>
        <w:ind w:right="185"/>
        <w:rPr>
          <w:b/>
        </w:rPr>
      </w:pPr>
    </w:p>
    <w:p w:rsidR="00FA1AC4" w:rsidRDefault="00B11CCA">
      <w:pPr>
        <w:ind w:right="185"/>
      </w:pPr>
      <w:r>
        <w:rPr>
          <w:bCs/>
          <w:kern w:val="32"/>
          <w:lang w:eastAsia="zh-CN"/>
        </w:rPr>
        <w:t xml:space="preserve">I, </w:t>
      </w:r>
      <w:r>
        <w:rPr>
          <w:b/>
        </w:rPr>
        <w:t>Faith Yetunde AKANDE,</w:t>
      </w:r>
      <w:r>
        <w:rPr>
          <w:bCs/>
          <w:kern w:val="32"/>
          <w:lang w:eastAsia="zh-CN"/>
        </w:rPr>
        <w:t xml:space="preserve"> a Masters Degree student in the</w:t>
      </w:r>
      <w:r>
        <w:rPr>
          <w:b/>
          <w:bCs/>
          <w:i/>
          <w:kern w:val="32"/>
          <w:lang w:eastAsia="zh-CN"/>
        </w:rPr>
        <w:t xml:space="preserve"> </w:t>
      </w:r>
      <w:r>
        <w:rPr>
          <w:b/>
          <w:bCs/>
          <w:kern w:val="32"/>
          <w:lang w:eastAsia="zh-CN"/>
        </w:rPr>
        <w:t>Department of</w:t>
      </w:r>
      <w:r>
        <w:rPr>
          <w:b/>
          <w:bCs/>
          <w:i/>
          <w:kern w:val="32"/>
          <w:lang w:eastAsia="zh-CN"/>
        </w:rPr>
        <w:t xml:space="preserve"> </w:t>
      </w:r>
      <w:r>
        <w:rPr>
          <w:b/>
        </w:rPr>
        <w:t>Accounting and Finance</w:t>
      </w:r>
      <w:r>
        <w:rPr>
          <w:bCs/>
          <w:kern w:val="32"/>
          <w:lang w:eastAsia="zh-CN"/>
        </w:rPr>
        <w:t xml:space="preserve"> Landmark University, Omu-Aran, hereby declare that this dissertation entitled “</w:t>
      </w:r>
      <w:r>
        <w:rPr>
          <w:b/>
        </w:rPr>
        <w:t>Audit Committee, Internal Control and Financial Reporting Quality of Listed Service Firms in Nigeria</w:t>
      </w:r>
      <w:r>
        <w:rPr>
          <w:bCs/>
          <w:kern w:val="32"/>
          <w:lang w:eastAsia="zh-CN"/>
        </w:rPr>
        <w:t>”, submitted by me is based on my original work. Any material(s) obtained from other sources or work done by any other persons or institutions have been duly acknowledged.</w:t>
      </w:r>
    </w:p>
    <w:p w:rsidR="00FA1AC4" w:rsidRDefault="00B11CCA">
      <w:pPr>
        <w:rPr>
          <w:bCs/>
          <w:kern w:val="32"/>
          <w:lang w:eastAsia="zh-CN"/>
        </w:rPr>
      </w:pPr>
      <w:r>
        <w:rPr>
          <w:bCs/>
          <w:kern w:val="32"/>
          <w:lang w:eastAsia="zh-CN"/>
        </w:rPr>
        <w:t xml:space="preserve"> </w:t>
      </w:r>
    </w:p>
    <w:p w:rsidR="00FA1AC4" w:rsidRDefault="00B11CCA">
      <w:pPr>
        <w:rPr>
          <w:bCs/>
          <w:kern w:val="32"/>
          <w:lang w:eastAsia="zh-CN"/>
        </w:rPr>
      </w:pPr>
      <w:r>
        <w:rPr>
          <w:bCs/>
          <w:kern w:val="32"/>
          <w:lang w:eastAsia="zh-CN"/>
        </w:rPr>
        <w:t xml:space="preserve"> </w:t>
      </w:r>
    </w:p>
    <w:p w:rsidR="00FA1AC4" w:rsidRDefault="00B11CCA">
      <w:pPr>
        <w:rPr>
          <w:bCs/>
          <w:kern w:val="32"/>
          <w:lang w:eastAsia="zh-CN"/>
        </w:rPr>
      </w:pPr>
      <w:r>
        <w:rPr>
          <w:bCs/>
          <w:kern w:val="32"/>
          <w:lang w:eastAsia="zh-CN"/>
        </w:rPr>
        <w:t>----------------------------------------------</w:t>
      </w:r>
    </w:p>
    <w:p w:rsidR="00FA1AC4" w:rsidRDefault="00B11CCA">
      <w:pPr>
        <w:rPr>
          <w:b/>
        </w:rPr>
      </w:pPr>
      <w:r>
        <w:rPr>
          <w:b/>
        </w:rPr>
        <w:t>AKANDE Faith Yetunde</w:t>
      </w:r>
    </w:p>
    <w:p w:rsidR="00FA1AC4" w:rsidRDefault="00B11CCA">
      <w:pPr>
        <w:rPr>
          <w:b/>
        </w:rPr>
      </w:pPr>
      <w:r>
        <w:rPr>
          <w:b/>
        </w:rPr>
        <w:t xml:space="preserve">     (20PGDA000104)</w:t>
      </w:r>
    </w:p>
    <w:p w:rsidR="00FA1AC4" w:rsidRDefault="00FA1AC4">
      <w:pPr>
        <w:rPr>
          <w:b/>
        </w:rPr>
      </w:pPr>
    </w:p>
    <w:p w:rsidR="00FA1AC4" w:rsidRDefault="00FA1AC4">
      <w:pPr>
        <w:rPr>
          <w:bCs/>
          <w:kern w:val="32"/>
          <w:lang w:eastAsia="zh-CN"/>
        </w:rPr>
      </w:pPr>
    </w:p>
    <w:p w:rsidR="00FA1AC4" w:rsidRDefault="00B11CCA">
      <w:pPr>
        <w:rPr>
          <w:bCs/>
          <w:kern w:val="32"/>
          <w:lang w:eastAsia="zh-CN"/>
        </w:rPr>
      </w:pPr>
      <w:r>
        <w:rPr>
          <w:bCs/>
          <w:kern w:val="32"/>
          <w:lang w:eastAsia="zh-CN"/>
        </w:rPr>
        <w:t xml:space="preserve"> </w:t>
      </w:r>
    </w:p>
    <w:p w:rsidR="00FA1AC4" w:rsidRDefault="00B11CCA">
      <w:pPr>
        <w:rPr>
          <w:bCs/>
          <w:kern w:val="32"/>
          <w:lang w:eastAsia="zh-CN"/>
        </w:rPr>
      </w:pPr>
      <w:r>
        <w:rPr>
          <w:bCs/>
          <w:kern w:val="32"/>
          <w:lang w:eastAsia="zh-CN"/>
        </w:rPr>
        <w:t>----------------------------------------------</w:t>
      </w:r>
    </w:p>
    <w:p w:rsidR="00FA1AC4" w:rsidRDefault="00B11CCA">
      <w:pPr>
        <w:rPr>
          <w:b/>
          <w:bCs/>
          <w:kern w:val="32"/>
          <w:lang w:eastAsia="zh-CN"/>
        </w:rPr>
      </w:pPr>
      <w:r>
        <w:rPr>
          <w:b/>
          <w:bCs/>
          <w:kern w:val="32"/>
          <w:lang w:eastAsia="zh-CN"/>
        </w:rPr>
        <w:t>Signature &amp; Date</w:t>
      </w:r>
    </w:p>
    <w:p w:rsidR="00FA1AC4" w:rsidRDefault="00B11CCA">
      <w:pPr>
        <w:rPr>
          <w:bCs/>
          <w:kern w:val="32"/>
          <w:lang w:eastAsia="zh-CN"/>
        </w:rPr>
      </w:pPr>
      <w:r>
        <w:rPr>
          <w:bCs/>
          <w:kern w:val="32"/>
          <w:lang w:eastAsia="zh-CN"/>
        </w:rPr>
        <w:t xml:space="preserve"> </w:t>
      </w:r>
    </w:p>
    <w:p w:rsidR="00FA1AC4" w:rsidRDefault="00FA1AC4">
      <w:pPr>
        <w:rPr>
          <w:bCs/>
          <w:kern w:val="32"/>
          <w:lang w:eastAsia="zh-CN"/>
        </w:rPr>
      </w:pPr>
    </w:p>
    <w:p w:rsidR="00FA1AC4" w:rsidRDefault="00FA1AC4">
      <w:pPr>
        <w:rPr>
          <w:bCs/>
          <w:kern w:val="32"/>
          <w:lang w:eastAsia="zh-CN"/>
        </w:rPr>
      </w:pPr>
    </w:p>
    <w:p w:rsidR="00FA1AC4" w:rsidRDefault="00FA1AC4">
      <w:pPr>
        <w:rPr>
          <w:bCs/>
          <w:kern w:val="32"/>
          <w:lang w:eastAsia="zh-CN"/>
        </w:rPr>
      </w:pPr>
    </w:p>
    <w:p w:rsidR="00FA1AC4" w:rsidRDefault="00B11CCA">
      <w:pPr>
        <w:pStyle w:val="Heading1"/>
      </w:pPr>
      <w:bookmarkStart w:id="2" w:name="_Toc112342325"/>
      <w:r>
        <w:lastRenderedPageBreak/>
        <w:t>CERTIFICATION</w:t>
      </w:r>
      <w:bookmarkEnd w:id="2"/>
    </w:p>
    <w:p w:rsidR="00FA1AC4" w:rsidRDefault="00FA1AC4">
      <w:pPr>
        <w:rPr>
          <w:bCs/>
          <w:kern w:val="32"/>
          <w:lang w:eastAsia="zh-CN"/>
        </w:rPr>
      </w:pPr>
    </w:p>
    <w:p w:rsidR="00FA1AC4" w:rsidRDefault="00B11CCA">
      <w:pPr>
        <w:ind w:right="6"/>
      </w:pPr>
      <w:r>
        <w:t xml:space="preserve">This is to certify that this thesis has been read and approved as meeting the requirements of the </w:t>
      </w:r>
      <w:r>
        <w:rPr>
          <w:b/>
          <w:bCs/>
          <w:i/>
          <w:kern w:val="32"/>
          <w:lang w:eastAsia="zh-CN"/>
        </w:rPr>
        <w:t xml:space="preserve">Department of </w:t>
      </w:r>
      <w:r>
        <w:rPr>
          <w:b/>
        </w:rPr>
        <w:t>Accounting and Finance,</w:t>
      </w:r>
      <w:r>
        <w:rPr>
          <w:bCs/>
          <w:kern w:val="32"/>
          <w:lang w:eastAsia="zh-CN"/>
        </w:rPr>
        <w:t xml:space="preserve"> </w:t>
      </w:r>
      <w:r>
        <w:t xml:space="preserve">Landmark University, Omu-Aran, Nigeria, for the Award of </w:t>
      </w:r>
      <w:r>
        <w:rPr>
          <w:bCs/>
          <w:kern w:val="32"/>
          <w:lang w:eastAsia="zh-CN"/>
        </w:rPr>
        <w:t>Master Degree.</w:t>
      </w:r>
    </w:p>
    <w:p w:rsidR="00FA1AC4" w:rsidRDefault="00FA1AC4">
      <w:pPr>
        <w:spacing w:line="200" w:lineRule="exact"/>
      </w:pPr>
    </w:p>
    <w:p w:rsidR="00FA1AC4" w:rsidRDefault="00FA1AC4">
      <w:pPr>
        <w:spacing w:line="200" w:lineRule="exact"/>
      </w:pPr>
    </w:p>
    <w:p w:rsidR="00FA1AC4" w:rsidRDefault="00FA1AC4">
      <w:pPr>
        <w:spacing w:line="200" w:lineRule="exact"/>
      </w:pPr>
    </w:p>
    <w:p w:rsidR="00FA1AC4" w:rsidRDefault="00FA1AC4">
      <w:pPr>
        <w:spacing w:line="200" w:lineRule="exact"/>
      </w:pPr>
    </w:p>
    <w:p w:rsidR="00FA1AC4" w:rsidRDefault="00FA1AC4">
      <w:pPr>
        <w:spacing w:line="362" w:lineRule="exact"/>
      </w:pPr>
    </w:p>
    <w:tbl>
      <w:tblPr>
        <w:tblW w:w="9639" w:type="dxa"/>
        <w:tblLayout w:type="fixed"/>
        <w:tblCellMar>
          <w:left w:w="0" w:type="dxa"/>
          <w:right w:w="0" w:type="dxa"/>
        </w:tblCellMar>
        <w:tblLook w:val="0000" w:firstRow="0" w:lastRow="0" w:firstColumn="0" w:lastColumn="0" w:noHBand="0" w:noVBand="0"/>
      </w:tblPr>
      <w:tblGrid>
        <w:gridCol w:w="9639"/>
      </w:tblGrid>
      <w:tr w:rsidR="00FA1AC4">
        <w:trPr>
          <w:trHeight w:val="5741"/>
        </w:trPr>
        <w:tc>
          <w:tcPr>
            <w:tcW w:w="9639" w:type="dxa"/>
            <w:shd w:val="clear" w:color="auto" w:fill="auto"/>
            <w:vAlign w:val="bottom"/>
          </w:tcPr>
          <w:p w:rsidR="00FA1AC4" w:rsidRDefault="00B11CCA">
            <w:pPr>
              <w:spacing w:line="0" w:lineRule="atLeast"/>
            </w:pPr>
            <w:r>
              <w:t>______________________                                              ___________________________</w:t>
            </w:r>
          </w:p>
          <w:p w:rsidR="00FA1AC4" w:rsidRDefault="00B11CCA">
            <w:pPr>
              <w:ind w:right="-2686"/>
              <w:rPr>
                <w:b/>
              </w:rPr>
            </w:pPr>
            <w:r>
              <w:rPr>
                <w:b/>
              </w:rPr>
              <w:t xml:space="preserve">Prof. Tony Ike Nwanji                                                                            </w:t>
            </w:r>
            <w:r>
              <w:t>Date</w:t>
            </w:r>
          </w:p>
          <w:p w:rsidR="00FA1AC4" w:rsidRDefault="00B11CCA">
            <w:r>
              <w:t xml:space="preserve">Supervisor                                                                                                </w:t>
            </w:r>
          </w:p>
          <w:p w:rsidR="00FA1AC4" w:rsidRDefault="00FA1AC4"/>
          <w:p w:rsidR="00FA1AC4" w:rsidRDefault="00FA1AC4"/>
          <w:p w:rsidR="00FA1AC4" w:rsidRDefault="00B11CCA">
            <w:r>
              <w:t>______________________                                              ___________________________</w:t>
            </w:r>
          </w:p>
          <w:p w:rsidR="00FA1AC4" w:rsidRDefault="00B11CCA">
            <w:pPr>
              <w:rPr>
                <w:b/>
              </w:rPr>
            </w:pPr>
            <w:r>
              <w:rPr>
                <w:b/>
              </w:rPr>
              <w:t xml:space="preserve">Dr. David Eseosa Obadiaru                                                                    </w:t>
            </w:r>
            <w:r>
              <w:t>Date</w:t>
            </w:r>
          </w:p>
          <w:p w:rsidR="00FA1AC4" w:rsidRDefault="00B11CCA">
            <w:pPr>
              <w:spacing w:line="0" w:lineRule="atLeast"/>
            </w:pPr>
            <w:r>
              <w:t xml:space="preserve">(Co-Supervisor) </w:t>
            </w:r>
          </w:p>
          <w:p w:rsidR="00FA1AC4" w:rsidRDefault="00FA1AC4">
            <w:pPr>
              <w:spacing w:line="0" w:lineRule="atLeast"/>
            </w:pPr>
          </w:p>
          <w:p w:rsidR="00FA1AC4" w:rsidRDefault="00FA1AC4">
            <w:pPr>
              <w:spacing w:line="0" w:lineRule="atLeast"/>
              <w:ind w:left="4529"/>
            </w:pPr>
          </w:p>
          <w:p w:rsidR="00FA1AC4" w:rsidRDefault="00FA1AC4">
            <w:pPr>
              <w:spacing w:line="0" w:lineRule="atLeast"/>
              <w:ind w:left="4529"/>
            </w:pPr>
          </w:p>
          <w:p w:rsidR="00FA1AC4" w:rsidRDefault="00B11CCA">
            <w:pPr>
              <w:spacing w:line="0" w:lineRule="atLeast"/>
              <w:ind w:left="4529"/>
            </w:pPr>
            <w:r>
              <w:t xml:space="preserve">  </w:t>
            </w:r>
          </w:p>
          <w:p w:rsidR="00FA1AC4" w:rsidRDefault="00B11CCA">
            <w:pPr>
              <w:spacing w:line="0" w:lineRule="atLeast"/>
              <w:rPr>
                <w:b/>
              </w:rPr>
            </w:pPr>
            <w:r>
              <w:t>______________________</w:t>
            </w:r>
            <w:r>
              <w:rPr>
                <w:b/>
              </w:rPr>
              <w:t xml:space="preserve">                                                   </w:t>
            </w:r>
            <w:r>
              <w:t>___________________________</w:t>
            </w:r>
            <w:r>
              <w:rPr>
                <w:b/>
              </w:rPr>
              <w:t xml:space="preserve">                                                                              </w:t>
            </w:r>
          </w:p>
          <w:p w:rsidR="00FA1AC4" w:rsidRDefault="00B11CCA">
            <w:pPr>
              <w:spacing w:line="0" w:lineRule="atLeast"/>
            </w:pPr>
            <w:r>
              <w:rPr>
                <w:b/>
              </w:rPr>
              <w:t>Dr. Samuel Fakile</w:t>
            </w:r>
            <w:r>
              <w:t xml:space="preserve">                                                                                      Date</w:t>
            </w:r>
          </w:p>
          <w:p w:rsidR="00FA1AC4" w:rsidRDefault="00B11CCA">
            <w:pPr>
              <w:spacing w:line="0" w:lineRule="atLeast"/>
              <w:ind w:right="7"/>
            </w:pPr>
            <w:r>
              <w:t>(Head of Department)</w:t>
            </w:r>
          </w:p>
          <w:p w:rsidR="00FA1AC4" w:rsidRDefault="00FA1AC4">
            <w:pPr>
              <w:spacing w:line="0" w:lineRule="atLeast"/>
              <w:ind w:right="7"/>
            </w:pPr>
          </w:p>
          <w:p w:rsidR="00FA1AC4" w:rsidRDefault="00FA1AC4">
            <w:pPr>
              <w:spacing w:line="0" w:lineRule="atLeast"/>
              <w:ind w:right="7"/>
            </w:pPr>
          </w:p>
          <w:p w:rsidR="00FA1AC4" w:rsidRDefault="00FA1AC4">
            <w:pPr>
              <w:spacing w:line="0" w:lineRule="atLeast"/>
              <w:ind w:right="7"/>
            </w:pPr>
          </w:p>
          <w:p w:rsidR="00FA1AC4" w:rsidRDefault="00FA1AC4">
            <w:pPr>
              <w:spacing w:line="0" w:lineRule="atLeast"/>
              <w:ind w:right="7"/>
            </w:pPr>
          </w:p>
          <w:p w:rsidR="00FA1AC4" w:rsidRDefault="00FA1AC4">
            <w:pPr>
              <w:spacing w:line="0" w:lineRule="atLeast"/>
              <w:ind w:right="7"/>
            </w:pPr>
          </w:p>
          <w:p w:rsidR="00FA1AC4" w:rsidRDefault="00FA1AC4">
            <w:pPr>
              <w:spacing w:line="0" w:lineRule="atLeast"/>
              <w:ind w:right="7"/>
            </w:pPr>
          </w:p>
          <w:p w:rsidR="00FA1AC4" w:rsidRDefault="00B11CCA">
            <w:pPr>
              <w:spacing w:line="0" w:lineRule="atLeast"/>
              <w:rPr>
                <w:b/>
              </w:rPr>
            </w:pPr>
            <w:r>
              <w:t>______________________</w:t>
            </w:r>
            <w:r>
              <w:rPr>
                <w:b/>
              </w:rPr>
              <w:t xml:space="preserve">                                                         </w:t>
            </w:r>
            <w:r>
              <w:t>___________________________</w:t>
            </w:r>
            <w:r>
              <w:rPr>
                <w:b/>
              </w:rPr>
              <w:t xml:space="preserve">                                                                              </w:t>
            </w:r>
          </w:p>
          <w:p w:rsidR="00FA1AC4" w:rsidRDefault="00B11CCA">
            <w:pPr>
              <w:spacing w:line="0" w:lineRule="atLeast"/>
            </w:pPr>
            <w:r>
              <w:rPr>
                <w:b/>
              </w:rPr>
              <w:t xml:space="preserve">                                                                                                                     </w:t>
            </w:r>
            <w:r>
              <w:t>Date</w:t>
            </w:r>
          </w:p>
          <w:p w:rsidR="00FA1AC4" w:rsidRDefault="00B11CCA">
            <w:pPr>
              <w:spacing w:line="0" w:lineRule="atLeast"/>
            </w:pPr>
            <w:r>
              <w:t xml:space="preserve"> (External Examiner)</w:t>
            </w:r>
          </w:p>
        </w:tc>
      </w:tr>
    </w:tbl>
    <w:p w:rsidR="00FA1AC4" w:rsidRDefault="00FA1AC4">
      <w:pPr>
        <w:spacing w:after="250" w:line="259" w:lineRule="auto"/>
        <w:ind w:left="706" w:right="962"/>
        <w:jc w:val="center"/>
        <w:rPr>
          <w:b/>
          <w:sz w:val="32"/>
          <w:szCs w:val="32"/>
        </w:rPr>
      </w:pPr>
    </w:p>
    <w:p w:rsidR="00FA1AC4" w:rsidRDefault="00FA1AC4">
      <w:pPr>
        <w:spacing w:after="250" w:line="259" w:lineRule="auto"/>
        <w:ind w:left="706" w:right="962"/>
        <w:jc w:val="center"/>
        <w:rPr>
          <w:b/>
          <w:sz w:val="32"/>
          <w:szCs w:val="32"/>
        </w:rPr>
      </w:pPr>
    </w:p>
    <w:p w:rsidR="00FA1AC4" w:rsidRDefault="00B11CCA">
      <w:pPr>
        <w:pStyle w:val="Heading1"/>
        <w:spacing w:before="0" w:line="480" w:lineRule="auto"/>
      </w:pPr>
      <w:bookmarkStart w:id="3" w:name="_Toc112342326"/>
      <w:r>
        <w:t>DEDICATION</w:t>
      </w:r>
      <w:bookmarkEnd w:id="3"/>
    </w:p>
    <w:p w:rsidR="00FA1AC4" w:rsidRDefault="00B11CCA">
      <w:pPr>
        <w:ind w:left="641" w:right="23"/>
      </w:pPr>
      <w:r>
        <w:t xml:space="preserve">This project is dedicated to Almighty Father, the real owner of all things and the giver of life who has by HIS mercies and grace made it possible for me to successfully carryout and completes this research work. </w:t>
      </w:r>
    </w:p>
    <w:p w:rsidR="00FA1AC4" w:rsidRDefault="00FA1AC4">
      <w:pPr>
        <w:spacing w:after="250" w:line="259" w:lineRule="auto"/>
        <w:ind w:right="953"/>
        <w:jc w:val="center"/>
        <w:rPr>
          <w:b/>
        </w:rPr>
      </w:pPr>
    </w:p>
    <w:p w:rsidR="00FA1AC4" w:rsidRDefault="00FA1AC4">
      <w:pPr>
        <w:spacing w:after="250" w:line="259" w:lineRule="auto"/>
        <w:ind w:right="953"/>
        <w:jc w:val="center"/>
        <w:rPr>
          <w:b/>
        </w:rPr>
      </w:pPr>
    </w:p>
    <w:p w:rsidR="00FA1AC4" w:rsidRDefault="00FA1AC4">
      <w:pPr>
        <w:spacing w:after="250" w:line="259" w:lineRule="auto"/>
        <w:ind w:right="953"/>
        <w:jc w:val="center"/>
        <w:rPr>
          <w:b/>
        </w:rPr>
      </w:pPr>
    </w:p>
    <w:p w:rsidR="00FA1AC4" w:rsidRDefault="00FA1AC4">
      <w:pPr>
        <w:spacing w:after="250" w:line="259" w:lineRule="auto"/>
        <w:ind w:right="953"/>
        <w:jc w:val="center"/>
        <w:rPr>
          <w:b/>
        </w:rPr>
      </w:pPr>
    </w:p>
    <w:p w:rsidR="00FA1AC4" w:rsidRDefault="00FA1AC4">
      <w:pPr>
        <w:spacing w:after="250" w:line="259" w:lineRule="auto"/>
        <w:ind w:right="953"/>
        <w:jc w:val="center"/>
        <w:rPr>
          <w:b/>
        </w:rPr>
      </w:pPr>
    </w:p>
    <w:p w:rsidR="00FA1AC4" w:rsidRDefault="00FA1AC4">
      <w:pPr>
        <w:spacing w:after="250" w:line="259" w:lineRule="auto"/>
        <w:ind w:right="953"/>
        <w:jc w:val="center"/>
        <w:rPr>
          <w:b/>
        </w:rPr>
      </w:pPr>
    </w:p>
    <w:p w:rsidR="00FA1AC4" w:rsidRDefault="00FA1AC4">
      <w:pPr>
        <w:spacing w:after="250" w:line="259" w:lineRule="auto"/>
        <w:ind w:right="953"/>
        <w:jc w:val="center"/>
        <w:rPr>
          <w:b/>
        </w:rPr>
      </w:pPr>
    </w:p>
    <w:p w:rsidR="00FA1AC4" w:rsidRDefault="00FA1AC4">
      <w:pPr>
        <w:spacing w:after="250" w:line="259" w:lineRule="auto"/>
        <w:ind w:right="953"/>
        <w:jc w:val="center"/>
        <w:rPr>
          <w:b/>
        </w:rPr>
      </w:pPr>
    </w:p>
    <w:p w:rsidR="00FA1AC4" w:rsidRDefault="00FA1AC4">
      <w:pPr>
        <w:spacing w:after="250" w:line="259" w:lineRule="auto"/>
        <w:ind w:right="953"/>
        <w:jc w:val="center"/>
        <w:rPr>
          <w:b/>
        </w:rPr>
      </w:pPr>
    </w:p>
    <w:p w:rsidR="00FA1AC4" w:rsidRDefault="00FA1AC4">
      <w:pPr>
        <w:spacing w:after="250" w:line="259" w:lineRule="auto"/>
        <w:ind w:right="953"/>
        <w:jc w:val="center"/>
        <w:rPr>
          <w:b/>
        </w:rPr>
      </w:pPr>
    </w:p>
    <w:p w:rsidR="00FA1AC4" w:rsidRDefault="00FA1AC4">
      <w:pPr>
        <w:spacing w:after="250" w:line="259" w:lineRule="auto"/>
        <w:ind w:right="953"/>
        <w:jc w:val="center"/>
        <w:rPr>
          <w:b/>
        </w:rPr>
      </w:pPr>
    </w:p>
    <w:p w:rsidR="00FA1AC4" w:rsidRDefault="00FA1AC4">
      <w:pPr>
        <w:spacing w:after="250" w:line="259" w:lineRule="auto"/>
        <w:ind w:right="953"/>
        <w:jc w:val="center"/>
        <w:rPr>
          <w:b/>
        </w:rPr>
      </w:pPr>
    </w:p>
    <w:p w:rsidR="00FA1AC4" w:rsidRDefault="00FA1AC4">
      <w:pPr>
        <w:spacing w:after="250" w:line="259" w:lineRule="auto"/>
        <w:ind w:right="953"/>
        <w:jc w:val="center"/>
        <w:rPr>
          <w:b/>
        </w:rPr>
      </w:pPr>
    </w:p>
    <w:p w:rsidR="00FA1AC4" w:rsidRDefault="00FA1AC4">
      <w:pPr>
        <w:spacing w:after="250" w:line="259" w:lineRule="auto"/>
        <w:ind w:right="953"/>
        <w:jc w:val="center"/>
        <w:rPr>
          <w:b/>
        </w:rPr>
      </w:pPr>
    </w:p>
    <w:p w:rsidR="00FA1AC4" w:rsidRDefault="00FA1AC4">
      <w:pPr>
        <w:spacing w:after="250" w:line="259" w:lineRule="auto"/>
        <w:ind w:right="953"/>
        <w:jc w:val="center"/>
        <w:rPr>
          <w:b/>
        </w:rPr>
      </w:pPr>
    </w:p>
    <w:p w:rsidR="00FA1AC4" w:rsidRDefault="00FA1AC4">
      <w:pPr>
        <w:spacing w:after="250" w:line="259" w:lineRule="auto"/>
        <w:ind w:right="953"/>
        <w:jc w:val="center"/>
        <w:rPr>
          <w:b/>
        </w:rPr>
      </w:pPr>
    </w:p>
    <w:p w:rsidR="00FA1AC4" w:rsidRDefault="00FA1AC4">
      <w:pPr>
        <w:spacing w:after="250" w:line="259" w:lineRule="auto"/>
        <w:ind w:right="953"/>
        <w:jc w:val="center"/>
        <w:rPr>
          <w:b/>
        </w:rPr>
      </w:pPr>
    </w:p>
    <w:p w:rsidR="00FA1AC4" w:rsidRDefault="00B11CCA">
      <w:pPr>
        <w:pStyle w:val="Heading1"/>
        <w:spacing w:before="0" w:line="480" w:lineRule="auto"/>
      </w:pPr>
      <w:bookmarkStart w:id="4" w:name="_Toc112342327"/>
      <w:r>
        <w:lastRenderedPageBreak/>
        <w:t>ACKNOWLEDGMENT</w:t>
      </w:r>
      <w:bookmarkEnd w:id="4"/>
      <w:r>
        <w:rPr>
          <w:lang w:val="en-US"/>
        </w:rPr>
        <w:t>S</w:t>
      </w:r>
    </w:p>
    <w:p w:rsidR="00FA1AC4" w:rsidRDefault="00B11CCA">
      <w:pPr>
        <w:spacing w:after="240"/>
        <w:ind w:right="-7"/>
      </w:pPr>
      <w:r>
        <w:t xml:space="preserve">All glory, honour and adoration unto Almighty God for life, wisdom, strength, inspiration, provisions and lots more throughout this Master’s Degree Programme. I ascribe all the success achieved to Him. May His name alone be praised </w:t>
      </w:r>
      <w:proofErr w:type="gramStart"/>
      <w:r>
        <w:t>forevermore.</w:t>
      </w:r>
      <w:proofErr w:type="gramEnd"/>
      <w:r>
        <w:t xml:space="preserve"> </w:t>
      </w:r>
    </w:p>
    <w:p w:rsidR="00FA1AC4" w:rsidRDefault="00B11CCA">
      <w:pPr>
        <w:ind w:right="-7"/>
      </w:pPr>
      <w:r>
        <w:t xml:space="preserve">First and foremost, I would like to express my profound gratitude to my dearly esteemed supervisors, Professor Tony Ike Nwanji and Dr. David Eseosa Obadiaru, for their immense contributions, support, encouragement and guidance given to me in making this research work a reality. Thank you for allowing me to fly on your wings. I will forever be grateful to you. </w:t>
      </w:r>
    </w:p>
    <w:p w:rsidR="00FA1AC4" w:rsidRDefault="00B11CCA">
      <w:pPr>
        <w:spacing w:before="240" w:line="477" w:lineRule="auto"/>
        <w:ind w:right="-7"/>
      </w:pPr>
      <w:r>
        <w:t xml:space="preserve">To the leadership of the Department under an exceptional Head, Dr. Fakile Samuel, I owe my propound appreciation to him. I cannot but also appreciate the departmental PG coordinator in person of Dr. Madugba, Joseph. Thank you for allowing me draw from your wealth of knowledge and for always creating time to help out even when not convenient. I am also indebted to my SPS representative Dr. Adeyonu Abigail, thank you for painstakingly checking through my work and making a great contribution to bring out its beauty. Your labour towards the success of this work will forever be remembered. </w:t>
      </w:r>
    </w:p>
    <w:p w:rsidR="00FA1AC4" w:rsidRDefault="00B11CCA">
      <w:pPr>
        <w:spacing w:before="240" w:after="240" w:line="477" w:lineRule="auto"/>
        <w:ind w:right="-7"/>
      </w:pPr>
      <w:r>
        <w:t xml:space="preserve">I am indeed grateful to all the members of faculty and staff of the Department of Accounting and Finance. I really enjoyed their critical and objective contributions towards the success of this research work. They were always available for consultation and advice. In particular, I would like to express my profound appreciation to Dr. Ben-Caleb Egbile, Dr. Otekunrin Adegbola, Dr. Oladipo Femi, Dr. Samuel Falaye, Dr. </w:t>
      </w:r>
      <w:r>
        <w:lastRenderedPageBreak/>
        <w:t xml:space="preserve">Samuel Ajayi, Mrs. Oladipo and Mr. Durojaye. I would also like to acknowledge the support and cooperation of the management of Landmark University and the School of Postgraduate Studies, Omu-Aran.  </w:t>
      </w:r>
    </w:p>
    <w:p w:rsidR="00FA1AC4" w:rsidRDefault="00B11CCA">
      <w:pPr>
        <w:spacing w:line="477" w:lineRule="auto"/>
        <w:ind w:right="-7"/>
      </w:pPr>
      <w:r>
        <w:t>My undiluted gratitude goes to my lovely and ever supportive husband Dr. Oluwatobi Noah Akande. Thank you for believing in me by providing a platform (Landmark University) to showcase my ability and explore opportunities. I will continue to make you proud, my love. Your drive and passion for success is out of this world and that has always been my source of motivation. God bless you and He will continue to prosper your ways in Jesus name. I love you dearly Noahmi.</w:t>
      </w:r>
    </w:p>
    <w:p w:rsidR="00FA1AC4" w:rsidRDefault="00B11CCA">
      <w:pPr>
        <w:spacing w:before="240" w:line="477" w:lineRule="auto"/>
        <w:ind w:right="-7"/>
      </w:pPr>
      <w:r>
        <w:t xml:space="preserve">My appreciation is not complete without appreciating God’s Ambassadors, Samuel and Joshua Akande for their understanding and for always reminding me to go to school and read my books. I can’t love you less lovelies. To my parents, Mr and Mrs Ayuba Ajadi, thank you for being the vessel used by God to bring me to this world. Your endless prayers, advice, support and encouragement can never be forgotten. You will live to eat the fruits of your labour in Jesus name. To my siblings Joke, Busayo, Malik, Tunde, Umar, Dara and Sarafa thank you all for your care and support to me. God bless you.  </w:t>
      </w:r>
    </w:p>
    <w:p w:rsidR="00FA1AC4" w:rsidRDefault="00B11CCA">
      <w:pPr>
        <w:spacing w:before="240" w:line="477" w:lineRule="auto"/>
        <w:ind w:right="-7"/>
      </w:pPr>
      <w:r>
        <w:t>My sincere gratitude goes to my Father and Mother-in-law Pastor and Mrs Debowale Akande for the word of encouragement, caution, prayers, support and love. Your passion for academics is second to none, and your frequent checks throughout this programme were amazing. I will forever be grateful to you two. To my sister-in-law Oluwafunmibi Akande Ajani; thanks so much for your care and support.</w:t>
      </w:r>
    </w:p>
    <w:p w:rsidR="00FA1AC4" w:rsidRDefault="00B11CCA">
      <w:pPr>
        <w:spacing w:before="240" w:line="477" w:lineRule="auto"/>
        <w:ind w:right="-7"/>
      </w:pPr>
      <w:r>
        <w:lastRenderedPageBreak/>
        <w:t>I cannot but appreciate my father and mother in the lord Evangelist and Pastor (Mrs) OlatundeYemi Olatunji for their prayers and constant checks all through. Thanks so much Sir and Ma for always being there for me, since my undergraduate days you have been more than a blessing.</w:t>
      </w:r>
    </w:p>
    <w:p w:rsidR="00FA1AC4" w:rsidRDefault="00B11CCA">
      <w:pPr>
        <w:spacing w:before="240" w:line="477" w:lineRule="auto"/>
        <w:ind w:right="-7"/>
      </w:pPr>
      <w:r>
        <w:t>I would also like to express my appreciation to my friends and loved ones for their support and encouragements at different stages of this programme. These include among others: Dr. Babatunde Ajiboye, Engr. Sola Obayomi, Mrs. Adenike Oladipo, Mrs. Comfort Adedayo, Mrs. Mary Adeyemo, Mrs Titilayo Oluyori, Mrs. Modupe, Mrs. Motolani Oluwatuyi, Mrs. Janet Ajide, Mrs. Monica and Mrs. Lanre Akanle.</w:t>
      </w:r>
    </w:p>
    <w:p w:rsidR="00FA1AC4" w:rsidRDefault="00B11CCA">
      <w:pPr>
        <w:spacing w:before="240" w:line="478" w:lineRule="auto"/>
        <w:ind w:right="-7"/>
      </w:pPr>
      <w:r>
        <w:t xml:space="preserve">I am also indebted to all those who contributed both directly and indirectly to the success of this work, but whose names are not mentioned specifically due to space limitation and not that of omission. God bless you richly.                                                                                                                                                                                                                                                                                                                                                                                                                                                                                                                                                                                                                                                                                       </w:t>
      </w:r>
    </w:p>
    <w:p w:rsidR="00FA1AC4" w:rsidRDefault="00B11CCA">
      <w:pPr>
        <w:spacing w:after="252" w:line="259" w:lineRule="auto"/>
        <w:ind w:right="195"/>
      </w:pPr>
      <w:r>
        <w:rPr>
          <w:b/>
        </w:rPr>
        <w:t xml:space="preserve"> </w:t>
      </w:r>
    </w:p>
    <w:p w:rsidR="00FA1AC4" w:rsidRDefault="00B11CCA">
      <w:pPr>
        <w:spacing w:after="252" w:line="259" w:lineRule="auto"/>
        <w:ind w:right="195"/>
      </w:pPr>
      <w:r>
        <w:rPr>
          <w:b/>
        </w:rPr>
        <w:t xml:space="preserve"> </w:t>
      </w:r>
    </w:p>
    <w:p w:rsidR="00FA1AC4" w:rsidRDefault="00B11CCA">
      <w:pPr>
        <w:spacing w:after="252" w:line="259" w:lineRule="auto"/>
        <w:ind w:right="195"/>
      </w:pPr>
      <w:r>
        <w:rPr>
          <w:b/>
        </w:rPr>
        <w:t xml:space="preserve"> </w:t>
      </w:r>
    </w:p>
    <w:p w:rsidR="00FA1AC4" w:rsidRDefault="00B11CCA">
      <w:pPr>
        <w:spacing w:after="252" w:line="259" w:lineRule="auto"/>
        <w:ind w:right="195"/>
      </w:pPr>
      <w:r>
        <w:rPr>
          <w:b/>
        </w:rPr>
        <w:t xml:space="preserve"> </w:t>
      </w:r>
    </w:p>
    <w:p w:rsidR="00FA1AC4" w:rsidRDefault="00B11CCA">
      <w:pPr>
        <w:spacing w:after="252" w:line="259" w:lineRule="auto"/>
        <w:ind w:right="195"/>
        <w:rPr>
          <w:b/>
        </w:rPr>
      </w:pPr>
      <w:r>
        <w:rPr>
          <w:b/>
        </w:rPr>
        <w:t xml:space="preserve"> </w:t>
      </w:r>
    </w:p>
    <w:p w:rsidR="00FA1AC4" w:rsidRDefault="00FA1AC4">
      <w:pPr>
        <w:spacing w:after="252" w:line="259" w:lineRule="auto"/>
        <w:ind w:right="195"/>
        <w:jc w:val="center"/>
        <w:rPr>
          <w:b/>
          <w:sz w:val="28"/>
          <w:szCs w:val="28"/>
        </w:rPr>
      </w:pPr>
    </w:p>
    <w:p w:rsidR="00FA1AC4" w:rsidRDefault="00FA1AC4">
      <w:pPr>
        <w:spacing w:after="252" w:line="259" w:lineRule="auto"/>
        <w:ind w:right="195"/>
        <w:rPr>
          <w:b/>
          <w:sz w:val="28"/>
          <w:szCs w:val="28"/>
        </w:rPr>
      </w:pPr>
    </w:p>
    <w:p w:rsidR="00FA1AC4" w:rsidRDefault="00FA1AC4">
      <w:pPr>
        <w:spacing w:after="252" w:line="259" w:lineRule="auto"/>
        <w:ind w:right="195"/>
        <w:jc w:val="center"/>
        <w:rPr>
          <w:b/>
          <w:sz w:val="28"/>
          <w:szCs w:val="28"/>
        </w:rPr>
      </w:pPr>
    </w:p>
    <w:p w:rsidR="00FA1AC4" w:rsidRDefault="00FA1AC4">
      <w:pPr>
        <w:spacing w:after="252" w:line="259" w:lineRule="auto"/>
        <w:ind w:right="195"/>
        <w:rPr>
          <w:b/>
          <w:sz w:val="28"/>
          <w:szCs w:val="28"/>
        </w:rPr>
      </w:pPr>
    </w:p>
    <w:p w:rsidR="00FA1AC4" w:rsidRDefault="00B11CCA">
      <w:pPr>
        <w:pStyle w:val="Heading1"/>
        <w:spacing w:line="480" w:lineRule="auto"/>
      </w:pPr>
      <w:bookmarkStart w:id="5" w:name="_Toc112342328"/>
      <w:r>
        <w:lastRenderedPageBreak/>
        <w:t>ABSTRACT</w:t>
      </w:r>
      <w:bookmarkEnd w:id="5"/>
    </w:p>
    <w:p w:rsidR="00FA1AC4" w:rsidRDefault="00B11CCA">
      <w:pPr>
        <w:spacing w:line="240" w:lineRule="auto"/>
        <w:ind w:right="57"/>
      </w:pPr>
      <w:r>
        <w:rPr>
          <w:rFonts w:eastAsia="AdvGulliv-R"/>
          <w:i/>
          <w:color w:val="000000"/>
        </w:rPr>
        <w:t xml:space="preserve">As a way of curbing corruption and unethical practices that usually lead to corporate failure, organizations are expected to inculcate the habit of quality financial reporting in their operation procedures. </w:t>
      </w:r>
      <w:r>
        <w:rPr>
          <w:i/>
          <w:iCs/>
        </w:rPr>
        <w:t>The study examined the relevance of audit committee and internal control on financial reporting quality of listed service firms in Nigeria between the period of 2010 and 2020. Audit committee size, meeting, composition and female members were used as proxy for audit committee; control activities, risk assessment, monitoring, information and communication were used as proxy for internal control while accruals was employed as proxy for financial reporting quality. Furthermore, questionnaire was used to collect data regarding the internal control while audit committee data was collected through the annual reports of the listed service companies and a multi-stage sampling technique was used to determine a sample size of 50 from 74 listed service firms on the Nigerian Stock Exchange while 189 survey questionnaire statement was returned from 250. A mixed method approach of quantitative and qualitative analysis was used to analyse the data to determine the nature of relationship that exist between the explanatory and explained variables of the study. The study also carried out the descriptive statistics and test for outliers to establish the stationarity of data collected but Cronbach’s test was employed to establish the reliability of the primary data collected. Multiple linear regression analysis was adopted to test the hypotheses through the use Statistical Packages for Social Sciences (SPSS 23). The result of the test of hypotheses showed that audit committee size, female members, control activities</w:t>
      </w:r>
      <w:r>
        <w:rPr>
          <w:i/>
          <w:iCs/>
          <w:lang w:val="en-US"/>
        </w:rPr>
        <w:t>, risk assessment</w:t>
      </w:r>
      <w:r>
        <w:rPr>
          <w:i/>
          <w:iCs/>
        </w:rPr>
        <w:t xml:space="preserve"> and monitoring have significant influence on accruals, while </w:t>
      </w:r>
      <w:r>
        <w:rPr>
          <w:i/>
          <w:iCs/>
          <w:lang w:val="en-US"/>
        </w:rPr>
        <w:t>audit committee meeting, composition, information</w:t>
      </w:r>
      <w:r>
        <w:rPr>
          <w:i/>
          <w:iCs/>
        </w:rPr>
        <w:t xml:space="preserve"> and </w:t>
      </w:r>
      <w:r>
        <w:rPr>
          <w:i/>
          <w:iCs/>
          <w:lang w:val="en-US"/>
        </w:rPr>
        <w:t xml:space="preserve">communication </w:t>
      </w:r>
      <w:r>
        <w:rPr>
          <w:i/>
          <w:iCs/>
        </w:rPr>
        <w:t>have insignificant relationship on accruals. Therefore, the study concludes that the relevance of audit committee characteristics and internal control components have significant</w:t>
      </w:r>
      <w:r>
        <w:rPr>
          <w:i/>
          <w:iCs/>
          <w:color w:val="FF0000"/>
        </w:rPr>
        <w:t xml:space="preserve"> </w:t>
      </w:r>
      <w:r>
        <w:rPr>
          <w:i/>
          <w:iCs/>
        </w:rPr>
        <w:t xml:space="preserve">relationship with </w:t>
      </w:r>
      <w:r>
        <w:rPr>
          <w:i/>
          <w:iCs/>
          <w:lang w:val="en-US"/>
        </w:rPr>
        <w:t xml:space="preserve">quality </w:t>
      </w:r>
      <w:r>
        <w:rPr>
          <w:i/>
          <w:iCs/>
        </w:rPr>
        <w:t>financial reporting. Th</w:t>
      </w:r>
      <w:r>
        <w:rPr>
          <w:i/>
          <w:iCs/>
          <w:lang w:val="en-US"/>
        </w:rPr>
        <w:t>is study recommends that 50%of the audit committee members should be female. Risk assessment, control and monitoring activities of the internal control should be done more frequently to be able to identify both internal and external hostile as they occur.</w:t>
      </w:r>
    </w:p>
    <w:p w:rsidR="00FA1AC4" w:rsidRDefault="00FA1AC4">
      <w:pPr>
        <w:ind w:right="-7"/>
        <w:jc w:val="center"/>
        <w:rPr>
          <w:b/>
          <w:sz w:val="32"/>
          <w:szCs w:val="32"/>
        </w:rPr>
      </w:pPr>
    </w:p>
    <w:p w:rsidR="00FA1AC4" w:rsidRDefault="00FA1AC4">
      <w:pPr>
        <w:ind w:right="-7"/>
        <w:jc w:val="center"/>
        <w:rPr>
          <w:b/>
          <w:sz w:val="32"/>
          <w:szCs w:val="32"/>
        </w:rPr>
      </w:pPr>
    </w:p>
    <w:p w:rsidR="00FA1AC4" w:rsidRDefault="00FA1AC4">
      <w:pPr>
        <w:ind w:right="-7"/>
        <w:jc w:val="center"/>
        <w:rPr>
          <w:b/>
          <w:sz w:val="32"/>
          <w:szCs w:val="32"/>
        </w:rPr>
      </w:pPr>
    </w:p>
    <w:p w:rsidR="00FA1AC4" w:rsidRDefault="00FA1AC4">
      <w:pPr>
        <w:ind w:right="-7"/>
        <w:jc w:val="center"/>
        <w:rPr>
          <w:b/>
          <w:sz w:val="32"/>
          <w:szCs w:val="32"/>
        </w:rPr>
      </w:pPr>
    </w:p>
    <w:p w:rsidR="00FA1AC4" w:rsidRDefault="00FA1AC4">
      <w:pPr>
        <w:ind w:right="-7"/>
        <w:jc w:val="center"/>
        <w:rPr>
          <w:b/>
          <w:sz w:val="32"/>
          <w:szCs w:val="32"/>
        </w:rPr>
      </w:pPr>
    </w:p>
    <w:p w:rsidR="00FA1AC4" w:rsidRDefault="00FA1AC4">
      <w:pPr>
        <w:ind w:right="-7"/>
        <w:rPr>
          <w:b/>
          <w:sz w:val="32"/>
          <w:szCs w:val="32"/>
        </w:rPr>
      </w:pPr>
    </w:p>
    <w:p w:rsidR="00FA1AC4" w:rsidRDefault="00B11CCA">
      <w:pPr>
        <w:pStyle w:val="Heading1"/>
      </w:pPr>
      <w:bookmarkStart w:id="6" w:name="_Toc112342329"/>
      <w:r>
        <w:lastRenderedPageBreak/>
        <w:t>TABLE OF CONTENTS</w:t>
      </w:r>
      <w:bookmarkEnd w:id="6"/>
    </w:p>
    <w:p w:rsidR="00FA1AC4" w:rsidRDefault="00FA1AC4">
      <w:pPr>
        <w:pStyle w:val="TOCHeading"/>
        <w:spacing w:before="0"/>
      </w:pPr>
    </w:p>
    <w:p w:rsidR="00FA1AC4" w:rsidRDefault="00B11CCA">
      <w:pPr>
        <w:pStyle w:val="TOC1"/>
        <w:rPr>
          <w:rFonts w:ascii="Calibri" w:eastAsia="SimSun" w:hAnsi="Calibri" w:cs="SimSun"/>
          <w:sz w:val="22"/>
          <w:szCs w:val="22"/>
          <w:lang w:val="en-US"/>
        </w:rPr>
      </w:pPr>
      <w:r>
        <w:fldChar w:fldCharType="begin"/>
      </w:r>
      <w:r>
        <w:instrText xml:space="preserve"> TOC \o "1-3" \h \z \u </w:instrText>
      </w:r>
      <w:r>
        <w:fldChar w:fldCharType="separate"/>
      </w:r>
      <w:hyperlink w:anchor="_Toc112342324" w:history="1">
        <w:r>
          <w:rPr>
            <w:rStyle w:val="Hyperlink"/>
          </w:rPr>
          <w:t>DECLARATION</w:t>
        </w:r>
        <w:r>
          <w:rPr>
            <w:webHidden/>
          </w:rPr>
          <w:tab/>
        </w:r>
        <w:r>
          <w:rPr>
            <w:webHidden/>
          </w:rPr>
          <w:fldChar w:fldCharType="begin"/>
        </w:r>
        <w:r>
          <w:rPr>
            <w:webHidden/>
          </w:rPr>
          <w:instrText xml:space="preserve"> PAGEREF _Toc112342324 \h </w:instrText>
        </w:r>
        <w:r>
          <w:rPr>
            <w:webHidden/>
          </w:rPr>
        </w:r>
        <w:r>
          <w:rPr>
            <w:webHidden/>
          </w:rPr>
          <w:fldChar w:fldCharType="separate"/>
        </w:r>
        <w:r w:rsidR="00F54823">
          <w:rPr>
            <w:webHidden/>
          </w:rPr>
          <w:t>ii</w:t>
        </w:r>
        <w:r>
          <w:rPr>
            <w:webHidden/>
          </w:rPr>
          <w:fldChar w:fldCharType="end"/>
        </w:r>
      </w:hyperlink>
    </w:p>
    <w:p w:rsidR="00FA1AC4" w:rsidRDefault="00F54823">
      <w:pPr>
        <w:pStyle w:val="TOC1"/>
        <w:rPr>
          <w:rFonts w:ascii="Calibri" w:eastAsia="SimSun" w:hAnsi="Calibri" w:cs="SimSun"/>
          <w:sz w:val="22"/>
          <w:szCs w:val="22"/>
          <w:lang w:val="en-US"/>
        </w:rPr>
      </w:pPr>
      <w:hyperlink w:anchor="_Toc112342325" w:history="1">
        <w:r w:rsidR="00B11CCA">
          <w:rPr>
            <w:rStyle w:val="Hyperlink"/>
          </w:rPr>
          <w:t>CERTIFICATION</w:t>
        </w:r>
        <w:r w:rsidR="00B11CCA">
          <w:rPr>
            <w:webHidden/>
          </w:rPr>
          <w:tab/>
        </w:r>
        <w:r w:rsidR="00B11CCA">
          <w:rPr>
            <w:webHidden/>
          </w:rPr>
          <w:fldChar w:fldCharType="begin"/>
        </w:r>
        <w:r w:rsidR="00B11CCA">
          <w:rPr>
            <w:webHidden/>
          </w:rPr>
          <w:instrText xml:space="preserve"> PAGEREF _Toc112342325 \h </w:instrText>
        </w:r>
        <w:r w:rsidR="00B11CCA">
          <w:rPr>
            <w:webHidden/>
          </w:rPr>
        </w:r>
        <w:r w:rsidR="00B11CCA">
          <w:rPr>
            <w:webHidden/>
          </w:rPr>
          <w:fldChar w:fldCharType="separate"/>
        </w:r>
        <w:r>
          <w:rPr>
            <w:webHidden/>
          </w:rPr>
          <w:t>iii</w:t>
        </w:r>
        <w:r w:rsidR="00B11CCA">
          <w:rPr>
            <w:webHidden/>
          </w:rPr>
          <w:fldChar w:fldCharType="end"/>
        </w:r>
      </w:hyperlink>
    </w:p>
    <w:p w:rsidR="00FA1AC4" w:rsidRDefault="00F54823">
      <w:pPr>
        <w:pStyle w:val="TOC1"/>
        <w:rPr>
          <w:rFonts w:ascii="Calibri" w:eastAsia="SimSun" w:hAnsi="Calibri" w:cs="SimSun"/>
          <w:sz w:val="22"/>
          <w:szCs w:val="22"/>
          <w:lang w:val="en-US"/>
        </w:rPr>
      </w:pPr>
      <w:hyperlink w:anchor="_Toc112342326" w:history="1">
        <w:r w:rsidR="00B11CCA">
          <w:rPr>
            <w:rStyle w:val="Hyperlink"/>
          </w:rPr>
          <w:t>DEDICATION</w:t>
        </w:r>
        <w:r w:rsidR="00B11CCA">
          <w:rPr>
            <w:webHidden/>
          </w:rPr>
          <w:tab/>
        </w:r>
        <w:r w:rsidR="00B11CCA">
          <w:rPr>
            <w:webHidden/>
          </w:rPr>
          <w:fldChar w:fldCharType="begin"/>
        </w:r>
        <w:r w:rsidR="00B11CCA">
          <w:rPr>
            <w:webHidden/>
          </w:rPr>
          <w:instrText xml:space="preserve"> PAGEREF _Toc112342326 \h </w:instrText>
        </w:r>
        <w:r w:rsidR="00B11CCA">
          <w:rPr>
            <w:webHidden/>
          </w:rPr>
        </w:r>
        <w:r w:rsidR="00B11CCA">
          <w:rPr>
            <w:webHidden/>
          </w:rPr>
          <w:fldChar w:fldCharType="separate"/>
        </w:r>
        <w:r>
          <w:rPr>
            <w:webHidden/>
          </w:rPr>
          <w:t>iv</w:t>
        </w:r>
        <w:r w:rsidR="00B11CCA">
          <w:rPr>
            <w:webHidden/>
          </w:rPr>
          <w:fldChar w:fldCharType="end"/>
        </w:r>
      </w:hyperlink>
    </w:p>
    <w:p w:rsidR="00FA1AC4" w:rsidRDefault="00F54823">
      <w:pPr>
        <w:pStyle w:val="TOC1"/>
        <w:rPr>
          <w:rFonts w:ascii="Calibri" w:eastAsia="SimSun" w:hAnsi="Calibri" w:cs="SimSun"/>
          <w:sz w:val="22"/>
          <w:szCs w:val="22"/>
          <w:lang w:val="en-US"/>
        </w:rPr>
      </w:pPr>
      <w:hyperlink w:anchor="_Toc112342327" w:history="1">
        <w:r w:rsidR="00B11CCA">
          <w:rPr>
            <w:rStyle w:val="Hyperlink"/>
          </w:rPr>
          <w:t>ACKNOWLEDGMENTS</w:t>
        </w:r>
        <w:r w:rsidR="00B11CCA">
          <w:rPr>
            <w:webHidden/>
          </w:rPr>
          <w:tab/>
        </w:r>
        <w:r w:rsidR="00B11CCA">
          <w:rPr>
            <w:webHidden/>
          </w:rPr>
          <w:fldChar w:fldCharType="begin"/>
        </w:r>
        <w:r w:rsidR="00B11CCA">
          <w:rPr>
            <w:webHidden/>
          </w:rPr>
          <w:instrText xml:space="preserve"> PAGEREF _Toc112342327 \h </w:instrText>
        </w:r>
        <w:r w:rsidR="00B11CCA">
          <w:rPr>
            <w:webHidden/>
          </w:rPr>
        </w:r>
        <w:r w:rsidR="00B11CCA">
          <w:rPr>
            <w:webHidden/>
          </w:rPr>
          <w:fldChar w:fldCharType="separate"/>
        </w:r>
        <w:r>
          <w:rPr>
            <w:webHidden/>
          </w:rPr>
          <w:t>v</w:t>
        </w:r>
        <w:r w:rsidR="00B11CCA">
          <w:rPr>
            <w:webHidden/>
          </w:rPr>
          <w:fldChar w:fldCharType="end"/>
        </w:r>
      </w:hyperlink>
    </w:p>
    <w:p w:rsidR="00FA1AC4" w:rsidRDefault="00F54823">
      <w:pPr>
        <w:pStyle w:val="TOC1"/>
        <w:rPr>
          <w:rFonts w:ascii="Calibri" w:eastAsia="SimSun" w:hAnsi="Calibri" w:cs="SimSun"/>
          <w:sz w:val="22"/>
          <w:szCs w:val="22"/>
          <w:lang w:val="en-US"/>
        </w:rPr>
      </w:pPr>
      <w:hyperlink w:anchor="_Toc112342328" w:history="1">
        <w:r w:rsidR="00B11CCA">
          <w:rPr>
            <w:rStyle w:val="Hyperlink"/>
          </w:rPr>
          <w:t>ABSTRACT</w:t>
        </w:r>
        <w:r w:rsidR="00B11CCA">
          <w:rPr>
            <w:webHidden/>
          </w:rPr>
          <w:tab/>
        </w:r>
        <w:r w:rsidR="00B11CCA">
          <w:rPr>
            <w:webHidden/>
          </w:rPr>
          <w:fldChar w:fldCharType="begin"/>
        </w:r>
        <w:r w:rsidR="00B11CCA">
          <w:rPr>
            <w:webHidden/>
          </w:rPr>
          <w:instrText xml:space="preserve"> PAGEREF _Toc112342328 \h </w:instrText>
        </w:r>
        <w:r w:rsidR="00B11CCA">
          <w:rPr>
            <w:webHidden/>
          </w:rPr>
        </w:r>
        <w:r w:rsidR="00B11CCA">
          <w:rPr>
            <w:webHidden/>
          </w:rPr>
          <w:fldChar w:fldCharType="separate"/>
        </w:r>
        <w:r>
          <w:rPr>
            <w:webHidden/>
          </w:rPr>
          <w:t>viii</w:t>
        </w:r>
        <w:r w:rsidR="00B11CCA">
          <w:rPr>
            <w:webHidden/>
          </w:rPr>
          <w:fldChar w:fldCharType="end"/>
        </w:r>
      </w:hyperlink>
    </w:p>
    <w:p w:rsidR="00FA1AC4" w:rsidRDefault="00F54823">
      <w:pPr>
        <w:pStyle w:val="TOC1"/>
        <w:rPr>
          <w:rFonts w:ascii="Calibri" w:eastAsia="SimSun" w:hAnsi="Calibri" w:cs="SimSun"/>
          <w:sz w:val="22"/>
          <w:szCs w:val="22"/>
          <w:lang w:val="en-US"/>
        </w:rPr>
      </w:pPr>
      <w:hyperlink w:anchor="_Toc112342329" w:history="1">
        <w:r w:rsidR="00B11CCA">
          <w:rPr>
            <w:rStyle w:val="Hyperlink"/>
          </w:rPr>
          <w:t>TABLE OF CONTENTS</w:t>
        </w:r>
        <w:r w:rsidR="00B11CCA">
          <w:rPr>
            <w:webHidden/>
          </w:rPr>
          <w:tab/>
        </w:r>
        <w:r w:rsidR="00B11CCA">
          <w:rPr>
            <w:webHidden/>
          </w:rPr>
          <w:fldChar w:fldCharType="begin"/>
        </w:r>
        <w:r w:rsidR="00B11CCA">
          <w:rPr>
            <w:webHidden/>
          </w:rPr>
          <w:instrText xml:space="preserve"> PAGEREF _Toc112342329 \h </w:instrText>
        </w:r>
        <w:r w:rsidR="00B11CCA">
          <w:rPr>
            <w:webHidden/>
          </w:rPr>
        </w:r>
        <w:r w:rsidR="00B11CCA">
          <w:rPr>
            <w:webHidden/>
          </w:rPr>
          <w:fldChar w:fldCharType="separate"/>
        </w:r>
        <w:r>
          <w:rPr>
            <w:webHidden/>
          </w:rPr>
          <w:t>ix</w:t>
        </w:r>
        <w:r w:rsidR="00B11CCA">
          <w:rPr>
            <w:webHidden/>
          </w:rPr>
          <w:fldChar w:fldCharType="end"/>
        </w:r>
      </w:hyperlink>
    </w:p>
    <w:p w:rsidR="00FA1AC4" w:rsidRDefault="00F54823">
      <w:pPr>
        <w:pStyle w:val="TOC1"/>
        <w:rPr>
          <w:rFonts w:ascii="Calibri" w:eastAsia="SimSun" w:hAnsi="Calibri" w:cs="SimSun"/>
          <w:sz w:val="22"/>
          <w:szCs w:val="22"/>
          <w:lang w:val="en-US"/>
        </w:rPr>
      </w:pPr>
      <w:hyperlink w:anchor="_Toc112342330" w:history="1">
        <w:r w:rsidR="00B11CCA">
          <w:rPr>
            <w:rStyle w:val="Hyperlink"/>
          </w:rPr>
          <w:t>LIST OF TABLES</w:t>
        </w:r>
        <w:r w:rsidR="00B11CCA">
          <w:rPr>
            <w:webHidden/>
          </w:rPr>
          <w:tab/>
        </w:r>
        <w:r w:rsidR="00B11CCA">
          <w:rPr>
            <w:webHidden/>
          </w:rPr>
          <w:fldChar w:fldCharType="begin"/>
        </w:r>
        <w:r w:rsidR="00B11CCA">
          <w:rPr>
            <w:webHidden/>
          </w:rPr>
          <w:instrText xml:space="preserve"> PAGEREF _Toc112342330 \h </w:instrText>
        </w:r>
        <w:r w:rsidR="00B11CCA">
          <w:rPr>
            <w:webHidden/>
          </w:rPr>
        </w:r>
        <w:r w:rsidR="00B11CCA">
          <w:rPr>
            <w:webHidden/>
          </w:rPr>
          <w:fldChar w:fldCharType="separate"/>
        </w:r>
        <w:r>
          <w:rPr>
            <w:webHidden/>
          </w:rPr>
          <w:t>xiv</w:t>
        </w:r>
        <w:r w:rsidR="00B11CCA">
          <w:rPr>
            <w:webHidden/>
          </w:rPr>
          <w:fldChar w:fldCharType="end"/>
        </w:r>
      </w:hyperlink>
    </w:p>
    <w:p w:rsidR="00FA1AC4" w:rsidRDefault="00F54823">
      <w:pPr>
        <w:pStyle w:val="TOC1"/>
        <w:rPr>
          <w:rFonts w:ascii="Calibri" w:eastAsia="SimSun" w:hAnsi="Calibri" w:cs="SimSun"/>
          <w:sz w:val="22"/>
          <w:szCs w:val="22"/>
          <w:lang w:val="en-US"/>
        </w:rPr>
      </w:pPr>
      <w:hyperlink w:anchor="_Toc112342331" w:history="1">
        <w:r w:rsidR="00B11CCA">
          <w:rPr>
            <w:rStyle w:val="Hyperlink"/>
          </w:rPr>
          <w:t>LIST OF FIGURES</w:t>
        </w:r>
        <w:r w:rsidR="00B11CCA">
          <w:rPr>
            <w:webHidden/>
          </w:rPr>
          <w:tab/>
        </w:r>
        <w:r w:rsidR="00B11CCA">
          <w:rPr>
            <w:webHidden/>
          </w:rPr>
          <w:fldChar w:fldCharType="begin"/>
        </w:r>
        <w:r w:rsidR="00B11CCA">
          <w:rPr>
            <w:webHidden/>
          </w:rPr>
          <w:instrText xml:space="preserve"> PAGEREF _Toc112342331 \h </w:instrText>
        </w:r>
        <w:r w:rsidR="00B11CCA">
          <w:rPr>
            <w:webHidden/>
          </w:rPr>
        </w:r>
        <w:r w:rsidR="00B11CCA">
          <w:rPr>
            <w:webHidden/>
          </w:rPr>
          <w:fldChar w:fldCharType="separate"/>
        </w:r>
        <w:r>
          <w:rPr>
            <w:webHidden/>
          </w:rPr>
          <w:t>xv</w:t>
        </w:r>
        <w:r w:rsidR="00B11CCA">
          <w:rPr>
            <w:webHidden/>
          </w:rPr>
          <w:fldChar w:fldCharType="end"/>
        </w:r>
      </w:hyperlink>
    </w:p>
    <w:p w:rsidR="00FA1AC4" w:rsidRDefault="00F54823">
      <w:pPr>
        <w:pStyle w:val="TOC1"/>
        <w:rPr>
          <w:rFonts w:ascii="Calibri" w:eastAsia="SimSun" w:hAnsi="Calibri" w:cs="SimSun"/>
          <w:sz w:val="22"/>
          <w:szCs w:val="22"/>
          <w:lang w:val="en-US"/>
        </w:rPr>
      </w:pPr>
      <w:hyperlink w:anchor="_Toc112342332" w:history="1">
        <w:r w:rsidR="00B11CCA">
          <w:rPr>
            <w:rStyle w:val="Hyperlink"/>
          </w:rPr>
          <w:t>CHAPTER ONE</w:t>
        </w:r>
        <w:r w:rsidR="00B11CCA">
          <w:rPr>
            <w:webHidden/>
          </w:rPr>
          <w:tab/>
        </w:r>
        <w:r w:rsidR="00B11CCA">
          <w:rPr>
            <w:webHidden/>
          </w:rPr>
          <w:fldChar w:fldCharType="begin"/>
        </w:r>
        <w:r w:rsidR="00B11CCA">
          <w:rPr>
            <w:webHidden/>
          </w:rPr>
          <w:instrText xml:space="preserve"> PAGEREF _Toc112342332 \h </w:instrText>
        </w:r>
        <w:r w:rsidR="00B11CCA">
          <w:rPr>
            <w:webHidden/>
          </w:rPr>
        </w:r>
        <w:r w:rsidR="00B11CCA">
          <w:rPr>
            <w:webHidden/>
          </w:rPr>
          <w:fldChar w:fldCharType="separate"/>
        </w:r>
        <w:r>
          <w:rPr>
            <w:webHidden/>
          </w:rPr>
          <w:t>1</w:t>
        </w:r>
        <w:r w:rsidR="00B11CCA">
          <w:rPr>
            <w:webHidden/>
          </w:rPr>
          <w:fldChar w:fldCharType="end"/>
        </w:r>
      </w:hyperlink>
    </w:p>
    <w:p w:rsidR="00FA1AC4" w:rsidRDefault="00F54823">
      <w:pPr>
        <w:pStyle w:val="TOC1"/>
        <w:rPr>
          <w:rFonts w:ascii="Calibri" w:eastAsia="SimSun" w:hAnsi="Calibri" w:cs="SimSun"/>
          <w:sz w:val="22"/>
          <w:szCs w:val="22"/>
          <w:lang w:val="en-US"/>
        </w:rPr>
      </w:pPr>
      <w:hyperlink w:anchor="_Toc112342333" w:history="1">
        <w:r w:rsidR="00B11CCA">
          <w:rPr>
            <w:rStyle w:val="Hyperlink"/>
          </w:rPr>
          <w:t>INTRODUCTION</w:t>
        </w:r>
        <w:r w:rsidR="00B11CCA">
          <w:rPr>
            <w:webHidden/>
          </w:rPr>
          <w:tab/>
        </w:r>
        <w:r w:rsidR="00B11CCA">
          <w:rPr>
            <w:webHidden/>
          </w:rPr>
          <w:fldChar w:fldCharType="begin"/>
        </w:r>
        <w:r w:rsidR="00B11CCA">
          <w:rPr>
            <w:webHidden/>
          </w:rPr>
          <w:instrText xml:space="preserve"> PAGEREF _Toc112342333 \h </w:instrText>
        </w:r>
        <w:r w:rsidR="00B11CCA">
          <w:rPr>
            <w:webHidden/>
          </w:rPr>
        </w:r>
        <w:r w:rsidR="00B11CCA">
          <w:rPr>
            <w:webHidden/>
          </w:rPr>
          <w:fldChar w:fldCharType="separate"/>
        </w:r>
        <w:r>
          <w:rPr>
            <w:webHidden/>
          </w:rPr>
          <w:t>1</w:t>
        </w:r>
        <w:r w:rsidR="00B11CCA">
          <w:rPr>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34" w:history="1">
        <w:r w:rsidR="00B11CCA">
          <w:rPr>
            <w:rStyle w:val="Hyperlink"/>
            <w:noProof/>
          </w:rPr>
          <w:t>1.1</w:t>
        </w:r>
        <w:r w:rsidR="00B11CCA">
          <w:rPr>
            <w:rFonts w:ascii="Calibri" w:hAnsi="Calibri" w:cs="SimSun"/>
            <w:noProof/>
            <w:sz w:val="22"/>
            <w:szCs w:val="22"/>
            <w:lang w:val="en-US"/>
          </w:rPr>
          <w:tab/>
        </w:r>
        <w:r w:rsidR="00B11CCA">
          <w:rPr>
            <w:rStyle w:val="Hyperlink"/>
            <w:noProof/>
          </w:rPr>
          <w:t>Background to the Study</w:t>
        </w:r>
        <w:r w:rsidR="00B11CCA">
          <w:rPr>
            <w:noProof/>
            <w:webHidden/>
          </w:rPr>
          <w:tab/>
        </w:r>
        <w:r w:rsidR="00B11CCA">
          <w:rPr>
            <w:noProof/>
            <w:webHidden/>
          </w:rPr>
          <w:fldChar w:fldCharType="begin"/>
        </w:r>
        <w:r w:rsidR="00B11CCA">
          <w:rPr>
            <w:noProof/>
            <w:webHidden/>
          </w:rPr>
          <w:instrText xml:space="preserve"> PAGEREF _Toc112342334 \h </w:instrText>
        </w:r>
        <w:r w:rsidR="00B11CCA">
          <w:rPr>
            <w:noProof/>
            <w:webHidden/>
          </w:rPr>
        </w:r>
        <w:r w:rsidR="00B11CCA">
          <w:rPr>
            <w:noProof/>
            <w:webHidden/>
          </w:rPr>
          <w:fldChar w:fldCharType="separate"/>
        </w:r>
        <w:r>
          <w:rPr>
            <w:noProof/>
            <w:webHidden/>
          </w:rPr>
          <w:t>1</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35" w:history="1">
        <w:r w:rsidR="00B11CCA">
          <w:rPr>
            <w:rStyle w:val="Hyperlink"/>
            <w:noProof/>
          </w:rPr>
          <w:t>1.2.</w:t>
        </w:r>
        <w:r w:rsidR="00B11CCA">
          <w:rPr>
            <w:rFonts w:ascii="Calibri" w:hAnsi="Calibri" w:cs="SimSun"/>
            <w:noProof/>
            <w:sz w:val="22"/>
            <w:szCs w:val="22"/>
            <w:lang w:val="en-US"/>
          </w:rPr>
          <w:tab/>
        </w:r>
        <w:r w:rsidR="00B11CCA">
          <w:rPr>
            <w:rStyle w:val="Hyperlink"/>
            <w:noProof/>
          </w:rPr>
          <w:t>Statement of the Research Problem</w:t>
        </w:r>
        <w:r w:rsidR="00B11CCA">
          <w:rPr>
            <w:noProof/>
            <w:webHidden/>
          </w:rPr>
          <w:tab/>
        </w:r>
        <w:r w:rsidR="00B11CCA">
          <w:rPr>
            <w:noProof/>
            <w:webHidden/>
          </w:rPr>
          <w:fldChar w:fldCharType="begin"/>
        </w:r>
        <w:r w:rsidR="00B11CCA">
          <w:rPr>
            <w:noProof/>
            <w:webHidden/>
          </w:rPr>
          <w:instrText xml:space="preserve"> PAGEREF _Toc112342335 \h </w:instrText>
        </w:r>
        <w:r w:rsidR="00B11CCA">
          <w:rPr>
            <w:noProof/>
            <w:webHidden/>
          </w:rPr>
        </w:r>
        <w:r w:rsidR="00B11CCA">
          <w:rPr>
            <w:noProof/>
            <w:webHidden/>
          </w:rPr>
          <w:fldChar w:fldCharType="separate"/>
        </w:r>
        <w:r>
          <w:rPr>
            <w:noProof/>
            <w:webHidden/>
          </w:rPr>
          <w:t>5</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36" w:history="1">
        <w:r w:rsidR="00B11CCA">
          <w:rPr>
            <w:rStyle w:val="Hyperlink"/>
            <w:noProof/>
          </w:rPr>
          <w:t>1.3.</w:t>
        </w:r>
        <w:r w:rsidR="00B11CCA">
          <w:rPr>
            <w:rFonts w:ascii="Calibri" w:hAnsi="Calibri" w:cs="SimSun"/>
            <w:noProof/>
            <w:sz w:val="22"/>
            <w:szCs w:val="22"/>
            <w:lang w:val="en-US"/>
          </w:rPr>
          <w:tab/>
        </w:r>
        <w:r w:rsidR="00B11CCA">
          <w:rPr>
            <w:rStyle w:val="Hyperlink"/>
            <w:noProof/>
          </w:rPr>
          <w:t>Research Questions</w:t>
        </w:r>
        <w:r w:rsidR="00B11CCA">
          <w:rPr>
            <w:noProof/>
            <w:webHidden/>
          </w:rPr>
          <w:tab/>
        </w:r>
        <w:r w:rsidR="00B11CCA">
          <w:rPr>
            <w:noProof/>
            <w:webHidden/>
          </w:rPr>
          <w:fldChar w:fldCharType="begin"/>
        </w:r>
        <w:r w:rsidR="00B11CCA">
          <w:rPr>
            <w:noProof/>
            <w:webHidden/>
          </w:rPr>
          <w:instrText xml:space="preserve"> PAGEREF _Toc112342336 \h </w:instrText>
        </w:r>
        <w:r w:rsidR="00B11CCA">
          <w:rPr>
            <w:noProof/>
            <w:webHidden/>
          </w:rPr>
        </w:r>
        <w:r w:rsidR="00B11CCA">
          <w:rPr>
            <w:noProof/>
            <w:webHidden/>
          </w:rPr>
          <w:fldChar w:fldCharType="separate"/>
        </w:r>
        <w:r>
          <w:rPr>
            <w:noProof/>
            <w:webHidden/>
          </w:rPr>
          <w:t>7</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37" w:history="1">
        <w:r w:rsidR="00B11CCA">
          <w:rPr>
            <w:rStyle w:val="Hyperlink"/>
            <w:noProof/>
          </w:rPr>
          <w:t>1.4.</w:t>
        </w:r>
        <w:r w:rsidR="00B11CCA">
          <w:rPr>
            <w:rFonts w:ascii="Calibri" w:hAnsi="Calibri" w:cs="SimSun"/>
            <w:noProof/>
            <w:sz w:val="22"/>
            <w:szCs w:val="22"/>
            <w:lang w:val="en-US"/>
          </w:rPr>
          <w:tab/>
        </w:r>
        <w:r w:rsidR="00B11CCA">
          <w:rPr>
            <w:rStyle w:val="Hyperlink"/>
            <w:noProof/>
          </w:rPr>
          <w:t>Objectives of the Study</w:t>
        </w:r>
        <w:r w:rsidR="00B11CCA">
          <w:rPr>
            <w:noProof/>
            <w:webHidden/>
          </w:rPr>
          <w:tab/>
        </w:r>
        <w:r w:rsidR="00B11CCA">
          <w:rPr>
            <w:noProof/>
            <w:webHidden/>
          </w:rPr>
          <w:fldChar w:fldCharType="begin"/>
        </w:r>
        <w:r w:rsidR="00B11CCA">
          <w:rPr>
            <w:noProof/>
            <w:webHidden/>
          </w:rPr>
          <w:instrText xml:space="preserve"> PAGEREF _Toc112342337 \h </w:instrText>
        </w:r>
        <w:r w:rsidR="00B11CCA">
          <w:rPr>
            <w:noProof/>
            <w:webHidden/>
          </w:rPr>
        </w:r>
        <w:r w:rsidR="00B11CCA">
          <w:rPr>
            <w:noProof/>
            <w:webHidden/>
          </w:rPr>
          <w:fldChar w:fldCharType="separate"/>
        </w:r>
        <w:r>
          <w:rPr>
            <w:noProof/>
            <w:webHidden/>
          </w:rPr>
          <w:t>8</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38" w:history="1">
        <w:r w:rsidR="00B11CCA">
          <w:rPr>
            <w:rStyle w:val="Hyperlink"/>
            <w:noProof/>
          </w:rPr>
          <w:t>1.5.</w:t>
        </w:r>
        <w:r w:rsidR="00B11CCA">
          <w:rPr>
            <w:rFonts w:ascii="Calibri" w:hAnsi="Calibri" w:cs="SimSun"/>
            <w:noProof/>
            <w:sz w:val="22"/>
            <w:szCs w:val="22"/>
            <w:lang w:val="en-US"/>
          </w:rPr>
          <w:tab/>
        </w:r>
        <w:r w:rsidR="00B11CCA">
          <w:rPr>
            <w:rStyle w:val="Hyperlink"/>
            <w:noProof/>
          </w:rPr>
          <w:t>Research Hypotheses</w:t>
        </w:r>
        <w:r w:rsidR="00B11CCA">
          <w:rPr>
            <w:noProof/>
            <w:webHidden/>
          </w:rPr>
          <w:tab/>
        </w:r>
        <w:r w:rsidR="00B11CCA">
          <w:rPr>
            <w:noProof/>
            <w:webHidden/>
          </w:rPr>
          <w:fldChar w:fldCharType="begin"/>
        </w:r>
        <w:r w:rsidR="00B11CCA">
          <w:rPr>
            <w:noProof/>
            <w:webHidden/>
          </w:rPr>
          <w:instrText xml:space="preserve"> PAGEREF _Toc112342338 \h </w:instrText>
        </w:r>
        <w:r w:rsidR="00B11CCA">
          <w:rPr>
            <w:noProof/>
            <w:webHidden/>
          </w:rPr>
        </w:r>
        <w:r w:rsidR="00B11CCA">
          <w:rPr>
            <w:noProof/>
            <w:webHidden/>
          </w:rPr>
          <w:fldChar w:fldCharType="separate"/>
        </w:r>
        <w:r>
          <w:rPr>
            <w:noProof/>
            <w:webHidden/>
          </w:rPr>
          <w:t>8</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39" w:history="1">
        <w:r w:rsidR="00B11CCA">
          <w:rPr>
            <w:rStyle w:val="Hyperlink"/>
            <w:noProof/>
          </w:rPr>
          <w:t>1.6.</w:t>
        </w:r>
        <w:r w:rsidR="00B11CCA">
          <w:rPr>
            <w:rFonts w:ascii="Calibri" w:hAnsi="Calibri" w:cs="SimSun"/>
            <w:noProof/>
            <w:sz w:val="22"/>
            <w:szCs w:val="22"/>
            <w:lang w:val="en-US"/>
          </w:rPr>
          <w:tab/>
        </w:r>
        <w:r w:rsidR="00B11CCA">
          <w:rPr>
            <w:rStyle w:val="Hyperlink"/>
            <w:noProof/>
          </w:rPr>
          <w:t>Scope of the Study</w:t>
        </w:r>
        <w:r w:rsidR="00B11CCA">
          <w:rPr>
            <w:noProof/>
            <w:webHidden/>
          </w:rPr>
          <w:tab/>
        </w:r>
        <w:r w:rsidR="00B11CCA">
          <w:rPr>
            <w:noProof/>
            <w:webHidden/>
          </w:rPr>
          <w:fldChar w:fldCharType="begin"/>
        </w:r>
        <w:r w:rsidR="00B11CCA">
          <w:rPr>
            <w:noProof/>
            <w:webHidden/>
          </w:rPr>
          <w:instrText xml:space="preserve"> PAGEREF _Toc112342339 \h </w:instrText>
        </w:r>
        <w:r w:rsidR="00B11CCA">
          <w:rPr>
            <w:noProof/>
            <w:webHidden/>
          </w:rPr>
        </w:r>
        <w:r w:rsidR="00B11CCA">
          <w:rPr>
            <w:noProof/>
            <w:webHidden/>
          </w:rPr>
          <w:fldChar w:fldCharType="separate"/>
        </w:r>
        <w:r>
          <w:rPr>
            <w:noProof/>
            <w:webHidden/>
          </w:rPr>
          <w:t>8</w:t>
        </w:r>
        <w:r w:rsidR="00B11CCA">
          <w:rPr>
            <w:noProof/>
            <w:webHidden/>
          </w:rPr>
          <w:fldChar w:fldCharType="end"/>
        </w:r>
      </w:hyperlink>
    </w:p>
    <w:p w:rsidR="00FA1AC4" w:rsidRDefault="00F54823">
      <w:pPr>
        <w:pStyle w:val="TOC2"/>
        <w:tabs>
          <w:tab w:val="left" w:pos="880"/>
          <w:tab w:val="right" w:leader="dot" w:pos="8630"/>
        </w:tabs>
        <w:rPr>
          <w:rStyle w:val="Hyperlink"/>
          <w:noProof/>
        </w:rPr>
      </w:pPr>
      <w:hyperlink w:anchor="_Toc112342340" w:history="1">
        <w:r w:rsidR="00B11CCA">
          <w:rPr>
            <w:rStyle w:val="Hyperlink"/>
            <w:noProof/>
          </w:rPr>
          <w:t>1.7.</w:t>
        </w:r>
        <w:r w:rsidR="00B11CCA">
          <w:rPr>
            <w:rFonts w:ascii="Calibri" w:hAnsi="Calibri" w:cs="SimSun"/>
            <w:noProof/>
            <w:sz w:val="22"/>
            <w:szCs w:val="22"/>
            <w:lang w:val="en-US"/>
          </w:rPr>
          <w:tab/>
        </w:r>
        <w:r w:rsidR="00B11CCA">
          <w:rPr>
            <w:rStyle w:val="Hyperlink"/>
            <w:noProof/>
          </w:rPr>
          <w:t>Significance of the Study</w:t>
        </w:r>
        <w:r w:rsidR="00B11CCA">
          <w:rPr>
            <w:noProof/>
            <w:webHidden/>
          </w:rPr>
          <w:tab/>
        </w:r>
        <w:r w:rsidR="00B11CCA">
          <w:rPr>
            <w:noProof/>
            <w:webHidden/>
          </w:rPr>
          <w:fldChar w:fldCharType="begin"/>
        </w:r>
        <w:r w:rsidR="00B11CCA">
          <w:rPr>
            <w:noProof/>
            <w:webHidden/>
          </w:rPr>
          <w:instrText xml:space="preserve"> PAGEREF _Toc112342340 \h </w:instrText>
        </w:r>
        <w:r w:rsidR="00B11CCA">
          <w:rPr>
            <w:noProof/>
            <w:webHidden/>
          </w:rPr>
        </w:r>
        <w:r w:rsidR="00B11CCA">
          <w:rPr>
            <w:noProof/>
            <w:webHidden/>
          </w:rPr>
          <w:fldChar w:fldCharType="separate"/>
        </w:r>
        <w:r>
          <w:rPr>
            <w:noProof/>
            <w:webHidden/>
          </w:rPr>
          <w:t>9</w:t>
        </w:r>
        <w:r w:rsidR="00B11CCA">
          <w:rPr>
            <w:noProof/>
            <w:webHidden/>
          </w:rPr>
          <w:fldChar w:fldCharType="end"/>
        </w:r>
      </w:hyperlink>
    </w:p>
    <w:p w:rsidR="00FA1AC4" w:rsidRDefault="00FA1AC4"/>
    <w:p w:rsidR="00FA1AC4" w:rsidRDefault="00F54823">
      <w:pPr>
        <w:pStyle w:val="TOC1"/>
        <w:rPr>
          <w:rFonts w:ascii="Calibri" w:eastAsia="SimSun" w:hAnsi="Calibri" w:cs="SimSun"/>
          <w:sz w:val="22"/>
          <w:szCs w:val="22"/>
          <w:lang w:val="en-US"/>
        </w:rPr>
      </w:pPr>
      <w:hyperlink w:anchor="_Toc112342341" w:history="1">
        <w:r w:rsidR="00B11CCA">
          <w:rPr>
            <w:rStyle w:val="Hyperlink"/>
          </w:rPr>
          <w:t>CHAPTER TWO</w:t>
        </w:r>
        <w:r w:rsidR="00B11CCA">
          <w:rPr>
            <w:webHidden/>
          </w:rPr>
          <w:tab/>
        </w:r>
        <w:r w:rsidR="00B11CCA">
          <w:rPr>
            <w:webHidden/>
          </w:rPr>
          <w:fldChar w:fldCharType="begin"/>
        </w:r>
        <w:r w:rsidR="00B11CCA">
          <w:rPr>
            <w:webHidden/>
          </w:rPr>
          <w:instrText xml:space="preserve"> PAGEREF _Toc112342341 \h </w:instrText>
        </w:r>
        <w:r w:rsidR="00B11CCA">
          <w:rPr>
            <w:webHidden/>
          </w:rPr>
        </w:r>
        <w:r w:rsidR="00B11CCA">
          <w:rPr>
            <w:webHidden/>
          </w:rPr>
          <w:fldChar w:fldCharType="separate"/>
        </w:r>
        <w:r>
          <w:rPr>
            <w:webHidden/>
          </w:rPr>
          <w:t>11</w:t>
        </w:r>
        <w:r w:rsidR="00B11CCA">
          <w:rPr>
            <w:webHidden/>
          </w:rPr>
          <w:fldChar w:fldCharType="end"/>
        </w:r>
      </w:hyperlink>
    </w:p>
    <w:p w:rsidR="00FA1AC4" w:rsidRDefault="00F54823">
      <w:pPr>
        <w:pStyle w:val="TOC1"/>
        <w:rPr>
          <w:rFonts w:ascii="Calibri" w:eastAsia="SimSun" w:hAnsi="Calibri" w:cs="SimSun"/>
          <w:sz w:val="22"/>
          <w:szCs w:val="22"/>
          <w:lang w:val="en-US"/>
        </w:rPr>
      </w:pPr>
      <w:hyperlink w:anchor="_Toc112342342" w:history="1">
        <w:r w:rsidR="00B11CCA">
          <w:rPr>
            <w:rStyle w:val="Hyperlink"/>
          </w:rPr>
          <w:t>LITERATURE REVIEW</w:t>
        </w:r>
        <w:r w:rsidR="00B11CCA">
          <w:rPr>
            <w:webHidden/>
          </w:rPr>
          <w:tab/>
        </w:r>
        <w:r w:rsidR="00B11CCA">
          <w:rPr>
            <w:webHidden/>
          </w:rPr>
          <w:fldChar w:fldCharType="begin"/>
        </w:r>
        <w:r w:rsidR="00B11CCA">
          <w:rPr>
            <w:webHidden/>
          </w:rPr>
          <w:instrText xml:space="preserve"> PAGEREF _Toc112342342 \h </w:instrText>
        </w:r>
        <w:r w:rsidR="00B11CCA">
          <w:rPr>
            <w:webHidden/>
          </w:rPr>
        </w:r>
        <w:r w:rsidR="00B11CCA">
          <w:rPr>
            <w:webHidden/>
          </w:rPr>
          <w:fldChar w:fldCharType="separate"/>
        </w:r>
        <w:r>
          <w:rPr>
            <w:webHidden/>
          </w:rPr>
          <w:t>11</w:t>
        </w:r>
        <w:r w:rsidR="00B11CCA">
          <w:rPr>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43" w:history="1">
        <w:r w:rsidR="00B11CCA">
          <w:rPr>
            <w:rStyle w:val="Hyperlink"/>
            <w:noProof/>
          </w:rPr>
          <w:t>2.1</w:t>
        </w:r>
        <w:r w:rsidR="00B11CCA">
          <w:rPr>
            <w:rFonts w:ascii="Calibri" w:hAnsi="Calibri" w:cs="SimSun"/>
            <w:noProof/>
            <w:sz w:val="22"/>
            <w:szCs w:val="22"/>
            <w:lang w:val="en-US"/>
          </w:rPr>
          <w:tab/>
        </w:r>
        <w:r w:rsidR="00B11CCA">
          <w:rPr>
            <w:rStyle w:val="Hyperlink"/>
            <w:noProof/>
          </w:rPr>
          <w:t>Introduction</w:t>
        </w:r>
        <w:r w:rsidR="00B11CCA">
          <w:rPr>
            <w:noProof/>
            <w:webHidden/>
          </w:rPr>
          <w:tab/>
        </w:r>
        <w:r w:rsidR="00B11CCA">
          <w:rPr>
            <w:noProof/>
            <w:webHidden/>
          </w:rPr>
          <w:fldChar w:fldCharType="begin"/>
        </w:r>
        <w:r w:rsidR="00B11CCA">
          <w:rPr>
            <w:noProof/>
            <w:webHidden/>
          </w:rPr>
          <w:instrText xml:space="preserve"> PAGEREF _Toc112342343 \h </w:instrText>
        </w:r>
        <w:r w:rsidR="00B11CCA">
          <w:rPr>
            <w:noProof/>
            <w:webHidden/>
          </w:rPr>
        </w:r>
        <w:r w:rsidR="00B11CCA">
          <w:rPr>
            <w:noProof/>
            <w:webHidden/>
          </w:rPr>
          <w:fldChar w:fldCharType="separate"/>
        </w:r>
        <w:r>
          <w:rPr>
            <w:noProof/>
            <w:webHidden/>
          </w:rPr>
          <w:t>11</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44" w:history="1">
        <w:r w:rsidR="00B11CCA">
          <w:rPr>
            <w:rStyle w:val="Hyperlink"/>
            <w:noProof/>
          </w:rPr>
          <w:t>2.2</w:t>
        </w:r>
        <w:r w:rsidR="00B11CCA">
          <w:rPr>
            <w:rFonts w:ascii="Calibri" w:hAnsi="Calibri" w:cs="SimSun"/>
            <w:noProof/>
            <w:sz w:val="22"/>
            <w:szCs w:val="22"/>
            <w:lang w:val="en-US"/>
          </w:rPr>
          <w:tab/>
        </w:r>
        <w:r w:rsidR="00B11CCA">
          <w:rPr>
            <w:rStyle w:val="Hyperlink"/>
            <w:noProof/>
          </w:rPr>
          <w:t>. Internal Control System</w:t>
        </w:r>
        <w:r w:rsidR="00B11CCA">
          <w:rPr>
            <w:noProof/>
            <w:webHidden/>
          </w:rPr>
          <w:tab/>
        </w:r>
        <w:r w:rsidR="00B11CCA">
          <w:rPr>
            <w:noProof/>
            <w:webHidden/>
          </w:rPr>
          <w:fldChar w:fldCharType="begin"/>
        </w:r>
        <w:r w:rsidR="00B11CCA">
          <w:rPr>
            <w:noProof/>
            <w:webHidden/>
          </w:rPr>
          <w:instrText xml:space="preserve"> PAGEREF _Toc112342344 \h </w:instrText>
        </w:r>
        <w:r w:rsidR="00B11CCA">
          <w:rPr>
            <w:noProof/>
            <w:webHidden/>
          </w:rPr>
        </w:r>
        <w:r w:rsidR="00B11CCA">
          <w:rPr>
            <w:noProof/>
            <w:webHidden/>
          </w:rPr>
          <w:fldChar w:fldCharType="separate"/>
        </w:r>
        <w:r>
          <w:rPr>
            <w:noProof/>
            <w:webHidden/>
          </w:rPr>
          <w:t>12</w:t>
        </w:r>
        <w:r w:rsidR="00B11CCA">
          <w:rPr>
            <w:noProof/>
            <w:webHidden/>
          </w:rPr>
          <w:fldChar w:fldCharType="end"/>
        </w:r>
      </w:hyperlink>
    </w:p>
    <w:p w:rsidR="00FA1AC4" w:rsidRDefault="00F54823">
      <w:pPr>
        <w:pStyle w:val="TOC3"/>
        <w:tabs>
          <w:tab w:val="left" w:pos="1320"/>
          <w:tab w:val="right" w:leader="dot" w:pos="8630"/>
        </w:tabs>
        <w:rPr>
          <w:rFonts w:ascii="Calibri" w:hAnsi="Calibri" w:cs="SimSun"/>
          <w:noProof/>
          <w:sz w:val="22"/>
          <w:szCs w:val="22"/>
          <w:lang w:val="en-US"/>
        </w:rPr>
      </w:pPr>
      <w:hyperlink w:anchor="_Toc112342345" w:history="1">
        <w:r w:rsidR="00B11CCA">
          <w:rPr>
            <w:rStyle w:val="Hyperlink"/>
            <w:noProof/>
          </w:rPr>
          <w:t>2.2.1.</w:t>
        </w:r>
        <w:r w:rsidR="00B11CCA">
          <w:rPr>
            <w:rFonts w:ascii="Calibri" w:hAnsi="Calibri" w:cs="SimSun"/>
            <w:noProof/>
            <w:sz w:val="22"/>
            <w:szCs w:val="22"/>
            <w:lang w:val="en-US"/>
          </w:rPr>
          <w:tab/>
        </w:r>
        <w:r w:rsidR="00B11CCA">
          <w:rPr>
            <w:rStyle w:val="Hyperlink"/>
            <w:noProof/>
          </w:rPr>
          <w:t>Control Activities</w:t>
        </w:r>
        <w:r w:rsidR="00B11CCA">
          <w:rPr>
            <w:noProof/>
            <w:webHidden/>
          </w:rPr>
          <w:tab/>
        </w:r>
        <w:r w:rsidR="00B11CCA">
          <w:rPr>
            <w:noProof/>
            <w:webHidden/>
          </w:rPr>
          <w:fldChar w:fldCharType="begin"/>
        </w:r>
        <w:r w:rsidR="00B11CCA">
          <w:rPr>
            <w:noProof/>
            <w:webHidden/>
          </w:rPr>
          <w:instrText xml:space="preserve"> PAGEREF _Toc112342345 \h </w:instrText>
        </w:r>
        <w:r w:rsidR="00B11CCA">
          <w:rPr>
            <w:noProof/>
            <w:webHidden/>
          </w:rPr>
        </w:r>
        <w:r w:rsidR="00B11CCA">
          <w:rPr>
            <w:noProof/>
            <w:webHidden/>
          </w:rPr>
          <w:fldChar w:fldCharType="separate"/>
        </w:r>
        <w:r>
          <w:rPr>
            <w:noProof/>
            <w:webHidden/>
          </w:rPr>
          <w:t>13</w:t>
        </w:r>
        <w:r w:rsidR="00B11CCA">
          <w:rPr>
            <w:noProof/>
            <w:webHidden/>
          </w:rPr>
          <w:fldChar w:fldCharType="end"/>
        </w:r>
      </w:hyperlink>
    </w:p>
    <w:p w:rsidR="00FA1AC4" w:rsidRDefault="00F54823">
      <w:pPr>
        <w:pStyle w:val="TOC3"/>
        <w:tabs>
          <w:tab w:val="left" w:pos="1320"/>
          <w:tab w:val="right" w:leader="dot" w:pos="8630"/>
        </w:tabs>
        <w:rPr>
          <w:rFonts w:ascii="Calibri" w:hAnsi="Calibri" w:cs="SimSun"/>
          <w:noProof/>
          <w:sz w:val="22"/>
          <w:szCs w:val="22"/>
          <w:lang w:val="en-US"/>
        </w:rPr>
      </w:pPr>
      <w:hyperlink w:anchor="_Toc112342346" w:history="1">
        <w:r w:rsidR="00B11CCA">
          <w:rPr>
            <w:rStyle w:val="Hyperlink"/>
            <w:noProof/>
          </w:rPr>
          <w:t>2.2.2.</w:t>
        </w:r>
        <w:r w:rsidR="00B11CCA">
          <w:rPr>
            <w:rFonts w:ascii="Calibri" w:hAnsi="Calibri" w:cs="SimSun"/>
            <w:noProof/>
            <w:sz w:val="22"/>
            <w:szCs w:val="22"/>
            <w:lang w:val="en-US"/>
          </w:rPr>
          <w:tab/>
        </w:r>
        <w:r w:rsidR="00B11CCA">
          <w:rPr>
            <w:rStyle w:val="Hyperlink"/>
            <w:noProof/>
          </w:rPr>
          <w:t>Risk Assessment</w:t>
        </w:r>
        <w:r w:rsidR="00B11CCA">
          <w:rPr>
            <w:noProof/>
            <w:webHidden/>
          </w:rPr>
          <w:tab/>
        </w:r>
        <w:r w:rsidR="00B11CCA">
          <w:rPr>
            <w:noProof/>
            <w:webHidden/>
          </w:rPr>
          <w:fldChar w:fldCharType="begin"/>
        </w:r>
        <w:r w:rsidR="00B11CCA">
          <w:rPr>
            <w:noProof/>
            <w:webHidden/>
          </w:rPr>
          <w:instrText xml:space="preserve"> PAGEREF _Toc112342346 \h </w:instrText>
        </w:r>
        <w:r w:rsidR="00B11CCA">
          <w:rPr>
            <w:noProof/>
            <w:webHidden/>
          </w:rPr>
        </w:r>
        <w:r w:rsidR="00B11CCA">
          <w:rPr>
            <w:noProof/>
            <w:webHidden/>
          </w:rPr>
          <w:fldChar w:fldCharType="separate"/>
        </w:r>
        <w:r>
          <w:rPr>
            <w:noProof/>
            <w:webHidden/>
          </w:rPr>
          <w:t>14</w:t>
        </w:r>
        <w:r w:rsidR="00B11CCA">
          <w:rPr>
            <w:noProof/>
            <w:webHidden/>
          </w:rPr>
          <w:fldChar w:fldCharType="end"/>
        </w:r>
      </w:hyperlink>
    </w:p>
    <w:p w:rsidR="00FA1AC4" w:rsidRDefault="00F54823">
      <w:pPr>
        <w:pStyle w:val="TOC3"/>
        <w:tabs>
          <w:tab w:val="left" w:pos="1320"/>
          <w:tab w:val="right" w:leader="dot" w:pos="8630"/>
        </w:tabs>
        <w:rPr>
          <w:rFonts w:ascii="Calibri" w:hAnsi="Calibri" w:cs="SimSun"/>
          <w:noProof/>
          <w:sz w:val="22"/>
          <w:szCs w:val="22"/>
          <w:lang w:val="en-US"/>
        </w:rPr>
      </w:pPr>
      <w:hyperlink w:anchor="_Toc112342347" w:history="1">
        <w:r w:rsidR="00B11CCA">
          <w:rPr>
            <w:rStyle w:val="Hyperlink"/>
            <w:noProof/>
          </w:rPr>
          <w:t>2.2.3.</w:t>
        </w:r>
        <w:r w:rsidR="00B11CCA">
          <w:rPr>
            <w:rFonts w:ascii="Calibri" w:hAnsi="Calibri" w:cs="SimSun"/>
            <w:noProof/>
            <w:sz w:val="22"/>
            <w:szCs w:val="22"/>
            <w:lang w:val="en-US"/>
          </w:rPr>
          <w:tab/>
        </w:r>
        <w:r w:rsidR="00B11CCA">
          <w:rPr>
            <w:rStyle w:val="Hyperlink"/>
            <w:noProof/>
          </w:rPr>
          <w:t>Information and Communication</w:t>
        </w:r>
        <w:r w:rsidR="00B11CCA">
          <w:rPr>
            <w:noProof/>
            <w:webHidden/>
          </w:rPr>
          <w:tab/>
        </w:r>
        <w:r w:rsidR="00B11CCA">
          <w:rPr>
            <w:noProof/>
            <w:webHidden/>
          </w:rPr>
          <w:fldChar w:fldCharType="begin"/>
        </w:r>
        <w:r w:rsidR="00B11CCA">
          <w:rPr>
            <w:noProof/>
            <w:webHidden/>
          </w:rPr>
          <w:instrText xml:space="preserve"> PAGEREF _Toc112342347 \h </w:instrText>
        </w:r>
        <w:r w:rsidR="00B11CCA">
          <w:rPr>
            <w:noProof/>
            <w:webHidden/>
          </w:rPr>
        </w:r>
        <w:r w:rsidR="00B11CCA">
          <w:rPr>
            <w:noProof/>
            <w:webHidden/>
          </w:rPr>
          <w:fldChar w:fldCharType="separate"/>
        </w:r>
        <w:r>
          <w:rPr>
            <w:noProof/>
            <w:webHidden/>
          </w:rPr>
          <w:t>15</w:t>
        </w:r>
        <w:r w:rsidR="00B11CCA">
          <w:rPr>
            <w:noProof/>
            <w:webHidden/>
          </w:rPr>
          <w:fldChar w:fldCharType="end"/>
        </w:r>
      </w:hyperlink>
    </w:p>
    <w:p w:rsidR="00FA1AC4" w:rsidRDefault="00F54823">
      <w:pPr>
        <w:pStyle w:val="TOC3"/>
        <w:tabs>
          <w:tab w:val="left" w:pos="1320"/>
          <w:tab w:val="right" w:leader="dot" w:pos="8630"/>
        </w:tabs>
        <w:rPr>
          <w:rFonts w:ascii="Calibri" w:hAnsi="Calibri" w:cs="SimSun"/>
          <w:noProof/>
          <w:sz w:val="22"/>
          <w:szCs w:val="22"/>
          <w:lang w:val="en-US"/>
        </w:rPr>
      </w:pPr>
      <w:hyperlink w:anchor="_Toc112342348" w:history="1">
        <w:r w:rsidR="00B11CCA">
          <w:rPr>
            <w:rStyle w:val="Hyperlink"/>
            <w:noProof/>
          </w:rPr>
          <w:t>2.2.4.</w:t>
        </w:r>
        <w:r w:rsidR="00B11CCA">
          <w:rPr>
            <w:rFonts w:ascii="Calibri" w:hAnsi="Calibri" w:cs="SimSun"/>
            <w:noProof/>
            <w:sz w:val="22"/>
            <w:szCs w:val="22"/>
            <w:lang w:val="en-US"/>
          </w:rPr>
          <w:tab/>
        </w:r>
        <w:r w:rsidR="00B11CCA">
          <w:rPr>
            <w:rStyle w:val="Hyperlink"/>
            <w:noProof/>
          </w:rPr>
          <w:t>Monitoring Activities</w:t>
        </w:r>
        <w:r w:rsidR="00B11CCA">
          <w:rPr>
            <w:noProof/>
            <w:webHidden/>
          </w:rPr>
          <w:tab/>
        </w:r>
        <w:r w:rsidR="00B11CCA">
          <w:rPr>
            <w:noProof/>
            <w:webHidden/>
          </w:rPr>
          <w:fldChar w:fldCharType="begin"/>
        </w:r>
        <w:r w:rsidR="00B11CCA">
          <w:rPr>
            <w:noProof/>
            <w:webHidden/>
          </w:rPr>
          <w:instrText xml:space="preserve"> PAGEREF _Toc112342348 \h </w:instrText>
        </w:r>
        <w:r w:rsidR="00B11CCA">
          <w:rPr>
            <w:noProof/>
            <w:webHidden/>
          </w:rPr>
        </w:r>
        <w:r w:rsidR="00B11CCA">
          <w:rPr>
            <w:noProof/>
            <w:webHidden/>
          </w:rPr>
          <w:fldChar w:fldCharType="separate"/>
        </w:r>
        <w:r>
          <w:rPr>
            <w:noProof/>
            <w:webHidden/>
          </w:rPr>
          <w:t>15</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49" w:history="1">
        <w:r w:rsidR="00B11CCA">
          <w:rPr>
            <w:rStyle w:val="Hyperlink"/>
            <w:noProof/>
          </w:rPr>
          <w:t>2.3.</w:t>
        </w:r>
        <w:r w:rsidR="00B11CCA">
          <w:rPr>
            <w:rFonts w:ascii="Calibri" w:hAnsi="Calibri" w:cs="SimSun"/>
            <w:noProof/>
            <w:sz w:val="22"/>
            <w:szCs w:val="22"/>
            <w:lang w:val="en-US"/>
          </w:rPr>
          <w:tab/>
        </w:r>
        <w:r w:rsidR="00B11CCA">
          <w:rPr>
            <w:rStyle w:val="Hyperlink"/>
            <w:noProof/>
          </w:rPr>
          <w:t>Audit Committee</w:t>
        </w:r>
        <w:r w:rsidR="00B11CCA">
          <w:rPr>
            <w:noProof/>
            <w:webHidden/>
          </w:rPr>
          <w:tab/>
        </w:r>
        <w:r w:rsidR="00B11CCA">
          <w:rPr>
            <w:noProof/>
            <w:webHidden/>
          </w:rPr>
          <w:fldChar w:fldCharType="begin"/>
        </w:r>
        <w:r w:rsidR="00B11CCA">
          <w:rPr>
            <w:noProof/>
            <w:webHidden/>
          </w:rPr>
          <w:instrText xml:space="preserve"> PAGEREF _Toc112342349 \h </w:instrText>
        </w:r>
        <w:r w:rsidR="00B11CCA">
          <w:rPr>
            <w:noProof/>
            <w:webHidden/>
          </w:rPr>
        </w:r>
        <w:r w:rsidR="00B11CCA">
          <w:rPr>
            <w:noProof/>
            <w:webHidden/>
          </w:rPr>
          <w:fldChar w:fldCharType="separate"/>
        </w:r>
        <w:r>
          <w:rPr>
            <w:noProof/>
            <w:webHidden/>
          </w:rPr>
          <w:t>18</w:t>
        </w:r>
        <w:r w:rsidR="00B11CCA">
          <w:rPr>
            <w:noProof/>
            <w:webHidden/>
          </w:rPr>
          <w:fldChar w:fldCharType="end"/>
        </w:r>
      </w:hyperlink>
    </w:p>
    <w:p w:rsidR="00FA1AC4" w:rsidRDefault="00F54823">
      <w:pPr>
        <w:pStyle w:val="TOC3"/>
        <w:tabs>
          <w:tab w:val="left" w:pos="1320"/>
          <w:tab w:val="right" w:leader="dot" w:pos="8630"/>
        </w:tabs>
        <w:rPr>
          <w:rFonts w:ascii="Calibri" w:hAnsi="Calibri" w:cs="SimSun"/>
          <w:noProof/>
          <w:sz w:val="22"/>
          <w:szCs w:val="22"/>
          <w:lang w:val="en-US"/>
        </w:rPr>
      </w:pPr>
      <w:hyperlink w:anchor="_Toc112342350" w:history="1">
        <w:r w:rsidR="00B11CCA">
          <w:rPr>
            <w:rStyle w:val="Hyperlink"/>
            <w:noProof/>
          </w:rPr>
          <w:t>2.3.1.</w:t>
        </w:r>
        <w:r w:rsidR="00B11CCA">
          <w:rPr>
            <w:rFonts w:ascii="Calibri" w:hAnsi="Calibri" w:cs="SimSun"/>
            <w:noProof/>
            <w:sz w:val="22"/>
            <w:szCs w:val="22"/>
            <w:lang w:val="en-US"/>
          </w:rPr>
          <w:tab/>
        </w:r>
        <w:r w:rsidR="00B11CCA">
          <w:rPr>
            <w:rStyle w:val="Hyperlink"/>
            <w:noProof/>
          </w:rPr>
          <w:t>Audit Committee Meeting</w:t>
        </w:r>
        <w:r w:rsidR="00B11CCA">
          <w:rPr>
            <w:noProof/>
            <w:webHidden/>
          </w:rPr>
          <w:tab/>
        </w:r>
        <w:r w:rsidR="00B11CCA">
          <w:rPr>
            <w:noProof/>
            <w:webHidden/>
          </w:rPr>
          <w:fldChar w:fldCharType="begin"/>
        </w:r>
        <w:r w:rsidR="00B11CCA">
          <w:rPr>
            <w:noProof/>
            <w:webHidden/>
          </w:rPr>
          <w:instrText xml:space="preserve"> PAGEREF _Toc112342350 \h </w:instrText>
        </w:r>
        <w:r w:rsidR="00B11CCA">
          <w:rPr>
            <w:noProof/>
            <w:webHidden/>
          </w:rPr>
        </w:r>
        <w:r w:rsidR="00B11CCA">
          <w:rPr>
            <w:noProof/>
            <w:webHidden/>
          </w:rPr>
          <w:fldChar w:fldCharType="separate"/>
        </w:r>
        <w:r>
          <w:rPr>
            <w:noProof/>
            <w:webHidden/>
          </w:rPr>
          <w:t>20</w:t>
        </w:r>
        <w:r w:rsidR="00B11CCA">
          <w:rPr>
            <w:noProof/>
            <w:webHidden/>
          </w:rPr>
          <w:fldChar w:fldCharType="end"/>
        </w:r>
      </w:hyperlink>
    </w:p>
    <w:p w:rsidR="00FA1AC4" w:rsidRDefault="00F54823">
      <w:pPr>
        <w:pStyle w:val="TOC3"/>
        <w:tabs>
          <w:tab w:val="left" w:pos="1320"/>
          <w:tab w:val="right" w:leader="dot" w:pos="8630"/>
        </w:tabs>
        <w:rPr>
          <w:rFonts w:ascii="Calibri" w:hAnsi="Calibri" w:cs="SimSun"/>
          <w:noProof/>
          <w:sz w:val="22"/>
          <w:szCs w:val="22"/>
          <w:lang w:val="en-US"/>
        </w:rPr>
      </w:pPr>
      <w:hyperlink w:anchor="_Toc112342351" w:history="1">
        <w:r w:rsidR="00B11CCA">
          <w:rPr>
            <w:rStyle w:val="Hyperlink"/>
            <w:noProof/>
          </w:rPr>
          <w:t>2.3.2.</w:t>
        </w:r>
        <w:r w:rsidR="00B11CCA">
          <w:rPr>
            <w:rFonts w:ascii="Calibri" w:hAnsi="Calibri" w:cs="SimSun"/>
            <w:noProof/>
            <w:sz w:val="22"/>
            <w:szCs w:val="22"/>
            <w:lang w:val="en-US"/>
          </w:rPr>
          <w:tab/>
        </w:r>
        <w:r w:rsidR="00B11CCA">
          <w:rPr>
            <w:rStyle w:val="Hyperlink"/>
            <w:noProof/>
          </w:rPr>
          <w:t>Audit Committee Member Size</w:t>
        </w:r>
        <w:r w:rsidR="00B11CCA">
          <w:rPr>
            <w:noProof/>
            <w:webHidden/>
          </w:rPr>
          <w:tab/>
        </w:r>
        <w:r w:rsidR="00B11CCA">
          <w:rPr>
            <w:noProof/>
            <w:webHidden/>
          </w:rPr>
          <w:fldChar w:fldCharType="begin"/>
        </w:r>
        <w:r w:rsidR="00B11CCA">
          <w:rPr>
            <w:noProof/>
            <w:webHidden/>
          </w:rPr>
          <w:instrText xml:space="preserve"> PAGEREF _Toc112342351 \h </w:instrText>
        </w:r>
        <w:r w:rsidR="00B11CCA">
          <w:rPr>
            <w:noProof/>
            <w:webHidden/>
          </w:rPr>
        </w:r>
        <w:r w:rsidR="00B11CCA">
          <w:rPr>
            <w:noProof/>
            <w:webHidden/>
          </w:rPr>
          <w:fldChar w:fldCharType="separate"/>
        </w:r>
        <w:r>
          <w:rPr>
            <w:noProof/>
            <w:webHidden/>
          </w:rPr>
          <w:t>22</w:t>
        </w:r>
        <w:r w:rsidR="00B11CCA">
          <w:rPr>
            <w:noProof/>
            <w:webHidden/>
          </w:rPr>
          <w:fldChar w:fldCharType="end"/>
        </w:r>
      </w:hyperlink>
    </w:p>
    <w:p w:rsidR="00FA1AC4" w:rsidRDefault="00F54823">
      <w:pPr>
        <w:pStyle w:val="TOC3"/>
        <w:tabs>
          <w:tab w:val="left" w:pos="1320"/>
          <w:tab w:val="right" w:leader="dot" w:pos="8630"/>
        </w:tabs>
        <w:rPr>
          <w:rFonts w:ascii="Calibri" w:hAnsi="Calibri" w:cs="SimSun"/>
          <w:noProof/>
          <w:sz w:val="22"/>
          <w:szCs w:val="22"/>
          <w:lang w:val="en-US"/>
        </w:rPr>
      </w:pPr>
      <w:hyperlink w:anchor="_Toc112342352" w:history="1">
        <w:r w:rsidR="00B11CCA">
          <w:rPr>
            <w:rStyle w:val="Hyperlink"/>
            <w:noProof/>
          </w:rPr>
          <w:t>2.3.3.</w:t>
        </w:r>
        <w:r w:rsidR="00B11CCA">
          <w:rPr>
            <w:rFonts w:ascii="Calibri" w:hAnsi="Calibri" w:cs="SimSun"/>
            <w:noProof/>
            <w:sz w:val="22"/>
            <w:szCs w:val="22"/>
            <w:lang w:val="en-US"/>
          </w:rPr>
          <w:tab/>
        </w:r>
        <w:r w:rsidR="00B11CCA">
          <w:rPr>
            <w:rStyle w:val="Hyperlink"/>
            <w:noProof/>
          </w:rPr>
          <w:t>Audit Committee Composition</w:t>
        </w:r>
        <w:r w:rsidR="00B11CCA">
          <w:rPr>
            <w:noProof/>
            <w:webHidden/>
          </w:rPr>
          <w:tab/>
        </w:r>
        <w:r w:rsidR="00B11CCA">
          <w:rPr>
            <w:noProof/>
            <w:webHidden/>
          </w:rPr>
          <w:fldChar w:fldCharType="begin"/>
        </w:r>
        <w:r w:rsidR="00B11CCA">
          <w:rPr>
            <w:noProof/>
            <w:webHidden/>
          </w:rPr>
          <w:instrText xml:space="preserve"> PAGEREF _Toc112342352 \h </w:instrText>
        </w:r>
        <w:r w:rsidR="00B11CCA">
          <w:rPr>
            <w:noProof/>
            <w:webHidden/>
          </w:rPr>
        </w:r>
        <w:r w:rsidR="00B11CCA">
          <w:rPr>
            <w:noProof/>
            <w:webHidden/>
          </w:rPr>
          <w:fldChar w:fldCharType="separate"/>
        </w:r>
        <w:r>
          <w:rPr>
            <w:noProof/>
            <w:webHidden/>
          </w:rPr>
          <w:t>23</w:t>
        </w:r>
        <w:r w:rsidR="00B11CCA">
          <w:rPr>
            <w:noProof/>
            <w:webHidden/>
          </w:rPr>
          <w:fldChar w:fldCharType="end"/>
        </w:r>
      </w:hyperlink>
    </w:p>
    <w:p w:rsidR="00FA1AC4" w:rsidRDefault="00F54823">
      <w:pPr>
        <w:pStyle w:val="TOC3"/>
        <w:tabs>
          <w:tab w:val="left" w:pos="1320"/>
          <w:tab w:val="right" w:leader="dot" w:pos="8630"/>
        </w:tabs>
        <w:rPr>
          <w:rFonts w:ascii="Calibri" w:hAnsi="Calibri" w:cs="SimSun"/>
          <w:noProof/>
          <w:sz w:val="22"/>
          <w:szCs w:val="22"/>
          <w:lang w:val="en-US"/>
        </w:rPr>
      </w:pPr>
      <w:hyperlink w:anchor="_Toc112342353" w:history="1">
        <w:r w:rsidR="00B11CCA">
          <w:rPr>
            <w:rStyle w:val="Hyperlink"/>
            <w:noProof/>
          </w:rPr>
          <w:t>2.3.4.</w:t>
        </w:r>
        <w:r w:rsidR="00B11CCA">
          <w:rPr>
            <w:rFonts w:ascii="Calibri" w:hAnsi="Calibri" w:cs="SimSun"/>
            <w:noProof/>
            <w:sz w:val="22"/>
            <w:szCs w:val="22"/>
            <w:lang w:val="en-US"/>
          </w:rPr>
          <w:tab/>
        </w:r>
        <w:r w:rsidR="00B11CCA">
          <w:rPr>
            <w:rStyle w:val="Hyperlink"/>
            <w:noProof/>
          </w:rPr>
          <w:t>Audit Committee Female Members</w:t>
        </w:r>
        <w:r w:rsidR="00B11CCA">
          <w:rPr>
            <w:noProof/>
            <w:webHidden/>
          </w:rPr>
          <w:tab/>
        </w:r>
        <w:r w:rsidR="00B11CCA">
          <w:rPr>
            <w:noProof/>
            <w:webHidden/>
          </w:rPr>
          <w:fldChar w:fldCharType="begin"/>
        </w:r>
        <w:r w:rsidR="00B11CCA">
          <w:rPr>
            <w:noProof/>
            <w:webHidden/>
          </w:rPr>
          <w:instrText xml:space="preserve"> PAGEREF _Toc112342353 \h </w:instrText>
        </w:r>
        <w:r w:rsidR="00B11CCA">
          <w:rPr>
            <w:noProof/>
            <w:webHidden/>
          </w:rPr>
        </w:r>
        <w:r w:rsidR="00B11CCA">
          <w:rPr>
            <w:noProof/>
            <w:webHidden/>
          </w:rPr>
          <w:fldChar w:fldCharType="separate"/>
        </w:r>
        <w:r>
          <w:rPr>
            <w:noProof/>
            <w:webHidden/>
          </w:rPr>
          <w:t>24</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54" w:history="1">
        <w:r w:rsidR="00B11CCA">
          <w:rPr>
            <w:rStyle w:val="Hyperlink"/>
            <w:noProof/>
          </w:rPr>
          <w:t>2.4.</w:t>
        </w:r>
        <w:r w:rsidR="00B11CCA">
          <w:rPr>
            <w:rFonts w:ascii="Calibri" w:hAnsi="Calibri" w:cs="SimSun"/>
            <w:noProof/>
            <w:sz w:val="22"/>
            <w:szCs w:val="22"/>
            <w:lang w:val="en-US"/>
          </w:rPr>
          <w:tab/>
        </w:r>
        <w:r w:rsidR="00B11CCA">
          <w:rPr>
            <w:rStyle w:val="Hyperlink"/>
            <w:noProof/>
          </w:rPr>
          <w:t>Financial Reporting</w:t>
        </w:r>
        <w:r w:rsidR="00B11CCA">
          <w:rPr>
            <w:noProof/>
            <w:webHidden/>
          </w:rPr>
          <w:tab/>
        </w:r>
        <w:r w:rsidR="00B11CCA">
          <w:rPr>
            <w:noProof/>
            <w:webHidden/>
          </w:rPr>
          <w:fldChar w:fldCharType="begin"/>
        </w:r>
        <w:r w:rsidR="00B11CCA">
          <w:rPr>
            <w:noProof/>
            <w:webHidden/>
          </w:rPr>
          <w:instrText xml:space="preserve"> PAGEREF _Toc112342354 \h </w:instrText>
        </w:r>
        <w:r w:rsidR="00B11CCA">
          <w:rPr>
            <w:noProof/>
            <w:webHidden/>
          </w:rPr>
        </w:r>
        <w:r w:rsidR="00B11CCA">
          <w:rPr>
            <w:noProof/>
            <w:webHidden/>
          </w:rPr>
          <w:fldChar w:fldCharType="separate"/>
        </w:r>
        <w:r>
          <w:rPr>
            <w:noProof/>
            <w:webHidden/>
          </w:rPr>
          <w:t>25</w:t>
        </w:r>
        <w:r w:rsidR="00B11CCA">
          <w:rPr>
            <w:noProof/>
            <w:webHidden/>
          </w:rPr>
          <w:fldChar w:fldCharType="end"/>
        </w:r>
      </w:hyperlink>
    </w:p>
    <w:p w:rsidR="00FA1AC4" w:rsidRDefault="00F54823">
      <w:pPr>
        <w:pStyle w:val="TOC3"/>
        <w:tabs>
          <w:tab w:val="left" w:pos="1320"/>
          <w:tab w:val="right" w:leader="dot" w:pos="8630"/>
        </w:tabs>
        <w:rPr>
          <w:rFonts w:ascii="Calibri" w:hAnsi="Calibri" w:cs="SimSun"/>
          <w:noProof/>
          <w:sz w:val="22"/>
          <w:szCs w:val="22"/>
          <w:lang w:val="en-US"/>
        </w:rPr>
      </w:pPr>
      <w:hyperlink w:anchor="_Toc112342355" w:history="1">
        <w:r w:rsidR="00B11CCA">
          <w:rPr>
            <w:rStyle w:val="Hyperlink"/>
            <w:noProof/>
          </w:rPr>
          <w:t>2.4.1.</w:t>
        </w:r>
        <w:r w:rsidR="00B11CCA">
          <w:rPr>
            <w:rFonts w:ascii="Calibri" w:hAnsi="Calibri" w:cs="SimSun"/>
            <w:noProof/>
            <w:sz w:val="22"/>
            <w:szCs w:val="22"/>
            <w:lang w:val="en-US"/>
          </w:rPr>
          <w:tab/>
        </w:r>
        <w:r w:rsidR="00B11CCA">
          <w:rPr>
            <w:rStyle w:val="Hyperlink"/>
            <w:noProof/>
          </w:rPr>
          <w:t>Firm Characteristics</w:t>
        </w:r>
        <w:r w:rsidR="00B11CCA">
          <w:rPr>
            <w:noProof/>
            <w:webHidden/>
          </w:rPr>
          <w:tab/>
        </w:r>
        <w:r w:rsidR="00B11CCA">
          <w:rPr>
            <w:noProof/>
            <w:webHidden/>
          </w:rPr>
          <w:fldChar w:fldCharType="begin"/>
        </w:r>
        <w:r w:rsidR="00B11CCA">
          <w:rPr>
            <w:noProof/>
            <w:webHidden/>
          </w:rPr>
          <w:instrText xml:space="preserve"> PAGEREF _Toc112342355 \h </w:instrText>
        </w:r>
        <w:r w:rsidR="00B11CCA">
          <w:rPr>
            <w:noProof/>
            <w:webHidden/>
          </w:rPr>
        </w:r>
        <w:r w:rsidR="00B11CCA">
          <w:rPr>
            <w:noProof/>
            <w:webHidden/>
          </w:rPr>
          <w:fldChar w:fldCharType="separate"/>
        </w:r>
        <w:r>
          <w:rPr>
            <w:noProof/>
            <w:webHidden/>
          </w:rPr>
          <w:t>28</w:t>
        </w:r>
        <w:r w:rsidR="00B11CCA">
          <w:rPr>
            <w:noProof/>
            <w:webHidden/>
          </w:rPr>
          <w:fldChar w:fldCharType="end"/>
        </w:r>
      </w:hyperlink>
    </w:p>
    <w:p w:rsidR="00FA1AC4" w:rsidRDefault="00F54823">
      <w:pPr>
        <w:pStyle w:val="TOC1"/>
        <w:tabs>
          <w:tab w:val="left" w:pos="660"/>
        </w:tabs>
        <w:rPr>
          <w:rFonts w:ascii="Calibri" w:eastAsia="SimSun" w:hAnsi="Calibri" w:cs="SimSun"/>
          <w:sz w:val="22"/>
          <w:szCs w:val="22"/>
          <w:lang w:val="en-US"/>
        </w:rPr>
      </w:pPr>
      <w:hyperlink w:anchor="_Toc112342356" w:history="1">
        <w:r w:rsidR="00B11CCA">
          <w:rPr>
            <w:rStyle w:val="Hyperlink"/>
          </w:rPr>
          <w:t>2.5.</w:t>
        </w:r>
        <w:r w:rsidR="00B11CCA">
          <w:rPr>
            <w:rFonts w:ascii="Calibri" w:eastAsia="SimSun" w:hAnsi="Calibri" w:cs="SimSun"/>
            <w:sz w:val="22"/>
            <w:szCs w:val="22"/>
            <w:lang w:val="en-US"/>
          </w:rPr>
          <w:tab/>
        </w:r>
        <w:r w:rsidR="00B11CCA">
          <w:rPr>
            <w:rStyle w:val="Hyperlink"/>
          </w:rPr>
          <w:t>Theoretical Review</w:t>
        </w:r>
        <w:r w:rsidR="00B11CCA">
          <w:rPr>
            <w:webHidden/>
          </w:rPr>
          <w:tab/>
        </w:r>
        <w:r w:rsidR="00B11CCA">
          <w:rPr>
            <w:webHidden/>
          </w:rPr>
          <w:fldChar w:fldCharType="begin"/>
        </w:r>
        <w:r w:rsidR="00B11CCA">
          <w:rPr>
            <w:webHidden/>
          </w:rPr>
          <w:instrText xml:space="preserve"> PAGEREF _Toc112342356 \h </w:instrText>
        </w:r>
        <w:r w:rsidR="00B11CCA">
          <w:rPr>
            <w:webHidden/>
          </w:rPr>
        </w:r>
        <w:r w:rsidR="00B11CCA">
          <w:rPr>
            <w:webHidden/>
          </w:rPr>
          <w:fldChar w:fldCharType="separate"/>
        </w:r>
        <w:r>
          <w:rPr>
            <w:webHidden/>
          </w:rPr>
          <w:t>29</w:t>
        </w:r>
        <w:r w:rsidR="00B11CCA">
          <w:rPr>
            <w:webHidden/>
          </w:rPr>
          <w:fldChar w:fldCharType="end"/>
        </w:r>
      </w:hyperlink>
    </w:p>
    <w:p w:rsidR="00FA1AC4" w:rsidRDefault="00F54823">
      <w:pPr>
        <w:pStyle w:val="TOC2"/>
        <w:tabs>
          <w:tab w:val="left" w:pos="1100"/>
          <w:tab w:val="right" w:leader="dot" w:pos="8630"/>
        </w:tabs>
        <w:rPr>
          <w:rFonts w:ascii="Calibri" w:hAnsi="Calibri" w:cs="SimSun"/>
          <w:noProof/>
          <w:sz w:val="22"/>
          <w:szCs w:val="22"/>
          <w:lang w:val="en-US"/>
        </w:rPr>
      </w:pPr>
      <w:hyperlink w:anchor="_Toc112342357" w:history="1">
        <w:r w:rsidR="00B11CCA">
          <w:rPr>
            <w:rStyle w:val="Hyperlink"/>
            <w:noProof/>
          </w:rPr>
          <w:t>2.5.1.</w:t>
        </w:r>
        <w:r w:rsidR="00B11CCA">
          <w:rPr>
            <w:rFonts w:ascii="Calibri" w:hAnsi="Calibri" w:cs="SimSun"/>
            <w:noProof/>
            <w:sz w:val="22"/>
            <w:szCs w:val="22"/>
            <w:lang w:val="en-US"/>
          </w:rPr>
          <w:tab/>
        </w:r>
        <w:r w:rsidR="00B11CCA">
          <w:rPr>
            <w:rStyle w:val="Hyperlink"/>
            <w:noProof/>
          </w:rPr>
          <w:t>Shareholdership Model of Corporate Governance</w:t>
        </w:r>
        <w:r w:rsidR="00B11CCA">
          <w:rPr>
            <w:noProof/>
            <w:webHidden/>
          </w:rPr>
          <w:tab/>
        </w:r>
        <w:r w:rsidR="00B11CCA">
          <w:rPr>
            <w:noProof/>
            <w:webHidden/>
          </w:rPr>
          <w:fldChar w:fldCharType="begin"/>
        </w:r>
        <w:r w:rsidR="00B11CCA">
          <w:rPr>
            <w:noProof/>
            <w:webHidden/>
          </w:rPr>
          <w:instrText xml:space="preserve"> PAGEREF _Toc112342357 \h </w:instrText>
        </w:r>
        <w:r w:rsidR="00B11CCA">
          <w:rPr>
            <w:noProof/>
            <w:webHidden/>
          </w:rPr>
        </w:r>
        <w:r w:rsidR="00B11CCA">
          <w:rPr>
            <w:noProof/>
            <w:webHidden/>
          </w:rPr>
          <w:fldChar w:fldCharType="separate"/>
        </w:r>
        <w:r>
          <w:rPr>
            <w:noProof/>
            <w:webHidden/>
          </w:rPr>
          <w:t>30</w:t>
        </w:r>
        <w:r w:rsidR="00B11CCA">
          <w:rPr>
            <w:noProof/>
            <w:webHidden/>
          </w:rPr>
          <w:fldChar w:fldCharType="end"/>
        </w:r>
      </w:hyperlink>
    </w:p>
    <w:p w:rsidR="00FA1AC4" w:rsidRDefault="00F54823">
      <w:pPr>
        <w:pStyle w:val="TOC2"/>
        <w:tabs>
          <w:tab w:val="left" w:pos="1100"/>
          <w:tab w:val="right" w:leader="dot" w:pos="8630"/>
        </w:tabs>
        <w:rPr>
          <w:rFonts w:ascii="Calibri" w:hAnsi="Calibri" w:cs="SimSun"/>
          <w:noProof/>
          <w:sz w:val="22"/>
          <w:szCs w:val="22"/>
          <w:lang w:val="en-US"/>
        </w:rPr>
      </w:pPr>
      <w:hyperlink w:anchor="_Toc112342358" w:history="1">
        <w:r w:rsidR="00B11CCA">
          <w:rPr>
            <w:rStyle w:val="Hyperlink"/>
            <w:noProof/>
          </w:rPr>
          <w:t>2.5.2.</w:t>
        </w:r>
        <w:r w:rsidR="00B11CCA">
          <w:rPr>
            <w:rFonts w:ascii="Calibri" w:hAnsi="Calibri" w:cs="SimSun"/>
            <w:noProof/>
            <w:sz w:val="22"/>
            <w:szCs w:val="22"/>
            <w:lang w:val="en-US"/>
          </w:rPr>
          <w:tab/>
        </w:r>
        <w:r w:rsidR="00B11CCA">
          <w:rPr>
            <w:rStyle w:val="Hyperlink"/>
            <w:noProof/>
          </w:rPr>
          <w:t>Stakeholdership Model of Corporate Governance</w:t>
        </w:r>
        <w:r w:rsidR="00B11CCA">
          <w:rPr>
            <w:noProof/>
            <w:webHidden/>
          </w:rPr>
          <w:tab/>
        </w:r>
        <w:r w:rsidR="00B11CCA">
          <w:rPr>
            <w:noProof/>
            <w:webHidden/>
          </w:rPr>
          <w:fldChar w:fldCharType="begin"/>
        </w:r>
        <w:r w:rsidR="00B11CCA">
          <w:rPr>
            <w:noProof/>
            <w:webHidden/>
          </w:rPr>
          <w:instrText xml:space="preserve"> PAGEREF _Toc112342358 \h </w:instrText>
        </w:r>
        <w:r w:rsidR="00B11CCA">
          <w:rPr>
            <w:noProof/>
            <w:webHidden/>
          </w:rPr>
        </w:r>
        <w:r w:rsidR="00B11CCA">
          <w:rPr>
            <w:noProof/>
            <w:webHidden/>
          </w:rPr>
          <w:fldChar w:fldCharType="separate"/>
        </w:r>
        <w:r>
          <w:rPr>
            <w:noProof/>
            <w:webHidden/>
          </w:rPr>
          <w:t>30</w:t>
        </w:r>
        <w:r w:rsidR="00B11CCA">
          <w:rPr>
            <w:noProof/>
            <w:webHidden/>
          </w:rPr>
          <w:fldChar w:fldCharType="end"/>
        </w:r>
      </w:hyperlink>
    </w:p>
    <w:p w:rsidR="00FA1AC4" w:rsidRDefault="00F54823">
      <w:pPr>
        <w:pStyle w:val="TOC2"/>
        <w:tabs>
          <w:tab w:val="left" w:pos="1100"/>
          <w:tab w:val="right" w:leader="dot" w:pos="8630"/>
        </w:tabs>
        <w:rPr>
          <w:rFonts w:ascii="Calibri" w:hAnsi="Calibri" w:cs="SimSun"/>
          <w:noProof/>
          <w:sz w:val="22"/>
          <w:szCs w:val="22"/>
          <w:lang w:val="en-US"/>
        </w:rPr>
      </w:pPr>
      <w:hyperlink w:anchor="_Toc112342359" w:history="1">
        <w:r w:rsidR="00B11CCA">
          <w:rPr>
            <w:rStyle w:val="Hyperlink"/>
            <w:noProof/>
          </w:rPr>
          <w:t>2.5.3.</w:t>
        </w:r>
        <w:r w:rsidR="00B11CCA">
          <w:rPr>
            <w:rFonts w:ascii="Calibri" w:hAnsi="Calibri" w:cs="SimSun"/>
            <w:noProof/>
            <w:sz w:val="22"/>
            <w:szCs w:val="22"/>
            <w:lang w:val="en-US"/>
          </w:rPr>
          <w:tab/>
        </w:r>
        <w:r w:rsidR="00B11CCA">
          <w:rPr>
            <w:rStyle w:val="Hyperlink"/>
            <w:noProof/>
          </w:rPr>
          <w:t>Resource Dependence Theory</w:t>
        </w:r>
        <w:r w:rsidR="00B11CCA">
          <w:rPr>
            <w:noProof/>
            <w:webHidden/>
          </w:rPr>
          <w:tab/>
        </w:r>
        <w:r w:rsidR="00B11CCA">
          <w:rPr>
            <w:noProof/>
            <w:webHidden/>
          </w:rPr>
          <w:fldChar w:fldCharType="begin"/>
        </w:r>
        <w:r w:rsidR="00B11CCA">
          <w:rPr>
            <w:noProof/>
            <w:webHidden/>
          </w:rPr>
          <w:instrText xml:space="preserve"> PAGEREF _Toc112342359 \h </w:instrText>
        </w:r>
        <w:r w:rsidR="00B11CCA">
          <w:rPr>
            <w:noProof/>
            <w:webHidden/>
          </w:rPr>
        </w:r>
        <w:r w:rsidR="00B11CCA">
          <w:rPr>
            <w:noProof/>
            <w:webHidden/>
          </w:rPr>
          <w:fldChar w:fldCharType="separate"/>
        </w:r>
        <w:r>
          <w:rPr>
            <w:noProof/>
            <w:webHidden/>
          </w:rPr>
          <w:t>31</w:t>
        </w:r>
        <w:r w:rsidR="00B11CCA">
          <w:rPr>
            <w:noProof/>
            <w:webHidden/>
          </w:rPr>
          <w:fldChar w:fldCharType="end"/>
        </w:r>
      </w:hyperlink>
    </w:p>
    <w:p w:rsidR="00FA1AC4" w:rsidRDefault="00F54823">
      <w:pPr>
        <w:pStyle w:val="TOC1"/>
        <w:tabs>
          <w:tab w:val="left" w:pos="660"/>
        </w:tabs>
        <w:rPr>
          <w:rFonts w:ascii="Calibri" w:eastAsia="SimSun" w:hAnsi="Calibri" w:cs="SimSun"/>
          <w:sz w:val="22"/>
          <w:szCs w:val="22"/>
          <w:lang w:val="en-US"/>
        </w:rPr>
      </w:pPr>
      <w:hyperlink w:anchor="_Toc112342360" w:history="1">
        <w:r w:rsidR="00B11CCA">
          <w:rPr>
            <w:rStyle w:val="Hyperlink"/>
          </w:rPr>
          <w:t>2.6.</w:t>
        </w:r>
        <w:r w:rsidR="00B11CCA">
          <w:rPr>
            <w:rFonts w:ascii="Calibri" w:eastAsia="SimSun" w:hAnsi="Calibri" w:cs="SimSun"/>
            <w:sz w:val="22"/>
            <w:szCs w:val="22"/>
            <w:lang w:val="en-US"/>
          </w:rPr>
          <w:tab/>
        </w:r>
        <w:r w:rsidR="00B11CCA">
          <w:rPr>
            <w:rStyle w:val="Hyperlink"/>
          </w:rPr>
          <w:t>Empirical Review</w:t>
        </w:r>
        <w:r w:rsidR="00B11CCA">
          <w:rPr>
            <w:webHidden/>
          </w:rPr>
          <w:tab/>
        </w:r>
        <w:r w:rsidR="00B11CCA">
          <w:rPr>
            <w:webHidden/>
          </w:rPr>
          <w:fldChar w:fldCharType="begin"/>
        </w:r>
        <w:r w:rsidR="00B11CCA">
          <w:rPr>
            <w:webHidden/>
          </w:rPr>
          <w:instrText xml:space="preserve"> PAGEREF _Toc112342360 \h </w:instrText>
        </w:r>
        <w:r w:rsidR="00B11CCA">
          <w:rPr>
            <w:webHidden/>
          </w:rPr>
        </w:r>
        <w:r w:rsidR="00B11CCA">
          <w:rPr>
            <w:webHidden/>
          </w:rPr>
          <w:fldChar w:fldCharType="separate"/>
        </w:r>
        <w:r>
          <w:rPr>
            <w:webHidden/>
          </w:rPr>
          <w:t>32</w:t>
        </w:r>
        <w:r w:rsidR="00B11CCA">
          <w:rPr>
            <w:webHidden/>
          </w:rPr>
          <w:fldChar w:fldCharType="end"/>
        </w:r>
      </w:hyperlink>
    </w:p>
    <w:p w:rsidR="00FA1AC4" w:rsidRDefault="00F54823">
      <w:pPr>
        <w:pStyle w:val="TOC1"/>
        <w:tabs>
          <w:tab w:val="left" w:pos="660"/>
        </w:tabs>
        <w:rPr>
          <w:rFonts w:ascii="Calibri" w:eastAsia="SimSun" w:hAnsi="Calibri" w:cs="SimSun"/>
          <w:sz w:val="22"/>
          <w:szCs w:val="22"/>
          <w:lang w:val="en-US"/>
        </w:rPr>
      </w:pPr>
      <w:hyperlink w:anchor="_Toc112342361" w:history="1">
        <w:r w:rsidR="00B11CCA">
          <w:rPr>
            <w:rStyle w:val="Hyperlink"/>
          </w:rPr>
          <w:t>2.7.</w:t>
        </w:r>
        <w:r w:rsidR="00B11CCA">
          <w:rPr>
            <w:rFonts w:ascii="Calibri" w:eastAsia="SimSun" w:hAnsi="Calibri" w:cs="SimSun"/>
            <w:sz w:val="22"/>
            <w:szCs w:val="22"/>
            <w:lang w:val="en-US"/>
          </w:rPr>
          <w:tab/>
        </w:r>
        <w:r w:rsidR="00B11CCA">
          <w:rPr>
            <w:rStyle w:val="Hyperlink"/>
          </w:rPr>
          <w:t>Gap in Literature</w:t>
        </w:r>
        <w:r w:rsidR="00B11CCA">
          <w:rPr>
            <w:webHidden/>
          </w:rPr>
          <w:tab/>
        </w:r>
        <w:r w:rsidR="00B11CCA">
          <w:rPr>
            <w:webHidden/>
          </w:rPr>
          <w:fldChar w:fldCharType="begin"/>
        </w:r>
        <w:r w:rsidR="00B11CCA">
          <w:rPr>
            <w:webHidden/>
          </w:rPr>
          <w:instrText xml:space="preserve"> PAGEREF _Toc112342361 \h </w:instrText>
        </w:r>
        <w:r w:rsidR="00B11CCA">
          <w:rPr>
            <w:webHidden/>
          </w:rPr>
        </w:r>
        <w:r w:rsidR="00B11CCA">
          <w:rPr>
            <w:webHidden/>
          </w:rPr>
          <w:fldChar w:fldCharType="separate"/>
        </w:r>
        <w:r>
          <w:rPr>
            <w:webHidden/>
          </w:rPr>
          <w:t>40</w:t>
        </w:r>
        <w:r w:rsidR="00B11CCA">
          <w:rPr>
            <w:webHidden/>
          </w:rPr>
          <w:fldChar w:fldCharType="end"/>
        </w:r>
      </w:hyperlink>
    </w:p>
    <w:p w:rsidR="00FA1AC4" w:rsidRDefault="00F54823">
      <w:pPr>
        <w:pStyle w:val="TOC1"/>
        <w:rPr>
          <w:rFonts w:ascii="Calibri" w:eastAsia="SimSun" w:hAnsi="Calibri" w:cs="SimSun"/>
          <w:sz w:val="22"/>
          <w:szCs w:val="22"/>
          <w:lang w:val="en-US"/>
        </w:rPr>
      </w:pPr>
      <w:hyperlink w:anchor="_Toc112342362" w:history="1">
        <w:r w:rsidR="00B11CCA">
          <w:rPr>
            <w:rStyle w:val="Hyperlink"/>
          </w:rPr>
          <w:t>CHAPTER THREE</w:t>
        </w:r>
        <w:r w:rsidR="00B11CCA">
          <w:rPr>
            <w:webHidden/>
          </w:rPr>
          <w:tab/>
        </w:r>
        <w:r w:rsidR="00B11CCA">
          <w:rPr>
            <w:webHidden/>
          </w:rPr>
          <w:fldChar w:fldCharType="begin"/>
        </w:r>
        <w:r w:rsidR="00B11CCA">
          <w:rPr>
            <w:webHidden/>
          </w:rPr>
          <w:instrText xml:space="preserve"> PAGEREF _Toc112342362 \h </w:instrText>
        </w:r>
        <w:r w:rsidR="00B11CCA">
          <w:rPr>
            <w:webHidden/>
          </w:rPr>
        </w:r>
        <w:r w:rsidR="00B11CCA">
          <w:rPr>
            <w:webHidden/>
          </w:rPr>
          <w:fldChar w:fldCharType="separate"/>
        </w:r>
        <w:r>
          <w:rPr>
            <w:webHidden/>
          </w:rPr>
          <w:t>41</w:t>
        </w:r>
        <w:r w:rsidR="00B11CCA">
          <w:rPr>
            <w:webHidden/>
          </w:rPr>
          <w:fldChar w:fldCharType="end"/>
        </w:r>
      </w:hyperlink>
    </w:p>
    <w:p w:rsidR="00FA1AC4" w:rsidRDefault="00F54823">
      <w:pPr>
        <w:pStyle w:val="TOC1"/>
        <w:rPr>
          <w:rFonts w:ascii="Calibri" w:eastAsia="SimSun" w:hAnsi="Calibri" w:cs="SimSun"/>
          <w:sz w:val="22"/>
          <w:szCs w:val="22"/>
          <w:lang w:val="en-US"/>
        </w:rPr>
      </w:pPr>
      <w:hyperlink w:anchor="_Toc112342363" w:history="1">
        <w:r w:rsidR="00B11CCA">
          <w:rPr>
            <w:rStyle w:val="Hyperlink"/>
          </w:rPr>
          <w:t>METHODOLOGY</w:t>
        </w:r>
        <w:r w:rsidR="00B11CCA">
          <w:rPr>
            <w:webHidden/>
          </w:rPr>
          <w:tab/>
        </w:r>
        <w:r w:rsidR="00B11CCA">
          <w:rPr>
            <w:webHidden/>
          </w:rPr>
          <w:fldChar w:fldCharType="begin"/>
        </w:r>
        <w:r w:rsidR="00B11CCA">
          <w:rPr>
            <w:webHidden/>
          </w:rPr>
          <w:instrText xml:space="preserve"> PAGEREF _Toc112342363 \h </w:instrText>
        </w:r>
        <w:r w:rsidR="00B11CCA">
          <w:rPr>
            <w:webHidden/>
          </w:rPr>
        </w:r>
        <w:r w:rsidR="00B11CCA">
          <w:rPr>
            <w:webHidden/>
          </w:rPr>
          <w:fldChar w:fldCharType="separate"/>
        </w:r>
        <w:r>
          <w:rPr>
            <w:webHidden/>
          </w:rPr>
          <w:t>41</w:t>
        </w:r>
        <w:r w:rsidR="00B11CCA">
          <w:rPr>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64" w:history="1">
        <w:r w:rsidR="00B11CCA">
          <w:rPr>
            <w:rStyle w:val="Hyperlink"/>
            <w:rFonts w:eastAsia="Calibri"/>
            <w:noProof/>
          </w:rPr>
          <w:t>3.1</w:t>
        </w:r>
        <w:r w:rsidR="00B11CCA">
          <w:rPr>
            <w:rFonts w:ascii="Calibri" w:hAnsi="Calibri" w:cs="SimSun"/>
            <w:noProof/>
            <w:sz w:val="22"/>
            <w:szCs w:val="22"/>
            <w:lang w:val="en-US"/>
          </w:rPr>
          <w:tab/>
        </w:r>
        <w:r w:rsidR="00B11CCA">
          <w:rPr>
            <w:rStyle w:val="Hyperlink"/>
            <w:rFonts w:eastAsia="Calibri"/>
            <w:noProof/>
            <w:shd w:val="clear" w:color="auto" w:fill="FFFFFF"/>
          </w:rPr>
          <w:t>. Introduction</w:t>
        </w:r>
        <w:r w:rsidR="00B11CCA">
          <w:rPr>
            <w:noProof/>
            <w:webHidden/>
          </w:rPr>
          <w:tab/>
        </w:r>
        <w:r w:rsidR="00B11CCA">
          <w:rPr>
            <w:noProof/>
            <w:webHidden/>
          </w:rPr>
          <w:fldChar w:fldCharType="begin"/>
        </w:r>
        <w:r w:rsidR="00B11CCA">
          <w:rPr>
            <w:noProof/>
            <w:webHidden/>
          </w:rPr>
          <w:instrText xml:space="preserve"> PAGEREF _Toc112342364 \h </w:instrText>
        </w:r>
        <w:r w:rsidR="00B11CCA">
          <w:rPr>
            <w:noProof/>
            <w:webHidden/>
          </w:rPr>
        </w:r>
        <w:r w:rsidR="00B11CCA">
          <w:rPr>
            <w:noProof/>
            <w:webHidden/>
          </w:rPr>
          <w:fldChar w:fldCharType="separate"/>
        </w:r>
        <w:r>
          <w:rPr>
            <w:noProof/>
            <w:webHidden/>
          </w:rPr>
          <w:t>41</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65" w:history="1">
        <w:r w:rsidR="00B11CCA">
          <w:rPr>
            <w:rStyle w:val="Hyperlink"/>
            <w:rFonts w:eastAsia="Calibri"/>
            <w:noProof/>
          </w:rPr>
          <w:t>3.2.</w:t>
        </w:r>
        <w:r w:rsidR="00B11CCA">
          <w:rPr>
            <w:rFonts w:ascii="Calibri" w:hAnsi="Calibri" w:cs="SimSun"/>
            <w:noProof/>
            <w:sz w:val="22"/>
            <w:szCs w:val="22"/>
            <w:lang w:val="en-US"/>
          </w:rPr>
          <w:tab/>
        </w:r>
        <w:r w:rsidR="00B11CCA">
          <w:rPr>
            <w:rStyle w:val="Hyperlink"/>
            <w:rFonts w:eastAsia="Calibri"/>
            <w:noProof/>
            <w:shd w:val="clear" w:color="auto" w:fill="FFFFFF"/>
          </w:rPr>
          <w:t>Research Design</w:t>
        </w:r>
        <w:r w:rsidR="00B11CCA">
          <w:rPr>
            <w:noProof/>
            <w:webHidden/>
          </w:rPr>
          <w:tab/>
        </w:r>
        <w:r w:rsidR="00B11CCA">
          <w:rPr>
            <w:noProof/>
            <w:webHidden/>
          </w:rPr>
          <w:fldChar w:fldCharType="begin"/>
        </w:r>
        <w:r w:rsidR="00B11CCA">
          <w:rPr>
            <w:noProof/>
            <w:webHidden/>
          </w:rPr>
          <w:instrText xml:space="preserve"> PAGEREF _Toc112342365 \h </w:instrText>
        </w:r>
        <w:r w:rsidR="00B11CCA">
          <w:rPr>
            <w:noProof/>
            <w:webHidden/>
          </w:rPr>
        </w:r>
        <w:r w:rsidR="00B11CCA">
          <w:rPr>
            <w:noProof/>
            <w:webHidden/>
          </w:rPr>
          <w:fldChar w:fldCharType="separate"/>
        </w:r>
        <w:r>
          <w:rPr>
            <w:noProof/>
            <w:webHidden/>
          </w:rPr>
          <w:t>41</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66" w:history="1">
        <w:r w:rsidR="00B11CCA">
          <w:rPr>
            <w:rStyle w:val="Hyperlink"/>
            <w:rFonts w:eastAsia="Calibri"/>
            <w:noProof/>
          </w:rPr>
          <w:t>3.3.</w:t>
        </w:r>
        <w:r w:rsidR="00B11CCA">
          <w:rPr>
            <w:rFonts w:ascii="Calibri" w:hAnsi="Calibri" w:cs="SimSun"/>
            <w:noProof/>
            <w:sz w:val="22"/>
            <w:szCs w:val="22"/>
            <w:lang w:val="en-US"/>
          </w:rPr>
          <w:tab/>
        </w:r>
        <w:r w:rsidR="00B11CCA">
          <w:rPr>
            <w:rStyle w:val="Hyperlink"/>
            <w:rFonts w:eastAsia="Calibri"/>
            <w:noProof/>
            <w:shd w:val="clear" w:color="auto" w:fill="FFFFFF"/>
          </w:rPr>
          <w:t>Area of Study</w:t>
        </w:r>
        <w:r w:rsidR="00B11CCA">
          <w:rPr>
            <w:noProof/>
            <w:webHidden/>
          </w:rPr>
          <w:tab/>
        </w:r>
        <w:r w:rsidR="00B11CCA">
          <w:rPr>
            <w:noProof/>
            <w:webHidden/>
          </w:rPr>
          <w:fldChar w:fldCharType="begin"/>
        </w:r>
        <w:r w:rsidR="00B11CCA">
          <w:rPr>
            <w:noProof/>
            <w:webHidden/>
          </w:rPr>
          <w:instrText xml:space="preserve"> PAGEREF _Toc112342366 \h </w:instrText>
        </w:r>
        <w:r w:rsidR="00B11CCA">
          <w:rPr>
            <w:noProof/>
            <w:webHidden/>
          </w:rPr>
        </w:r>
        <w:r w:rsidR="00B11CCA">
          <w:rPr>
            <w:noProof/>
            <w:webHidden/>
          </w:rPr>
          <w:fldChar w:fldCharType="separate"/>
        </w:r>
        <w:r>
          <w:rPr>
            <w:noProof/>
            <w:webHidden/>
          </w:rPr>
          <w:t>42</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67" w:history="1">
        <w:r w:rsidR="00B11CCA">
          <w:rPr>
            <w:rStyle w:val="Hyperlink"/>
            <w:rFonts w:eastAsia="Calibri"/>
            <w:noProof/>
          </w:rPr>
          <w:t>3.4.</w:t>
        </w:r>
        <w:r w:rsidR="00B11CCA">
          <w:rPr>
            <w:rFonts w:ascii="Calibri" w:hAnsi="Calibri" w:cs="SimSun"/>
            <w:noProof/>
            <w:sz w:val="22"/>
            <w:szCs w:val="22"/>
            <w:lang w:val="en-US"/>
          </w:rPr>
          <w:tab/>
        </w:r>
        <w:r w:rsidR="00B11CCA">
          <w:rPr>
            <w:rStyle w:val="Hyperlink"/>
            <w:rFonts w:eastAsia="Calibri"/>
            <w:noProof/>
            <w:shd w:val="clear" w:color="auto" w:fill="FFFFFF"/>
          </w:rPr>
          <w:t>Population of the Study</w:t>
        </w:r>
        <w:r w:rsidR="00B11CCA">
          <w:rPr>
            <w:noProof/>
            <w:webHidden/>
          </w:rPr>
          <w:tab/>
        </w:r>
        <w:r w:rsidR="00B11CCA">
          <w:rPr>
            <w:noProof/>
            <w:webHidden/>
          </w:rPr>
          <w:fldChar w:fldCharType="begin"/>
        </w:r>
        <w:r w:rsidR="00B11CCA">
          <w:rPr>
            <w:noProof/>
            <w:webHidden/>
          </w:rPr>
          <w:instrText xml:space="preserve"> PAGEREF _Toc112342367 \h </w:instrText>
        </w:r>
        <w:r w:rsidR="00B11CCA">
          <w:rPr>
            <w:noProof/>
            <w:webHidden/>
          </w:rPr>
        </w:r>
        <w:r w:rsidR="00B11CCA">
          <w:rPr>
            <w:noProof/>
            <w:webHidden/>
          </w:rPr>
          <w:fldChar w:fldCharType="separate"/>
        </w:r>
        <w:r>
          <w:rPr>
            <w:noProof/>
            <w:webHidden/>
          </w:rPr>
          <w:t>42</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68" w:history="1">
        <w:r w:rsidR="00B11CCA">
          <w:rPr>
            <w:rStyle w:val="Hyperlink"/>
            <w:rFonts w:eastAsia="Calibri"/>
            <w:noProof/>
          </w:rPr>
          <w:t>3.5.</w:t>
        </w:r>
        <w:r w:rsidR="00B11CCA">
          <w:rPr>
            <w:rFonts w:ascii="Calibri" w:hAnsi="Calibri" w:cs="SimSun"/>
            <w:noProof/>
            <w:sz w:val="22"/>
            <w:szCs w:val="22"/>
            <w:lang w:val="en-US"/>
          </w:rPr>
          <w:tab/>
        </w:r>
        <w:r w:rsidR="00B11CCA">
          <w:rPr>
            <w:rStyle w:val="Hyperlink"/>
            <w:rFonts w:eastAsia="Calibri"/>
            <w:noProof/>
            <w:shd w:val="clear" w:color="auto" w:fill="FFFFFF"/>
          </w:rPr>
          <w:t>Sample Size Determination</w:t>
        </w:r>
        <w:r w:rsidR="00B11CCA">
          <w:rPr>
            <w:noProof/>
            <w:webHidden/>
          </w:rPr>
          <w:tab/>
        </w:r>
        <w:r w:rsidR="00B11CCA">
          <w:rPr>
            <w:noProof/>
            <w:webHidden/>
          </w:rPr>
          <w:fldChar w:fldCharType="begin"/>
        </w:r>
        <w:r w:rsidR="00B11CCA">
          <w:rPr>
            <w:noProof/>
            <w:webHidden/>
          </w:rPr>
          <w:instrText xml:space="preserve"> PAGEREF _Toc112342368 \h </w:instrText>
        </w:r>
        <w:r w:rsidR="00B11CCA">
          <w:rPr>
            <w:noProof/>
            <w:webHidden/>
          </w:rPr>
        </w:r>
        <w:r w:rsidR="00B11CCA">
          <w:rPr>
            <w:noProof/>
            <w:webHidden/>
          </w:rPr>
          <w:fldChar w:fldCharType="separate"/>
        </w:r>
        <w:r>
          <w:rPr>
            <w:noProof/>
            <w:webHidden/>
          </w:rPr>
          <w:t>42</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69" w:history="1">
        <w:r w:rsidR="00B11CCA">
          <w:rPr>
            <w:rStyle w:val="Hyperlink"/>
            <w:rFonts w:eastAsia="Calibri"/>
            <w:noProof/>
          </w:rPr>
          <w:t>3.6.</w:t>
        </w:r>
        <w:r w:rsidR="00B11CCA">
          <w:rPr>
            <w:rFonts w:ascii="Calibri" w:hAnsi="Calibri" w:cs="SimSun"/>
            <w:noProof/>
            <w:sz w:val="22"/>
            <w:szCs w:val="22"/>
            <w:lang w:val="en-US"/>
          </w:rPr>
          <w:tab/>
        </w:r>
        <w:r w:rsidR="00B11CCA">
          <w:rPr>
            <w:rStyle w:val="Hyperlink"/>
            <w:rFonts w:eastAsia="Calibri"/>
            <w:noProof/>
            <w:shd w:val="clear" w:color="auto" w:fill="FFFFFF"/>
          </w:rPr>
          <w:t>Sampling Techniques</w:t>
        </w:r>
        <w:r w:rsidR="00B11CCA">
          <w:rPr>
            <w:noProof/>
            <w:webHidden/>
          </w:rPr>
          <w:tab/>
        </w:r>
        <w:r w:rsidR="00B11CCA">
          <w:rPr>
            <w:noProof/>
            <w:webHidden/>
          </w:rPr>
          <w:fldChar w:fldCharType="begin"/>
        </w:r>
        <w:r w:rsidR="00B11CCA">
          <w:rPr>
            <w:noProof/>
            <w:webHidden/>
          </w:rPr>
          <w:instrText xml:space="preserve"> PAGEREF _Toc112342369 \h </w:instrText>
        </w:r>
        <w:r w:rsidR="00B11CCA">
          <w:rPr>
            <w:noProof/>
            <w:webHidden/>
          </w:rPr>
        </w:r>
        <w:r w:rsidR="00B11CCA">
          <w:rPr>
            <w:noProof/>
            <w:webHidden/>
          </w:rPr>
          <w:fldChar w:fldCharType="separate"/>
        </w:r>
        <w:r>
          <w:rPr>
            <w:noProof/>
            <w:webHidden/>
          </w:rPr>
          <w:t>43</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70" w:history="1">
        <w:r w:rsidR="00B11CCA">
          <w:rPr>
            <w:rStyle w:val="Hyperlink"/>
            <w:rFonts w:eastAsia="Calibri"/>
            <w:noProof/>
          </w:rPr>
          <w:t>3.7.</w:t>
        </w:r>
        <w:r w:rsidR="00B11CCA">
          <w:rPr>
            <w:rFonts w:ascii="Calibri" w:hAnsi="Calibri" w:cs="SimSun"/>
            <w:noProof/>
            <w:sz w:val="22"/>
            <w:szCs w:val="22"/>
            <w:lang w:val="en-US"/>
          </w:rPr>
          <w:tab/>
        </w:r>
        <w:r w:rsidR="00B11CCA">
          <w:rPr>
            <w:rStyle w:val="Hyperlink"/>
            <w:rFonts w:eastAsia="Calibri"/>
            <w:noProof/>
            <w:shd w:val="clear" w:color="auto" w:fill="FFFFFF"/>
          </w:rPr>
          <w:t>Sources of Data</w:t>
        </w:r>
        <w:r w:rsidR="00B11CCA">
          <w:rPr>
            <w:noProof/>
            <w:webHidden/>
          </w:rPr>
          <w:tab/>
        </w:r>
        <w:r w:rsidR="00B11CCA">
          <w:rPr>
            <w:noProof/>
            <w:webHidden/>
          </w:rPr>
          <w:fldChar w:fldCharType="begin"/>
        </w:r>
        <w:r w:rsidR="00B11CCA">
          <w:rPr>
            <w:noProof/>
            <w:webHidden/>
          </w:rPr>
          <w:instrText xml:space="preserve"> PAGEREF _Toc112342370 \h </w:instrText>
        </w:r>
        <w:r w:rsidR="00B11CCA">
          <w:rPr>
            <w:noProof/>
            <w:webHidden/>
          </w:rPr>
        </w:r>
        <w:r w:rsidR="00B11CCA">
          <w:rPr>
            <w:noProof/>
            <w:webHidden/>
          </w:rPr>
          <w:fldChar w:fldCharType="separate"/>
        </w:r>
        <w:r>
          <w:rPr>
            <w:noProof/>
            <w:webHidden/>
          </w:rPr>
          <w:t>43</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71" w:history="1">
        <w:r w:rsidR="00B11CCA">
          <w:rPr>
            <w:rStyle w:val="Hyperlink"/>
            <w:rFonts w:eastAsia="Calibri"/>
            <w:noProof/>
          </w:rPr>
          <w:t>3.8.</w:t>
        </w:r>
        <w:r w:rsidR="00B11CCA">
          <w:rPr>
            <w:rFonts w:ascii="Calibri" w:hAnsi="Calibri" w:cs="SimSun"/>
            <w:noProof/>
            <w:sz w:val="22"/>
            <w:szCs w:val="22"/>
            <w:lang w:val="en-US"/>
          </w:rPr>
          <w:tab/>
        </w:r>
        <w:r w:rsidR="00B11CCA">
          <w:rPr>
            <w:rStyle w:val="Hyperlink"/>
            <w:rFonts w:eastAsia="Calibri"/>
            <w:noProof/>
          </w:rPr>
          <w:t>Measurement of Variables</w:t>
        </w:r>
        <w:r w:rsidR="00B11CCA">
          <w:rPr>
            <w:noProof/>
            <w:webHidden/>
          </w:rPr>
          <w:tab/>
        </w:r>
        <w:r w:rsidR="00B11CCA">
          <w:rPr>
            <w:noProof/>
            <w:webHidden/>
          </w:rPr>
          <w:fldChar w:fldCharType="begin"/>
        </w:r>
        <w:r w:rsidR="00B11CCA">
          <w:rPr>
            <w:noProof/>
            <w:webHidden/>
          </w:rPr>
          <w:instrText xml:space="preserve"> PAGEREF _Toc112342371 \h </w:instrText>
        </w:r>
        <w:r w:rsidR="00B11CCA">
          <w:rPr>
            <w:noProof/>
            <w:webHidden/>
          </w:rPr>
        </w:r>
        <w:r w:rsidR="00B11CCA">
          <w:rPr>
            <w:noProof/>
            <w:webHidden/>
          </w:rPr>
          <w:fldChar w:fldCharType="separate"/>
        </w:r>
        <w:r>
          <w:rPr>
            <w:noProof/>
            <w:webHidden/>
          </w:rPr>
          <w:t>44</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72" w:history="1">
        <w:r w:rsidR="00B11CCA">
          <w:rPr>
            <w:rStyle w:val="Hyperlink"/>
            <w:rFonts w:eastAsia="Calibri"/>
            <w:noProof/>
          </w:rPr>
          <w:t>3.9.</w:t>
        </w:r>
        <w:r w:rsidR="00B11CCA">
          <w:rPr>
            <w:rFonts w:ascii="Calibri" w:hAnsi="Calibri" w:cs="SimSun"/>
            <w:noProof/>
            <w:sz w:val="22"/>
            <w:szCs w:val="22"/>
            <w:lang w:val="en-US"/>
          </w:rPr>
          <w:tab/>
        </w:r>
        <w:r w:rsidR="00B11CCA">
          <w:rPr>
            <w:rStyle w:val="Hyperlink"/>
            <w:rFonts w:eastAsia="Calibri"/>
            <w:noProof/>
            <w:shd w:val="clear" w:color="auto" w:fill="FFFFFF"/>
          </w:rPr>
          <w:t>Reliability of Research Instrument</w:t>
        </w:r>
        <w:r w:rsidR="00B11CCA">
          <w:rPr>
            <w:noProof/>
            <w:webHidden/>
          </w:rPr>
          <w:tab/>
        </w:r>
        <w:r w:rsidR="00B11CCA">
          <w:rPr>
            <w:noProof/>
            <w:webHidden/>
          </w:rPr>
          <w:fldChar w:fldCharType="begin"/>
        </w:r>
        <w:r w:rsidR="00B11CCA">
          <w:rPr>
            <w:noProof/>
            <w:webHidden/>
          </w:rPr>
          <w:instrText xml:space="preserve"> PAGEREF _Toc112342372 \h </w:instrText>
        </w:r>
        <w:r w:rsidR="00B11CCA">
          <w:rPr>
            <w:noProof/>
            <w:webHidden/>
          </w:rPr>
        </w:r>
        <w:r w:rsidR="00B11CCA">
          <w:rPr>
            <w:noProof/>
            <w:webHidden/>
          </w:rPr>
          <w:fldChar w:fldCharType="separate"/>
        </w:r>
        <w:r>
          <w:rPr>
            <w:noProof/>
            <w:webHidden/>
          </w:rPr>
          <w:t>45</w:t>
        </w:r>
        <w:r w:rsidR="00B11CCA">
          <w:rPr>
            <w:noProof/>
            <w:webHidden/>
          </w:rPr>
          <w:fldChar w:fldCharType="end"/>
        </w:r>
      </w:hyperlink>
    </w:p>
    <w:p w:rsidR="00FA1AC4" w:rsidRDefault="00F54823">
      <w:pPr>
        <w:pStyle w:val="TOC2"/>
        <w:tabs>
          <w:tab w:val="left" w:pos="1100"/>
          <w:tab w:val="right" w:leader="dot" w:pos="8630"/>
        </w:tabs>
        <w:rPr>
          <w:rFonts w:ascii="Calibri" w:hAnsi="Calibri" w:cs="SimSun"/>
          <w:noProof/>
          <w:sz w:val="22"/>
          <w:szCs w:val="22"/>
          <w:lang w:val="en-US"/>
        </w:rPr>
      </w:pPr>
      <w:hyperlink w:anchor="_Toc112342373" w:history="1">
        <w:r w:rsidR="00B11CCA">
          <w:rPr>
            <w:rStyle w:val="Hyperlink"/>
            <w:rFonts w:eastAsia="Calibri"/>
            <w:noProof/>
          </w:rPr>
          <w:t>3.10.</w:t>
        </w:r>
        <w:r w:rsidR="00B11CCA">
          <w:rPr>
            <w:rFonts w:ascii="Calibri" w:hAnsi="Calibri" w:cs="SimSun"/>
            <w:noProof/>
            <w:sz w:val="22"/>
            <w:szCs w:val="22"/>
            <w:lang w:val="en-US"/>
          </w:rPr>
          <w:tab/>
        </w:r>
        <w:r w:rsidR="00B11CCA">
          <w:rPr>
            <w:rStyle w:val="Hyperlink"/>
            <w:rFonts w:eastAsia="Calibri"/>
            <w:noProof/>
            <w:shd w:val="clear" w:color="auto" w:fill="FFFFFF"/>
          </w:rPr>
          <w:t>Data Analytical Method/ Techniques</w:t>
        </w:r>
        <w:r w:rsidR="00B11CCA">
          <w:rPr>
            <w:noProof/>
            <w:webHidden/>
          </w:rPr>
          <w:tab/>
        </w:r>
        <w:r w:rsidR="00B11CCA">
          <w:rPr>
            <w:noProof/>
            <w:webHidden/>
          </w:rPr>
          <w:fldChar w:fldCharType="begin"/>
        </w:r>
        <w:r w:rsidR="00B11CCA">
          <w:rPr>
            <w:noProof/>
            <w:webHidden/>
          </w:rPr>
          <w:instrText xml:space="preserve"> PAGEREF _Toc112342373 \h </w:instrText>
        </w:r>
        <w:r w:rsidR="00B11CCA">
          <w:rPr>
            <w:noProof/>
            <w:webHidden/>
          </w:rPr>
        </w:r>
        <w:r w:rsidR="00B11CCA">
          <w:rPr>
            <w:noProof/>
            <w:webHidden/>
          </w:rPr>
          <w:fldChar w:fldCharType="separate"/>
        </w:r>
        <w:r>
          <w:rPr>
            <w:noProof/>
            <w:webHidden/>
          </w:rPr>
          <w:t>46</w:t>
        </w:r>
        <w:r w:rsidR="00B11CCA">
          <w:rPr>
            <w:noProof/>
            <w:webHidden/>
          </w:rPr>
          <w:fldChar w:fldCharType="end"/>
        </w:r>
      </w:hyperlink>
    </w:p>
    <w:p w:rsidR="00FA1AC4" w:rsidRDefault="00F54823">
      <w:pPr>
        <w:pStyle w:val="TOC2"/>
        <w:tabs>
          <w:tab w:val="left" w:pos="1100"/>
          <w:tab w:val="right" w:leader="dot" w:pos="8630"/>
        </w:tabs>
        <w:rPr>
          <w:rFonts w:ascii="Calibri" w:hAnsi="Calibri" w:cs="SimSun"/>
          <w:noProof/>
          <w:sz w:val="22"/>
          <w:szCs w:val="22"/>
          <w:lang w:val="en-US"/>
        </w:rPr>
      </w:pPr>
      <w:hyperlink w:anchor="_Toc112342374" w:history="1">
        <w:r w:rsidR="00B11CCA">
          <w:rPr>
            <w:rStyle w:val="Hyperlink"/>
            <w:rFonts w:eastAsia="Calibri"/>
            <w:noProof/>
          </w:rPr>
          <w:t>3.11.</w:t>
        </w:r>
        <w:r w:rsidR="00B11CCA">
          <w:rPr>
            <w:rFonts w:ascii="Calibri" w:hAnsi="Calibri" w:cs="SimSun"/>
            <w:noProof/>
            <w:sz w:val="22"/>
            <w:szCs w:val="22"/>
            <w:lang w:val="en-US"/>
          </w:rPr>
          <w:tab/>
        </w:r>
        <w:r w:rsidR="00B11CCA">
          <w:rPr>
            <w:rStyle w:val="Hyperlink"/>
            <w:rFonts w:eastAsia="Calibri"/>
            <w:noProof/>
            <w:shd w:val="clear" w:color="auto" w:fill="FFFFFF"/>
          </w:rPr>
          <w:t>Model Specification</w:t>
        </w:r>
        <w:r w:rsidR="00B11CCA">
          <w:rPr>
            <w:noProof/>
            <w:webHidden/>
          </w:rPr>
          <w:tab/>
        </w:r>
        <w:r w:rsidR="00B11CCA">
          <w:rPr>
            <w:noProof/>
            <w:webHidden/>
          </w:rPr>
          <w:fldChar w:fldCharType="begin"/>
        </w:r>
        <w:r w:rsidR="00B11CCA">
          <w:rPr>
            <w:noProof/>
            <w:webHidden/>
          </w:rPr>
          <w:instrText xml:space="preserve"> PAGEREF _Toc112342374 \h </w:instrText>
        </w:r>
        <w:r w:rsidR="00B11CCA">
          <w:rPr>
            <w:noProof/>
            <w:webHidden/>
          </w:rPr>
        </w:r>
        <w:r w:rsidR="00B11CCA">
          <w:rPr>
            <w:noProof/>
            <w:webHidden/>
          </w:rPr>
          <w:fldChar w:fldCharType="separate"/>
        </w:r>
        <w:r>
          <w:rPr>
            <w:noProof/>
            <w:webHidden/>
          </w:rPr>
          <w:t>46</w:t>
        </w:r>
        <w:r w:rsidR="00B11CCA">
          <w:rPr>
            <w:noProof/>
            <w:webHidden/>
          </w:rPr>
          <w:fldChar w:fldCharType="end"/>
        </w:r>
      </w:hyperlink>
    </w:p>
    <w:p w:rsidR="00FA1AC4" w:rsidRDefault="00F54823">
      <w:pPr>
        <w:pStyle w:val="TOC2"/>
        <w:tabs>
          <w:tab w:val="left" w:pos="1100"/>
          <w:tab w:val="right" w:leader="dot" w:pos="8630"/>
        </w:tabs>
        <w:rPr>
          <w:rStyle w:val="Hyperlink"/>
          <w:noProof/>
        </w:rPr>
      </w:pPr>
      <w:hyperlink w:anchor="_Toc112342375" w:history="1">
        <w:r w:rsidR="00B11CCA">
          <w:rPr>
            <w:rStyle w:val="Hyperlink"/>
            <w:rFonts w:eastAsia="Calibri"/>
            <w:noProof/>
          </w:rPr>
          <w:t>3.12.</w:t>
        </w:r>
        <w:r w:rsidR="00B11CCA">
          <w:rPr>
            <w:rFonts w:ascii="Calibri" w:hAnsi="Calibri" w:cs="SimSun"/>
            <w:noProof/>
            <w:sz w:val="22"/>
            <w:szCs w:val="22"/>
            <w:lang w:val="en-US"/>
          </w:rPr>
          <w:tab/>
        </w:r>
        <w:r w:rsidR="00B11CCA">
          <w:rPr>
            <w:rStyle w:val="Hyperlink"/>
            <w:rFonts w:eastAsia="Calibri"/>
            <w:noProof/>
          </w:rPr>
          <w:t>Ethical Consideration</w:t>
        </w:r>
        <w:r w:rsidR="00B11CCA">
          <w:rPr>
            <w:noProof/>
            <w:webHidden/>
          </w:rPr>
          <w:tab/>
        </w:r>
        <w:r w:rsidR="00B11CCA">
          <w:rPr>
            <w:noProof/>
            <w:webHidden/>
          </w:rPr>
          <w:fldChar w:fldCharType="begin"/>
        </w:r>
        <w:r w:rsidR="00B11CCA">
          <w:rPr>
            <w:noProof/>
            <w:webHidden/>
          </w:rPr>
          <w:instrText xml:space="preserve"> PAGEREF _Toc112342375 \h </w:instrText>
        </w:r>
        <w:r w:rsidR="00B11CCA">
          <w:rPr>
            <w:noProof/>
            <w:webHidden/>
          </w:rPr>
        </w:r>
        <w:r w:rsidR="00B11CCA">
          <w:rPr>
            <w:noProof/>
            <w:webHidden/>
          </w:rPr>
          <w:fldChar w:fldCharType="separate"/>
        </w:r>
        <w:r>
          <w:rPr>
            <w:noProof/>
            <w:webHidden/>
          </w:rPr>
          <w:t>48</w:t>
        </w:r>
        <w:r w:rsidR="00B11CCA">
          <w:rPr>
            <w:noProof/>
            <w:webHidden/>
          </w:rPr>
          <w:fldChar w:fldCharType="end"/>
        </w:r>
      </w:hyperlink>
    </w:p>
    <w:p w:rsidR="00FA1AC4" w:rsidRDefault="00FA1AC4"/>
    <w:p w:rsidR="00FA1AC4" w:rsidRDefault="00FA1AC4"/>
    <w:p w:rsidR="00FA1AC4" w:rsidRDefault="00FA1AC4"/>
    <w:p w:rsidR="00FA1AC4" w:rsidRDefault="00FA1AC4"/>
    <w:p w:rsidR="00FA1AC4" w:rsidRDefault="00F54823">
      <w:pPr>
        <w:pStyle w:val="TOC1"/>
        <w:rPr>
          <w:rFonts w:ascii="Calibri" w:eastAsia="SimSun" w:hAnsi="Calibri" w:cs="SimSun"/>
          <w:sz w:val="22"/>
          <w:szCs w:val="22"/>
          <w:lang w:val="en-US"/>
        </w:rPr>
      </w:pPr>
      <w:hyperlink w:anchor="_Toc112342376" w:history="1">
        <w:r w:rsidR="00B11CCA">
          <w:rPr>
            <w:rStyle w:val="Hyperlink"/>
          </w:rPr>
          <w:t>CHAPTER FOUR</w:t>
        </w:r>
        <w:r w:rsidR="00B11CCA">
          <w:rPr>
            <w:webHidden/>
          </w:rPr>
          <w:tab/>
        </w:r>
        <w:r w:rsidR="00B11CCA">
          <w:rPr>
            <w:webHidden/>
          </w:rPr>
          <w:fldChar w:fldCharType="begin"/>
        </w:r>
        <w:r w:rsidR="00B11CCA">
          <w:rPr>
            <w:webHidden/>
          </w:rPr>
          <w:instrText xml:space="preserve"> PAGEREF _Toc112342376 \h </w:instrText>
        </w:r>
        <w:r w:rsidR="00B11CCA">
          <w:rPr>
            <w:webHidden/>
          </w:rPr>
        </w:r>
        <w:r w:rsidR="00B11CCA">
          <w:rPr>
            <w:webHidden/>
          </w:rPr>
          <w:fldChar w:fldCharType="separate"/>
        </w:r>
        <w:r>
          <w:rPr>
            <w:webHidden/>
          </w:rPr>
          <w:t>50</w:t>
        </w:r>
        <w:r w:rsidR="00B11CCA">
          <w:rPr>
            <w:webHidden/>
          </w:rPr>
          <w:fldChar w:fldCharType="end"/>
        </w:r>
      </w:hyperlink>
    </w:p>
    <w:p w:rsidR="00FA1AC4" w:rsidRDefault="00F54823">
      <w:pPr>
        <w:pStyle w:val="TOC1"/>
        <w:rPr>
          <w:rFonts w:ascii="Calibri" w:eastAsia="SimSun" w:hAnsi="Calibri" w:cs="SimSun"/>
          <w:sz w:val="22"/>
          <w:szCs w:val="22"/>
          <w:lang w:val="en-US"/>
        </w:rPr>
      </w:pPr>
      <w:hyperlink w:anchor="_Toc112342377" w:history="1">
        <w:r w:rsidR="00B11CCA">
          <w:rPr>
            <w:rStyle w:val="Hyperlink"/>
          </w:rPr>
          <w:t>DATA PRESENTATION, ANALYSIS AND RESULTS</w:t>
        </w:r>
        <w:r w:rsidR="00B11CCA">
          <w:rPr>
            <w:webHidden/>
          </w:rPr>
          <w:tab/>
        </w:r>
        <w:r w:rsidR="00B11CCA">
          <w:rPr>
            <w:webHidden/>
          </w:rPr>
          <w:fldChar w:fldCharType="begin"/>
        </w:r>
        <w:r w:rsidR="00B11CCA">
          <w:rPr>
            <w:webHidden/>
          </w:rPr>
          <w:instrText xml:space="preserve"> PAGEREF _Toc112342377 \h </w:instrText>
        </w:r>
        <w:r w:rsidR="00B11CCA">
          <w:rPr>
            <w:webHidden/>
          </w:rPr>
        </w:r>
        <w:r w:rsidR="00B11CCA">
          <w:rPr>
            <w:webHidden/>
          </w:rPr>
          <w:fldChar w:fldCharType="separate"/>
        </w:r>
        <w:r>
          <w:rPr>
            <w:webHidden/>
          </w:rPr>
          <w:t>50</w:t>
        </w:r>
        <w:r w:rsidR="00B11CCA">
          <w:rPr>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78" w:history="1">
        <w:r w:rsidR="00B11CCA">
          <w:rPr>
            <w:rStyle w:val="Hyperlink"/>
            <w:rFonts w:eastAsia="Calibri"/>
            <w:noProof/>
          </w:rPr>
          <w:t>4.1</w:t>
        </w:r>
        <w:r w:rsidR="00B11CCA">
          <w:rPr>
            <w:rFonts w:ascii="Calibri" w:hAnsi="Calibri" w:cs="SimSun"/>
            <w:noProof/>
            <w:sz w:val="22"/>
            <w:szCs w:val="22"/>
            <w:lang w:val="en-US"/>
          </w:rPr>
          <w:tab/>
        </w:r>
        <w:r w:rsidR="00B11CCA">
          <w:rPr>
            <w:rStyle w:val="Hyperlink"/>
            <w:rFonts w:eastAsia="Calibri"/>
            <w:noProof/>
          </w:rPr>
          <w:t>. Introduction</w:t>
        </w:r>
        <w:r w:rsidR="00B11CCA">
          <w:rPr>
            <w:noProof/>
            <w:webHidden/>
          </w:rPr>
          <w:tab/>
        </w:r>
        <w:r w:rsidR="00B11CCA">
          <w:rPr>
            <w:noProof/>
            <w:webHidden/>
          </w:rPr>
          <w:fldChar w:fldCharType="begin"/>
        </w:r>
        <w:r w:rsidR="00B11CCA">
          <w:rPr>
            <w:noProof/>
            <w:webHidden/>
          </w:rPr>
          <w:instrText xml:space="preserve"> PAGEREF _Toc112342378 \h </w:instrText>
        </w:r>
        <w:r w:rsidR="00B11CCA">
          <w:rPr>
            <w:noProof/>
            <w:webHidden/>
          </w:rPr>
        </w:r>
        <w:r w:rsidR="00B11CCA">
          <w:rPr>
            <w:noProof/>
            <w:webHidden/>
          </w:rPr>
          <w:fldChar w:fldCharType="separate"/>
        </w:r>
        <w:r>
          <w:rPr>
            <w:noProof/>
            <w:webHidden/>
          </w:rPr>
          <w:t>50</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79" w:history="1">
        <w:r w:rsidR="00B11CCA">
          <w:rPr>
            <w:rStyle w:val="Hyperlink"/>
            <w:noProof/>
          </w:rPr>
          <w:t>4.2.</w:t>
        </w:r>
        <w:r w:rsidR="00B11CCA">
          <w:rPr>
            <w:rFonts w:ascii="Calibri" w:hAnsi="Calibri" w:cs="SimSun"/>
            <w:noProof/>
            <w:sz w:val="22"/>
            <w:szCs w:val="22"/>
            <w:lang w:val="en-US"/>
          </w:rPr>
          <w:tab/>
        </w:r>
        <w:r w:rsidR="00B11CCA">
          <w:rPr>
            <w:rStyle w:val="Hyperlink"/>
            <w:noProof/>
          </w:rPr>
          <w:t>Data Presentation and Analysis</w:t>
        </w:r>
        <w:r w:rsidR="00B11CCA">
          <w:rPr>
            <w:noProof/>
            <w:webHidden/>
          </w:rPr>
          <w:tab/>
        </w:r>
        <w:r w:rsidR="00B11CCA">
          <w:rPr>
            <w:noProof/>
            <w:webHidden/>
          </w:rPr>
          <w:fldChar w:fldCharType="begin"/>
        </w:r>
        <w:r w:rsidR="00B11CCA">
          <w:rPr>
            <w:noProof/>
            <w:webHidden/>
          </w:rPr>
          <w:instrText xml:space="preserve"> PAGEREF _Toc112342379 \h </w:instrText>
        </w:r>
        <w:r w:rsidR="00B11CCA">
          <w:rPr>
            <w:noProof/>
            <w:webHidden/>
          </w:rPr>
        </w:r>
        <w:r w:rsidR="00B11CCA">
          <w:rPr>
            <w:noProof/>
            <w:webHidden/>
          </w:rPr>
          <w:fldChar w:fldCharType="separate"/>
        </w:r>
        <w:r>
          <w:rPr>
            <w:noProof/>
            <w:webHidden/>
          </w:rPr>
          <w:t>51</w:t>
        </w:r>
        <w:r w:rsidR="00B11CCA">
          <w:rPr>
            <w:noProof/>
            <w:webHidden/>
          </w:rPr>
          <w:fldChar w:fldCharType="end"/>
        </w:r>
      </w:hyperlink>
    </w:p>
    <w:p w:rsidR="00FA1AC4" w:rsidRDefault="00F54823">
      <w:pPr>
        <w:pStyle w:val="TOC3"/>
        <w:tabs>
          <w:tab w:val="left" w:pos="1320"/>
          <w:tab w:val="right" w:leader="dot" w:pos="8630"/>
        </w:tabs>
        <w:rPr>
          <w:rFonts w:ascii="Calibri" w:hAnsi="Calibri" w:cs="SimSun"/>
          <w:noProof/>
          <w:sz w:val="22"/>
          <w:szCs w:val="22"/>
          <w:lang w:val="en-US"/>
        </w:rPr>
      </w:pPr>
      <w:hyperlink w:anchor="_Toc112342380" w:history="1">
        <w:r w:rsidR="00B11CCA">
          <w:rPr>
            <w:rStyle w:val="Hyperlink"/>
            <w:rFonts w:eastAsia="Calibri"/>
            <w:noProof/>
          </w:rPr>
          <w:t>4.2.1.</w:t>
        </w:r>
        <w:r w:rsidR="00B11CCA">
          <w:rPr>
            <w:rFonts w:ascii="Calibri" w:hAnsi="Calibri" w:cs="SimSun"/>
            <w:noProof/>
            <w:sz w:val="22"/>
            <w:szCs w:val="22"/>
            <w:lang w:val="en-US"/>
          </w:rPr>
          <w:tab/>
        </w:r>
        <w:r w:rsidR="00B11CCA">
          <w:rPr>
            <w:rStyle w:val="Hyperlink"/>
            <w:rFonts w:eastAsia="Calibri"/>
            <w:noProof/>
          </w:rPr>
          <w:t>Descriptive Analysis</w:t>
        </w:r>
        <w:r w:rsidR="00B11CCA">
          <w:rPr>
            <w:noProof/>
            <w:webHidden/>
          </w:rPr>
          <w:tab/>
        </w:r>
        <w:r w:rsidR="00B11CCA">
          <w:rPr>
            <w:noProof/>
            <w:webHidden/>
          </w:rPr>
          <w:fldChar w:fldCharType="begin"/>
        </w:r>
        <w:r w:rsidR="00B11CCA">
          <w:rPr>
            <w:noProof/>
            <w:webHidden/>
          </w:rPr>
          <w:instrText xml:space="preserve"> PAGEREF _Toc112342380 \h </w:instrText>
        </w:r>
        <w:r w:rsidR="00B11CCA">
          <w:rPr>
            <w:noProof/>
            <w:webHidden/>
          </w:rPr>
        </w:r>
        <w:r w:rsidR="00B11CCA">
          <w:rPr>
            <w:noProof/>
            <w:webHidden/>
          </w:rPr>
          <w:fldChar w:fldCharType="separate"/>
        </w:r>
        <w:r>
          <w:rPr>
            <w:noProof/>
            <w:webHidden/>
          </w:rPr>
          <w:t>51</w:t>
        </w:r>
        <w:r w:rsidR="00B11CCA">
          <w:rPr>
            <w:noProof/>
            <w:webHidden/>
          </w:rPr>
          <w:fldChar w:fldCharType="end"/>
        </w:r>
      </w:hyperlink>
    </w:p>
    <w:p w:rsidR="00FA1AC4" w:rsidRDefault="00F54823">
      <w:pPr>
        <w:pStyle w:val="TOC3"/>
        <w:tabs>
          <w:tab w:val="left" w:pos="1320"/>
          <w:tab w:val="right" w:leader="dot" w:pos="8630"/>
        </w:tabs>
        <w:rPr>
          <w:rFonts w:ascii="Calibri" w:hAnsi="Calibri" w:cs="SimSun"/>
          <w:noProof/>
          <w:sz w:val="22"/>
          <w:szCs w:val="22"/>
          <w:lang w:val="en-US"/>
        </w:rPr>
      </w:pPr>
      <w:hyperlink w:anchor="_Toc112342381" w:history="1">
        <w:r w:rsidR="00B11CCA">
          <w:rPr>
            <w:rStyle w:val="Hyperlink"/>
            <w:rFonts w:eastAsia="Calibri"/>
            <w:noProof/>
          </w:rPr>
          <w:t>4.2.2.</w:t>
        </w:r>
        <w:r w:rsidR="00B11CCA">
          <w:rPr>
            <w:rFonts w:ascii="Calibri" w:hAnsi="Calibri" w:cs="SimSun"/>
            <w:noProof/>
            <w:sz w:val="22"/>
            <w:szCs w:val="22"/>
            <w:lang w:val="en-US"/>
          </w:rPr>
          <w:tab/>
        </w:r>
        <w:r w:rsidR="00B11CCA">
          <w:rPr>
            <w:rStyle w:val="Hyperlink"/>
            <w:rFonts w:eastAsia="Calibri"/>
            <w:noProof/>
          </w:rPr>
          <w:t>Histogram Chart</w:t>
        </w:r>
        <w:r w:rsidR="00B11CCA">
          <w:rPr>
            <w:noProof/>
            <w:webHidden/>
          </w:rPr>
          <w:tab/>
        </w:r>
        <w:r w:rsidR="00B11CCA">
          <w:rPr>
            <w:noProof/>
            <w:webHidden/>
          </w:rPr>
          <w:fldChar w:fldCharType="begin"/>
        </w:r>
        <w:r w:rsidR="00B11CCA">
          <w:rPr>
            <w:noProof/>
            <w:webHidden/>
          </w:rPr>
          <w:instrText xml:space="preserve"> PAGEREF _Toc112342381 \h </w:instrText>
        </w:r>
        <w:r w:rsidR="00B11CCA">
          <w:rPr>
            <w:noProof/>
            <w:webHidden/>
          </w:rPr>
        </w:r>
        <w:r w:rsidR="00B11CCA">
          <w:rPr>
            <w:noProof/>
            <w:webHidden/>
          </w:rPr>
          <w:fldChar w:fldCharType="separate"/>
        </w:r>
        <w:r>
          <w:rPr>
            <w:noProof/>
            <w:webHidden/>
          </w:rPr>
          <w:t>53</w:t>
        </w:r>
        <w:r w:rsidR="00B11CCA">
          <w:rPr>
            <w:noProof/>
            <w:webHidden/>
          </w:rPr>
          <w:fldChar w:fldCharType="end"/>
        </w:r>
      </w:hyperlink>
    </w:p>
    <w:p w:rsidR="00FA1AC4" w:rsidRDefault="00F54823">
      <w:pPr>
        <w:pStyle w:val="TOC3"/>
        <w:tabs>
          <w:tab w:val="left" w:pos="1320"/>
          <w:tab w:val="right" w:leader="dot" w:pos="8630"/>
        </w:tabs>
        <w:rPr>
          <w:rFonts w:ascii="Calibri" w:hAnsi="Calibri" w:cs="SimSun"/>
          <w:noProof/>
          <w:sz w:val="22"/>
          <w:szCs w:val="22"/>
          <w:lang w:val="en-US"/>
        </w:rPr>
      </w:pPr>
      <w:hyperlink w:anchor="_Toc112342382" w:history="1">
        <w:r w:rsidR="00B11CCA">
          <w:rPr>
            <w:rStyle w:val="Hyperlink"/>
            <w:noProof/>
          </w:rPr>
          <w:t>4.2.3.</w:t>
        </w:r>
        <w:r w:rsidR="00B11CCA">
          <w:rPr>
            <w:rFonts w:ascii="Calibri" w:hAnsi="Calibri" w:cs="SimSun"/>
            <w:noProof/>
            <w:sz w:val="22"/>
            <w:szCs w:val="22"/>
            <w:lang w:val="en-US"/>
          </w:rPr>
          <w:tab/>
        </w:r>
        <w:r w:rsidR="00B11CCA">
          <w:rPr>
            <w:rStyle w:val="Hyperlink"/>
            <w:noProof/>
          </w:rPr>
          <w:t>Test for Outliers</w:t>
        </w:r>
        <w:r w:rsidR="00B11CCA">
          <w:rPr>
            <w:noProof/>
            <w:webHidden/>
          </w:rPr>
          <w:tab/>
        </w:r>
        <w:r w:rsidR="00B11CCA">
          <w:rPr>
            <w:noProof/>
            <w:webHidden/>
          </w:rPr>
          <w:fldChar w:fldCharType="begin"/>
        </w:r>
        <w:r w:rsidR="00B11CCA">
          <w:rPr>
            <w:noProof/>
            <w:webHidden/>
          </w:rPr>
          <w:instrText xml:space="preserve"> PAGEREF _Toc112342382 \h </w:instrText>
        </w:r>
        <w:r w:rsidR="00B11CCA">
          <w:rPr>
            <w:noProof/>
            <w:webHidden/>
          </w:rPr>
        </w:r>
        <w:r w:rsidR="00B11CCA">
          <w:rPr>
            <w:noProof/>
            <w:webHidden/>
          </w:rPr>
          <w:fldChar w:fldCharType="separate"/>
        </w:r>
        <w:r>
          <w:rPr>
            <w:noProof/>
            <w:webHidden/>
          </w:rPr>
          <w:t>54</w:t>
        </w:r>
        <w:r w:rsidR="00B11CCA">
          <w:rPr>
            <w:noProof/>
            <w:webHidden/>
          </w:rPr>
          <w:fldChar w:fldCharType="end"/>
        </w:r>
      </w:hyperlink>
    </w:p>
    <w:p w:rsidR="00FA1AC4" w:rsidRDefault="00F54823">
      <w:pPr>
        <w:pStyle w:val="TOC3"/>
        <w:tabs>
          <w:tab w:val="left" w:pos="1320"/>
          <w:tab w:val="right" w:leader="dot" w:pos="8630"/>
        </w:tabs>
        <w:rPr>
          <w:rFonts w:ascii="Calibri" w:hAnsi="Calibri" w:cs="SimSun"/>
          <w:noProof/>
          <w:sz w:val="22"/>
          <w:szCs w:val="22"/>
          <w:lang w:val="en-US"/>
        </w:rPr>
      </w:pPr>
      <w:hyperlink w:anchor="_Toc112342383" w:history="1">
        <w:r w:rsidR="00B11CCA">
          <w:rPr>
            <w:rStyle w:val="Hyperlink"/>
            <w:rFonts w:eastAsia="Calibri"/>
            <w:noProof/>
          </w:rPr>
          <w:t>4.2.4.</w:t>
        </w:r>
        <w:r w:rsidR="00B11CCA">
          <w:rPr>
            <w:rFonts w:ascii="Calibri" w:hAnsi="Calibri" w:cs="SimSun"/>
            <w:noProof/>
            <w:sz w:val="22"/>
            <w:szCs w:val="22"/>
            <w:lang w:val="en-US"/>
          </w:rPr>
          <w:tab/>
        </w:r>
        <w:r w:rsidR="00B11CCA">
          <w:rPr>
            <w:rStyle w:val="Hyperlink"/>
            <w:rFonts w:eastAsia="Calibri"/>
            <w:noProof/>
          </w:rPr>
          <w:t>Colinearity Test</w:t>
        </w:r>
        <w:r w:rsidR="00B11CCA">
          <w:rPr>
            <w:noProof/>
            <w:webHidden/>
          </w:rPr>
          <w:tab/>
        </w:r>
        <w:r w:rsidR="00B11CCA">
          <w:rPr>
            <w:noProof/>
            <w:webHidden/>
          </w:rPr>
          <w:fldChar w:fldCharType="begin"/>
        </w:r>
        <w:r w:rsidR="00B11CCA">
          <w:rPr>
            <w:noProof/>
            <w:webHidden/>
          </w:rPr>
          <w:instrText xml:space="preserve"> PAGEREF _Toc112342383 \h </w:instrText>
        </w:r>
        <w:r w:rsidR="00B11CCA">
          <w:rPr>
            <w:noProof/>
            <w:webHidden/>
          </w:rPr>
        </w:r>
        <w:r w:rsidR="00B11CCA">
          <w:rPr>
            <w:noProof/>
            <w:webHidden/>
          </w:rPr>
          <w:fldChar w:fldCharType="separate"/>
        </w:r>
        <w:r>
          <w:rPr>
            <w:noProof/>
            <w:webHidden/>
          </w:rPr>
          <w:t>54</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84" w:history="1">
        <w:r w:rsidR="00B11CCA">
          <w:rPr>
            <w:rStyle w:val="Hyperlink"/>
            <w:noProof/>
          </w:rPr>
          <w:t>4.3.</w:t>
        </w:r>
        <w:r w:rsidR="00B11CCA">
          <w:rPr>
            <w:rFonts w:ascii="Calibri" w:hAnsi="Calibri" w:cs="SimSun"/>
            <w:noProof/>
            <w:sz w:val="22"/>
            <w:szCs w:val="22"/>
            <w:lang w:val="en-US"/>
          </w:rPr>
          <w:tab/>
        </w:r>
        <w:r w:rsidR="00B11CCA">
          <w:rPr>
            <w:rStyle w:val="Hyperlink"/>
            <w:rFonts w:eastAsia="Calibri"/>
            <w:noProof/>
          </w:rPr>
          <w:t>Analysis of Data from the Survey Questionnaires</w:t>
        </w:r>
        <w:r w:rsidR="00B11CCA">
          <w:rPr>
            <w:noProof/>
            <w:webHidden/>
          </w:rPr>
          <w:tab/>
        </w:r>
        <w:r w:rsidR="00B11CCA">
          <w:rPr>
            <w:noProof/>
            <w:webHidden/>
          </w:rPr>
          <w:fldChar w:fldCharType="begin"/>
        </w:r>
        <w:r w:rsidR="00B11CCA">
          <w:rPr>
            <w:noProof/>
            <w:webHidden/>
          </w:rPr>
          <w:instrText xml:space="preserve"> PAGEREF _Toc112342384 \h </w:instrText>
        </w:r>
        <w:r w:rsidR="00B11CCA">
          <w:rPr>
            <w:noProof/>
            <w:webHidden/>
          </w:rPr>
        </w:r>
        <w:r w:rsidR="00B11CCA">
          <w:rPr>
            <w:noProof/>
            <w:webHidden/>
          </w:rPr>
          <w:fldChar w:fldCharType="separate"/>
        </w:r>
        <w:r>
          <w:rPr>
            <w:noProof/>
            <w:webHidden/>
          </w:rPr>
          <w:t>56</w:t>
        </w:r>
        <w:r w:rsidR="00B11CCA">
          <w:rPr>
            <w:noProof/>
            <w:webHidden/>
          </w:rPr>
          <w:fldChar w:fldCharType="end"/>
        </w:r>
      </w:hyperlink>
    </w:p>
    <w:p w:rsidR="00FA1AC4" w:rsidRDefault="00F54823">
      <w:pPr>
        <w:pStyle w:val="TOC3"/>
        <w:tabs>
          <w:tab w:val="left" w:pos="1320"/>
          <w:tab w:val="right" w:leader="dot" w:pos="8630"/>
        </w:tabs>
        <w:rPr>
          <w:rFonts w:ascii="Calibri" w:hAnsi="Calibri" w:cs="SimSun"/>
          <w:noProof/>
          <w:sz w:val="22"/>
          <w:szCs w:val="22"/>
          <w:lang w:val="en-US"/>
        </w:rPr>
      </w:pPr>
      <w:hyperlink w:anchor="_Toc112342385" w:history="1">
        <w:r w:rsidR="00B11CCA">
          <w:rPr>
            <w:rStyle w:val="Hyperlink"/>
            <w:rFonts w:eastAsia="Calibri"/>
            <w:noProof/>
          </w:rPr>
          <w:t>4.3.1.</w:t>
        </w:r>
        <w:r w:rsidR="00B11CCA">
          <w:rPr>
            <w:rFonts w:ascii="Calibri" w:hAnsi="Calibri" w:cs="SimSun"/>
            <w:noProof/>
            <w:sz w:val="22"/>
            <w:szCs w:val="22"/>
            <w:lang w:val="en-US"/>
          </w:rPr>
          <w:tab/>
        </w:r>
        <w:r w:rsidR="00B11CCA">
          <w:rPr>
            <w:rStyle w:val="Hyperlink"/>
            <w:rFonts w:eastAsia="Calibri"/>
            <w:noProof/>
          </w:rPr>
          <w:t>Coded Survey Questionnaire Statement</w:t>
        </w:r>
        <w:r w:rsidR="00B11CCA">
          <w:rPr>
            <w:noProof/>
            <w:webHidden/>
          </w:rPr>
          <w:tab/>
        </w:r>
        <w:r w:rsidR="00B11CCA">
          <w:rPr>
            <w:noProof/>
            <w:webHidden/>
          </w:rPr>
          <w:fldChar w:fldCharType="begin"/>
        </w:r>
        <w:r w:rsidR="00B11CCA">
          <w:rPr>
            <w:noProof/>
            <w:webHidden/>
          </w:rPr>
          <w:instrText xml:space="preserve"> PAGEREF _Toc112342385 \h </w:instrText>
        </w:r>
        <w:r w:rsidR="00B11CCA">
          <w:rPr>
            <w:noProof/>
            <w:webHidden/>
          </w:rPr>
        </w:r>
        <w:r w:rsidR="00B11CCA">
          <w:rPr>
            <w:noProof/>
            <w:webHidden/>
          </w:rPr>
          <w:fldChar w:fldCharType="separate"/>
        </w:r>
        <w:r>
          <w:rPr>
            <w:noProof/>
            <w:webHidden/>
          </w:rPr>
          <w:t>57</w:t>
        </w:r>
        <w:r w:rsidR="00B11CCA">
          <w:rPr>
            <w:noProof/>
            <w:webHidden/>
          </w:rPr>
          <w:fldChar w:fldCharType="end"/>
        </w:r>
      </w:hyperlink>
    </w:p>
    <w:p w:rsidR="00FA1AC4" w:rsidRDefault="00F54823">
      <w:pPr>
        <w:pStyle w:val="TOC3"/>
        <w:tabs>
          <w:tab w:val="left" w:pos="1320"/>
          <w:tab w:val="right" w:leader="dot" w:pos="8630"/>
        </w:tabs>
        <w:rPr>
          <w:rFonts w:ascii="Calibri" w:hAnsi="Calibri" w:cs="SimSun"/>
          <w:noProof/>
          <w:sz w:val="22"/>
          <w:szCs w:val="22"/>
          <w:lang w:val="en-US"/>
        </w:rPr>
      </w:pPr>
      <w:hyperlink w:anchor="_Toc112342386" w:history="1">
        <w:r w:rsidR="00B11CCA">
          <w:rPr>
            <w:rStyle w:val="Hyperlink"/>
            <w:rFonts w:eastAsia="Calibri"/>
            <w:noProof/>
          </w:rPr>
          <w:t>4.3.2.</w:t>
        </w:r>
        <w:r w:rsidR="00B11CCA">
          <w:rPr>
            <w:rFonts w:ascii="Calibri" w:hAnsi="Calibri" w:cs="SimSun"/>
            <w:noProof/>
            <w:sz w:val="22"/>
            <w:szCs w:val="22"/>
            <w:lang w:val="en-US"/>
          </w:rPr>
          <w:tab/>
        </w:r>
        <w:r w:rsidR="00B11CCA">
          <w:rPr>
            <w:rStyle w:val="Hyperlink"/>
            <w:rFonts w:eastAsia="Calibri"/>
            <w:noProof/>
          </w:rPr>
          <w:t>Analysis of Survey Questionnaire Statement</w:t>
        </w:r>
        <w:r w:rsidR="00B11CCA">
          <w:rPr>
            <w:noProof/>
            <w:webHidden/>
          </w:rPr>
          <w:tab/>
        </w:r>
        <w:r w:rsidR="00B11CCA">
          <w:rPr>
            <w:noProof/>
            <w:webHidden/>
          </w:rPr>
          <w:fldChar w:fldCharType="begin"/>
        </w:r>
        <w:r w:rsidR="00B11CCA">
          <w:rPr>
            <w:noProof/>
            <w:webHidden/>
          </w:rPr>
          <w:instrText xml:space="preserve"> PAGEREF _Toc112342386 \h </w:instrText>
        </w:r>
        <w:r w:rsidR="00B11CCA">
          <w:rPr>
            <w:noProof/>
            <w:webHidden/>
          </w:rPr>
        </w:r>
        <w:r w:rsidR="00B11CCA">
          <w:rPr>
            <w:noProof/>
            <w:webHidden/>
          </w:rPr>
          <w:fldChar w:fldCharType="separate"/>
        </w:r>
        <w:r>
          <w:rPr>
            <w:noProof/>
            <w:webHidden/>
          </w:rPr>
          <w:t>58</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87" w:history="1">
        <w:r w:rsidR="00B11CCA">
          <w:rPr>
            <w:rStyle w:val="Hyperlink"/>
            <w:rFonts w:eastAsia="Calibri"/>
            <w:noProof/>
          </w:rPr>
          <w:t>4.4.</w:t>
        </w:r>
        <w:r w:rsidR="00B11CCA">
          <w:rPr>
            <w:rFonts w:ascii="Calibri" w:hAnsi="Calibri" w:cs="SimSun"/>
            <w:noProof/>
            <w:sz w:val="22"/>
            <w:szCs w:val="22"/>
            <w:lang w:val="en-US"/>
          </w:rPr>
          <w:tab/>
        </w:r>
        <w:r w:rsidR="00B11CCA">
          <w:rPr>
            <w:rStyle w:val="Hyperlink"/>
            <w:rFonts w:eastAsia="Calibri"/>
            <w:noProof/>
          </w:rPr>
          <w:t>Model Summary</w:t>
        </w:r>
        <w:r w:rsidR="00B11CCA">
          <w:rPr>
            <w:noProof/>
            <w:webHidden/>
          </w:rPr>
          <w:tab/>
        </w:r>
        <w:r w:rsidR="00B11CCA">
          <w:rPr>
            <w:noProof/>
            <w:webHidden/>
          </w:rPr>
          <w:fldChar w:fldCharType="begin"/>
        </w:r>
        <w:r w:rsidR="00B11CCA">
          <w:rPr>
            <w:noProof/>
            <w:webHidden/>
          </w:rPr>
          <w:instrText xml:space="preserve"> PAGEREF _Toc112342387 \h </w:instrText>
        </w:r>
        <w:r w:rsidR="00B11CCA">
          <w:rPr>
            <w:noProof/>
            <w:webHidden/>
          </w:rPr>
        </w:r>
        <w:r w:rsidR="00B11CCA">
          <w:rPr>
            <w:noProof/>
            <w:webHidden/>
          </w:rPr>
          <w:fldChar w:fldCharType="separate"/>
        </w:r>
        <w:r>
          <w:rPr>
            <w:noProof/>
            <w:webHidden/>
          </w:rPr>
          <w:t>73</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88" w:history="1">
        <w:r w:rsidR="00B11CCA">
          <w:rPr>
            <w:rStyle w:val="Hyperlink"/>
            <w:rFonts w:eastAsia="Calibri"/>
            <w:noProof/>
          </w:rPr>
          <w:t>4.5.</w:t>
        </w:r>
        <w:r w:rsidR="00B11CCA">
          <w:rPr>
            <w:rFonts w:ascii="Calibri" w:hAnsi="Calibri" w:cs="SimSun"/>
            <w:noProof/>
            <w:sz w:val="22"/>
            <w:szCs w:val="22"/>
            <w:lang w:val="en-US"/>
          </w:rPr>
          <w:tab/>
        </w:r>
        <w:r w:rsidR="00B11CCA">
          <w:rPr>
            <w:rStyle w:val="Hyperlink"/>
            <w:rFonts w:eastAsia="Calibri"/>
            <w:noProof/>
          </w:rPr>
          <w:t>Discussion of Results from the Annual Reports</w:t>
        </w:r>
        <w:r w:rsidR="00B11CCA">
          <w:rPr>
            <w:noProof/>
            <w:webHidden/>
          </w:rPr>
          <w:tab/>
        </w:r>
        <w:r w:rsidR="00B11CCA">
          <w:rPr>
            <w:noProof/>
            <w:webHidden/>
          </w:rPr>
          <w:fldChar w:fldCharType="begin"/>
        </w:r>
        <w:r w:rsidR="00B11CCA">
          <w:rPr>
            <w:noProof/>
            <w:webHidden/>
          </w:rPr>
          <w:instrText xml:space="preserve"> PAGEREF _Toc112342388 \h </w:instrText>
        </w:r>
        <w:r w:rsidR="00B11CCA">
          <w:rPr>
            <w:noProof/>
            <w:webHidden/>
          </w:rPr>
        </w:r>
        <w:r w:rsidR="00B11CCA">
          <w:rPr>
            <w:noProof/>
            <w:webHidden/>
          </w:rPr>
          <w:fldChar w:fldCharType="separate"/>
        </w:r>
        <w:r>
          <w:rPr>
            <w:noProof/>
            <w:webHidden/>
          </w:rPr>
          <w:t>74</w:t>
        </w:r>
        <w:r w:rsidR="00B11CCA">
          <w:rPr>
            <w:noProof/>
            <w:webHidden/>
          </w:rPr>
          <w:fldChar w:fldCharType="end"/>
        </w:r>
      </w:hyperlink>
    </w:p>
    <w:p w:rsidR="00FA1AC4" w:rsidRDefault="00F54823">
      <w:pPr>
        <w:pStyle w:val="TOC3"/>
        <w:tabs>
          <w:tab w:val="left" w:pos="1320"/>
          <w:tab w:val="right" w:leader="dot" w:pos="8630"/>
        </w:tabs>
        <w:rPr>
          <w:rFonts w:ascii="Calibri" w:hAnsi="Calibri" w:cs="SimSun"/>
          <w:noProof/>
          <w:sz w:val="22"/>
          <w:szCs w:val="22"/>
          <w:lang w:val="en-US"/>
        </w:rPr>
      </w:pPr>
      <w:hyperlink w:anchor="_Toc112342389" w:history="1">
        <w:r w:rsidR="00B11CCA">
          <w:rPr>
            <w:rStyle w:val="Hyperlink"/>
            <w:noProof/>
          </w:rPr>
          <w:t>4.5.1.</w:t>
        </w:r>
        <w:r w:rsidR="00B11CCA">
          <w:rPr>
            <w:rFonts w:ascii="Calibri" w:hAnsi="Calibri" w:cs="SimSun"/>
            <w:noProof/>
            <w:sz w:val="22"/>
            <w:szCs w:val="22"/>
            <w:lang w:val="en-US"/>
          </w:rPr>
          <w:tab/>
        </w:r>
        <w:r w:rsidR="00B11CCA">
          <w:rPr>
            <w:rStyle w:val="Hyperlink"/>
            <w:noProof/>
          </w:rPr>
          <w:t>Discussion of the Results of Survey Questionnaire Analysis</w:t>
        </w:r>
        <w:r w:rsidR="00B11CCA">
          <w:rPr>
            <w:noProof/>
            <w:webHidden/>
          </w:rPr>
          <w:tab/>
        </w:r>
        <w:r w:rsidR="00B11CCA">
          <w:rPr>
            <w:noProof/>
            <w:webHidden/>
          </w:rPr>
          <w:fldChar w:fldCharType="begin"/>
        </w:r>
        <w:r w:rsidR="00B11CCA">
          <w:rPr>
            <w:noProof/>
            <w:webHidden/>
          </w:rPr>
          <w:instrText xml:space="preserve"> PAGEREF _Toc112342389 \h </w:instrText>
        </w:r>
        <w:r w:rsidR="00B11CCA">
          <w:rPr>
            <w:noProof/>
            <w:webHidden/>
          </w:rPr>
        </w:r>
        <w:r w:rsidR="00B11CCA">
          <w:rPr>
            <w:noProof/>
            <w:webHidden/>
          </w:rPr>
          <w:fldChar w:fldCharType="separate"/>
        </w:r>
        <w:r>
          <w:rPr>
            <w:noProof/>
            <w:webHidden/>
          </w:rPr>
          <w:t>75</w:t>
        </w:r>
        <w:r w:rsidR="00B11CCA">
          <w:rPr>
            <w:noProof/>
            <w:webHidden/>
          </w:rPr>
          <w:fldChar w:fldCharType="end"/>
        </w:r>
      </w:hyperlink>
    </w:p>
    <w:p w:rsidR="00FA1AC4" w:rsidRDefault="00F54823">
      <w:pPr>
        <w:pStyle w:val="TOC3"/>
        <w:tabs>
          <w:tab w:val="left" w:pos="1320"/>
          <w:tab w:val="right" w:leader="dot" w:pos="8630"/>
        </w:tabs>
        <w:rPr>
          <w:rFonts w:ascii="Calibri" w:hAnsi="Calibri" w:cs="SimSun"/>
          <w:noProof/>
          <w:sz w:val="22"/>
          <w:szCs w:val="22"/>
          <w:lang w:val="en-US"/>
        </w:rPr>
      </w:pPr>
      <w:hyperlink w:anchor="_Toc112342390" w:history="1">
        <w:r w:rsidR="00B11CCA">
          <w:rPr>
            <w:rStyle w:val="Hyperlink"/>
            <w:rFonts w:eastAsia="Calibri"/>
            <w:noProof/>
          </w:rPr>
          <w:t>4.5.2.</w:t>
        </w:r>
        <w:r w:rsidR="00B11CCA">
          <w:rPr>
            <w:rFonts w:ascii="Calibri" w:hAnsi="Calibri" w:cs="SimSun"/>
            <w:noProof/>
            <w:sz w:val="22"/>
            <w:szCs w:val="22"/>
            <w:lang w:val="en-US"/>
          </w:rPr>
          <w:tab/>
        </w:r>
        <w:r w:rsidR="00B11CCA">
          <w:rPr>
            <w:rStyle w:val="Hyperlink"/>
            <w:rFonts w:eastAsia="Calibri"/>
            <w:noProof/>
          </w:rPr>
          <w:t>Hypotheses Testing and Decisions</w:t>
        </w:r>
        <w:r w:rsidR="00B11CCA">
          <w:rPr>
            <w:noProof/>
            <w:webHidden/>
          </w:rPr>
          <w:tab/>
        </w:r>
        <w:r w:rsidR="00B11CCA">
          <w:rPr>
            <w:noProof/>
            <w:webHidden/>
          </w:rPr>
          <w:fldChar w:fldCharType="begin"/>
        </w:r>
        <w:r w:rsidR="00B11CCA">
          <w:rPr>
            <w:noProof/>
            <w:webHidden/>
          </w:rPr>
          <w:instrText xml:space="preserve"> PAGEREF _Toc112342390 \h </w:instrText>
        </w:r>
        <w:r w:rsidR="00B11CCA">
          <w:rPr>
            <w:noProof/>
            <w:webHidden/>
          </w:rPr>
        </w:r>
        <w:r w:rsidR="00B11CCA">
          <w:rPr>
            <w:noProof/>
            <w:webHidden/>
          </w:rPr>
          <w:fldChar w:fldCharType="separate"/>
        </w:r>
        <w:r>
          <w:rPr>
            <w:noProof/>
            <w:webHidden/>
          </w:rPr>
          <w:t>78</w:t>
        </w:r>
        <w:r w:rsidR="00B11CCA">
          <w:rPr>
            <w:noProof/>
            <w:webHidden/>
          </w:rPr>
          <w:fldChar w:fldCharType="end"/>
        </w:r>
      </w:hyperlink>
    </w:p>
    <w:p w:rsidR="00FA1AC4" w:rsidRDefault="00F54823">
      <w:pPr>
        <w:pStyle w:val="TOC1"/>
        <w:rPr>
          <w:rFonts w:ascii="Calibri" w:eastAsia="SimSun" w:hAnsi="Calibri" w:cs="SimSun"/>
          <w:sz w:val="22"/>
          <w:szCs w:val="22"/>
          <w:lang w:val="en-US"/>
        </w:rPr>
      </w:pPr>
      <w:hyperlink w:anchor="_Toc112342391" w:history="1">
        <w:r w:rsidR="00B11CCA">
          <w:rPr>
            <w:rStyle w:val="Hyperlink"/>
          </w:rPr>
          <w:t>CHAPTER FIVE</w:t>
        </w:r>
        <w:r w:rsidR="00B11CCA">
          <w:rPr>
            <w:webHidden/>
          </w:rPr>
          <w:tab/>
        </w:r>
        <w:r w:rsidR="00B11CCA">
          <w:rPr>
            <w:webHidden/>
          </w:rPr>
          <w:fldChar w:fldCharType="begin"/>
        </w:r>
        <w:r w:rsidR="00B11CCA">
          <w:rPr>
            <w:webHidden/>
          </w:rPr>
          <w:instrText xml:space="preserve"> PAGEREF _Toc112342391 \h </w:instrText>
        </w:r>
        <w:r w:rsidR="00B11CCA">
          <w:rPr>
            <w:webHidden/>
          </w:rPr>
        </w:r>
        <w:r w:rsidR="00B11CCA">
          <w:rPr>
            <w:webHidden/>
          </w:rPr>
          <w:fldChar w:fldCharType="separate"/>
        </w:r>
        <w:r>
          <w:rPr>
            <w:webHidden/>
          </w:rPr>
          <w:t>79</w:t>
        </w:r>
        <w:r w:rsidR="00B11CCA">
          <w:rPr>
            <w:webHidden/>
          </w:rPr>
          <w:fldChar w:fldCharType="end"/>
        </w:r>
      </w:hyperlink>
    </w:p>
    <w:p w:rsidR="00FA1AC4" w:rsidRDefault="00F54823">
      <w:pPr>
        <w:pStyle w:val="TOC1"/>
        <w:rPr>
          <w:rFonts w:ascii="Calibri" w:eastAsia="SimSun" w:hAnsi="Calibri" w:cs="SimSun"/>
          <w:sz w:val="22"/>
          <w:szCs w:val="22"/>
          <w:lang w:val="en-US"/>
        </w:rPr>
      </w:pPr>
      <w:hyperlink w:anchor="_Toc112342392" w:history="1">
        <w:r w:rsidR="00B11CCA">
          <w:rPr>
            <w:rStyle w:val="Hyperlink"/>
          </w:rPr>
          <w:t>SUMMARY, CONCLUSION, AND RECOMMENDATIONS</w:t>
        </w:r>
        <w:r w:rsidR="00B11CCA">
          <w:rPr>
            <w:webHidden/>
          </w:rPr>
          <w:tab/>
        </w:r>
        <w:r w:rsidR="00B11CCA">
          <w:rPr>
            <w:webHidden/>
          </w:rPr>
          <w:fldChar w:fldCharType="begin"/>
        </w:r>
        <w:r w:rsidR="00B11CCA">
          <w:rPr>
            <w:webHidden/>
          </w:rPr>
          <w:instrText xml:space="preserve"> PAGEREF _Toc112342392 \h </w:instrText>
        </w:r>
        <w:r w:rsidR="00B11CCA">
          <w:rPr>
            <w:webHidden/>
          </w:rPr>
        </w:r>
        <w:r w:rsidR="00B11CCA">
          <w:rPr>
            <w:webHidden/>
          </w:rPr>
          <w:fldChar w:fldCharType="separate"/>
        </w:r>
        <w:r>
          <w:rPr>
            <w:webHidden/>
          </w:rPr>
          <w:t>79</w:t>
        </w:r>
        <w:r w:rsidR="00B11CCA">
          <w:rPr>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93" w:history="1">
        <w:r w:rsidR="00B11CCA">
          <w:rPr>
            <w:rStyle w:val="Hyperlink"/>
            <w:rFonts w:eastAsia="Calibri"/>
            <w:noProof/>
          </w:rPr>
          <w:t>5.1.</w:t>
        </w:r>
        <w:r w:rsidR="00B11CCA">
          <w:rPr>
            <w:rFonts w:ascii="Calibri" w:hAnsi="Calibri" w:cs="SimSun"/>
            <w:noProof/>
            <w:sz w:val="22"/>
            <w:szCs w:val="22"/>
            <w:lang w:val="en-US"/>
          </w:rPr>
          <w:tab/>
        </w:r>
        <w:r w:rsidR="00B11CCA">
          <w:rPr>
            <w:rStyle w:val="Hyperlink"/>
            <w:rFonts w:eastAsia="Calibri"/>
            <w:noProof/>
          </w:rPr>
          <w:t>Introduction</w:t>
        </w:r>
        <w:r w:rsidR="00B11CCA">
          <w:rPr>
            <w:noProof/>
            <w:webHidden/>
          </w:rPr>
          <w:tab/>
        </w:r>
        <w:r w:rsidR="00B11CCA">
          <w:rPr>
            <w:noProof/>
            <w:webHidden/>
          </w:rPr>
          <w:fldChar w:fldCharType="begin"/>
        </w:r>
        <w:r w:rsidR="00B11CCA">
          <w:rPr>
            <w:noProof/>
            <w:webHidden/>
          </w:rPr>
          <w:instrText xml:space="preserve"> PAGEREF _Toc112342393 \h </w:instrText>
        </w:r>
        <w:r w:rsidR="00B11CCA">
          <w:rPr>
            <w:noProof/>
            <w:webHidden/>
          </w:rPr>
        </w:r>
        <w:r w:rsidR="00B11CCA">
          <w:rPr>
            <w:noProof/>
            <w:webHidden/>
          </w:rPr>
          <w:fldChar w:fldCharType="separate"/>
        </w:r>
        <w:r>
          <w:rPr>
            <w:noProof/>
            <w:webHidden/>
          </w:rPr>
          <w:t>79</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94" w:history="1">
        <w:r w:rsidR="00B11CCA">
          <w:rPr>
            <w:rStyle w:val="Hyperlink"/>
            <w:rFonts w:eastAsia="Calibri"/>
            <w:noProof/>
          </w:rPr>
          <w:t>5.2.</w:t>
        </w:r>
        <w:r w:rsidR="00B11CCA">
          <w:rPr>
            <w:rFonts w:ascii="Calibri" w:hAnsi="Calibri" w:cs="SimSun"/>
            <w:noProof/>
            <w:sz w:val="22"/>
            <w:szCs w:val="22"/>
            <w:lang w:val="en-US"/>
          </w:rPr>
          <w:tab/>
        </w:r>
        <w:r w:rsidR="00B11CCA">
          <w:rPr>
            <w:rStyle w:val="Hyperlink"/>
            <w:rFonts w:eastAsia="Calibri"/>
            <w:noProof/>
          </w:rPr>
          <w:t>Summary of the Study</w:t>
        </w:r>
        <w:r w:rsidR="00B11CCA">
          <w:rPr>
            <w:noProof/>
            <w:webHidden/>
          </w:rPr>
          <w:tab/>
        </w:r>
        <w:r w:rsidR="00B11CCA">
          <w:rPr>
            <w:noProof/>
            <w:webHidden/>
          </w:rPr>
          <w:fldChar w:fldCharType="begin"/>
        </w:r>
        <w:r w:rsidR="00B11CCA">
          <w:rPr>
            <w:noProof/>
            <w:webHidden/>
          </w:rPr>
          <w:instrText xml:space="preserve"> PAGEREF _Toc112342394 \h </w:instrText>
        </w:r>
        <w:r w:rsidR="00B11CCA">
          <w:rPr>
            <w:noProof/>
            <w:webHidden/>
          </w:rPr>
        </w:r>
        <w:r w:rsidR="00B11CCA">
          <w:rPr>
            <w:noProof/>
            <w:webHidden/>
          </w:rPr>
          <w:fldChar w:fldCharType="separate"/>
        </w:r>
        <w:r>
          <w:rPr>
            <w:noProof/>
            <w:webHidden/>
          </w:rPr>
          <w:t>79</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95" w:history="1">
        <w:r w:rsidR="00B11CCA">
          <w:rPr>
            <w:rStyle w:val="Hyperlink"/>
            <w:rFonts w:eastAsia="Calibri"/>
            <w:noProof/>
          </w:rPr>
          <w:t>5.3.</w:t>
        </w:r>
        <w:r w:rsidR="00B11CCA">
          <w:rPr>
            <w:rFonts w:ascii="Calibri" w:hAnsi="Calibri" w:cs="SimSun"/>
            <w:noProof/>
            <w:sz w:val="22"/>
            <w:szCs w:val="22"/>
            <w:lang w:val="en-US"/>
          </w:rPr>
          <w:tab/>
        </w:r>
        <w:r w:rsidR="00B11CCA">
          <w:rPr>
            <w:rStyle w:val="Hyperlink"/>
            <w:rFonts w:eastAsia="Calibri"/>
            <w:noProof/>
          </w:rPr>
          <w:t>Summary of Findings</w:t>
        </w:r>
        <w:r w:rsidR="00B11CCA">
          <w:rPr>
            <w:noProof/>
            <w:webHidden/>
          </w:rPr>
          <w:tab/>
        </w:r>
        <w:r w:rsidR="00B11CCA">
          <w:rPr>
            <w:noProof/>
            <w:webHidden/>
          </w:rPr>
          <w:fldChar w:fldCharType="begin"/>
        </w:r>
        <w:r w:rsidR="00B11CCA">
          <w:rPr>
            <w:noProof/>
            <w:webHidden/>
          </w:rPr>
          <w:instrText xml:space="preserve"> PAGEREF _Toc112342395 \h </w:instrText>
        </w:r>
        <w:r w:rsidR="00B11CCA">
          <w:rPr>
            <w:noProof/>
            <w:webHidden/>
          </w:rPr>
        </w:r>
        <w:r w:rsidR="00B11CCA">
          <w:rPr>
            <w:noProof/>
            <w:webHidden/>
          </w:rPr>
          <w:fldChar w:fldCharType="separate"/>
        </w:r>
        <w:r>
          <w:rPr>
            <w:noProof/>
            <w:webHidden/>
          </w:rPr>
          <w:t>80</w:t>
        </w:r>
        <w:r w:rsidR="00B11CCA">
          <w:rPr>
            <w:noProof/>
            <w:webHidden/>
          </w:rPr>
          <w:fldChar w:fldCharType="end"/>
        </w:r>
      </w:hyperlink>
    </w:p>
    <w:p w:rsidR="00FA1AC4" w:rsidRDefault="00F54823">
      <w:pPr>
        <w:pStyle w:val="TOC3"/>
        <w:tabs>
          <w:tab w:val="left" w:pos="1320"/>
          <w:tab w:val="right" w:leader="dot" w:pos="8630"/>
        </w:tabs>
        <w:rPr>
          <w:rFonts w:ascii="Calibri" w:hAnsi="Calibri" w:cs="SimSun"/>
          <w:noProof/>
          <w:sz w:val="22"/>
          <w:szCs w:val="22"/>
          <w:lang w:val="en-US"/>
        </w:rPr>
      </w:pPr>
      <w:hyperlink w:anchor="_Toc112342396" w:history="1">
        <w:r w:rsidR="00B11CCA">
          <w:rPr>
            <w:rStyle w:val="Hyperlink"/>
            <w:rFonts w:eastAsia="Calibri"/>
            <w:noProof/>
          </w:rPr>
          <w:t>5.3.1.</w:t>
        </w:r>
        <w:r w:rsidR="00B11CCA">
          <w:rPr>
            <w:rFonts w:ascii="Calibri" w:hAnsi="Calibri" w:cs="SimSun"/>
            <w:noProof/>
            <w:sz w:val="22"/>
            <w:szCs w:val="22"/>
            <w:lang w:val="en-US"/>
          </w:rPr>
          <w:tab/>
        </w:r>
        <w:r w:rsidR="00B11CCA">
          <w:rPr>
            <w:rStyle w:val="Hyperlink"/>
            <w:rFonts w:eastAsia="Calibri"/>
            <w:noProof/>
          </w:rPr>
          <w:t>Theoretical Findings</w:t>
        </w:r>
        <w:r w:rsidR="00B11CCA">
          <w:rPr>
            <w:noProof/>
            <w:webHidden/>
          </w:rPr>
          <w:tab/>
        </w:r>
        <w:r w:rsidR="00B11CCA">
          <w:rPr>
            <w:noProof/>
            <w:webHidden/>
          </w:rPr>
          <w:fldChar w:fldCharType="begin"/>
        </w:r>
        <w:r w:rsidR="00B11CCA">
          <w:rPr>
            <w:noProof/>
            <w:webHidden/>
          </w:rPr>
          <w:instrText xml:space="preserve"> PAGEREF _Toc112342396 \h </w:instrText>
        </w:r>
        <w:r w:rsidR="00B11CCA">
          <w:rPr>
            <w:noProof/>
            <w:webHidden/>
          </w:rPr>
        </w:r>
        <w:r w:rsidR="00B11CCA">
          <w:rPr>
            <w:noProof/>
            <w:webHidden/>
          </w:rPr>
          <w:fldChar w:fldCharType="separate"/>
        </w:r>
        <w:r>
          <w:rPr>
            <w:noProof/>
            <w:webHidden/>
          </w:rPr>
          <w:t>80</w:t>
        </w:r>
        <w:r w:rsidR="00B11CCA">
          <w:rPr>
            <w:noProof/>
            <w:webHidden/>
          </w:rPr>
          <w:fldChar w:fldCharType="end"/>
        </w:r>
      </w:hyperlink>
    </w:p>
    <w:p w:rsidR="00FA1AC4" w:rsidRDefault="00F54823">
      <w:pPr>
        <w:pStyle w:val="TOC3"/>
        <w:tabs>
          <w:tab w:val="left" w:pos="1320"/>
          <w:tab w:val="right" w:leader="dot" w:pos="8630"/>
        </w:tabs>
        <w:rPr>
          <w:rFonts w:ascii="Calibri" w:hAnsi="Calibri" w:cs="SimSun"/>
          <w:noProof/>
          <w:sz w:val="22"/>
          <w:szCs w:val="22"/>
          <w:lang w:val="en-US"/>
        </w:rPr>
      </w:pPr>
      <w:hyperlink w:anchor="_Toc112342397" w:history="1">
        <w:r w:rsidR="00B11CCA">
          <w:rPr>
            <w:rStyle w:val="Hyperlink"/>
            <w:rFonts w:eastAsia="Calibri"/>
            <w:noProof/>
          </w:rPr>
          <w:t>5.3.2.</w:t>
        </w:r>
        <w:r w:rsidR="00B11CCA">
          <w:rPr>
            <w:rFonts w:ascii="Calibri" w:hAnsi="Calibri" w:cs="SimSun"/>
            <w:noProof/>
            <w:sz w:val="22"/>
            <w:szCs w:val="22"/>
            <w:lang w:val="en-US"/>
          </w:rPr>
          <w:tab/>
        </w:r>
        <w:r w:rsidR="00B11CCA">
          <w:rPr>
            <w:rStyle w:val="Hyperlink"/>
            <w:rFonts w:eastAsia="Calibri"/>
            <w:noProof/>
          </w:rPr>
          <w:t>Empirical Findings</w:t>
        </w:r>
        <w:r w:rsidR="00B11CCA">
          <w:rPr>
            <w:noProof/>
            <w:webHidden/>
          </w:rPr>
          <w:tab/>
        </w:r>
        <w:r w:rsidR="00B11CCA">
          <w:rPr>
            <w:noProof/>
            <w:webHidden/>
          </w:rPr>
          <w:fldChar w:fldCharType="begin"/>
        </w:r>
        <w:r w:rsidR="00B11CCA">
          <w:rPr>
            <w:noProof/>
            <w:webHidden/>
          </w:rPr>
          <w:instrText xml:space="preserve"> PAGEREF _Toc112342397 \h </w:instrText>
        </w:r>
        <w:r w:rsidR="00B11CCA">
          <w:rPr>
            <w:noProof/>
            <w:webHidden/>
          </w:rPr>
        </w:r>
        <w:r w:rsidR="00B11CCA">
          <w:rPr>
            <w:noProof/>
            <w:webHidden/>
          </w:rPr>
          <w:fldChar w:fldCharType="separate"/>
        </w:r>
        <w:r>
          <w:rPr>
            <w:noProof/>
            <w:webHidden/>
          </w:rPr>
          <w:t>82</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98" w:history="1">
        <w:r w:rsidR="00B11CCA">
          <w:rPr>
            <w:rStyle w:val="Hyperlink"/>
            <w:rFonts w:eastAsia="Calibri"/>
            <w:noProof/>
          </w:rPr>
          <w:t>5.4.</w:t>
        </w:r>
        <w:r w:rsidR="00B11CCA">
          <w:rPr>
            <w:rFonts w:ascii="Calibri" w:hAnsi="Calibri" w:cs="SimSun"/>
            <w:noProof/>
            <w:sz w:val="22"/>
            <w:szCs w:val="22"/>
            <w:lang w:val="en-US"/>
          </w:rPr>
          <w:tab/>
        </w:r>
        <w:r w:rsidR="00B11CCA">
          <w:rPr>
            <w:rStyle w:val="Hyperlink"/>
            <w:rFonts w:eastAsia="Calibri"/>
            <w:noProof/>
          </w:rPr>
          <w:t>Conclusion</w:t>
        </w:r>
        <w:r w:rsidR="00B11CCA">
          <w:rPr>
            <w:noProof/>
            <w:webHidden/>
          </w:rPr>
          <w:tab/>
        </w:r>
        <w:r w:rsidR="00B11CCA">
          <w:rPr>
            <w:noProof/>
            <w:webHidden/>
          </w:rPr>
          <w:fldChar w:fldCharType="begin"/>
        </w:r>
        <w:r w:rsidR="00B11CCA">
          <w:rPr>
            <w:noProof/>
            <w:webHidden/>
          </w:rPr>
          <w:instrText xml:space="preserve"> PAGEREF _Toc112342398 \h </w:instrText>
        </w:r>
        <w:r w:rsidR="00B11CCA">
          <w:rPr>
            <w:noProof/>
            <w:webHidden/>
          </w:rPr>
        </w:r>
        <w:r w:rsidR="00B11CCA">
          <w:rPr>
            <w:noProof/>
            <w:webHidden/>
          </w:rPr>
          <w:fldChar w:fldCharType="separate"/>
        </w:r>
        <w:r>
          <w:rPr>
            <w:noProof/>
            <w:webHidden/>
          </w:rPr>
          <w:t>84</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399" w:history="1">
        <w:r w:rsidR="00B11CCA">
          <w:rPr>
            <w:rStyle w:val="Hyperlink"/>
            <w:rFonts w:eastAsia="Calibri"/>
            <w:noProof/>
          </w:rPr>
          <w:t>5.5.</w:t>
        </w:r>
        <w:r w:rsidR="00B11CCA">
          <w:rPr>
            <w:rFonts w:ascii="Calibri" w:hAnsi="Calibri" w:cs="SimSun"/>
            <w:noProof/>
            <w:sz w:val="22"/>
            <w:szCs w:val="22"/>
            <w:lang w:val="en-US"/>
          </w:rPr>
          <w:tab/>
        </w:r>
        <w:r w:rsidR="00B11CCA">
          <w:rPr>
            <w:rStyle w:val="Hyperlink"/>
            <w:rFonts w:eastAsia="Calibri"/>
            <w:noProof/>
          </w:rPr>
          <w:t>Recommendations</w:t>
        </w:r>
        <w:r w:rsidR="00B11CCA">
          <w:rPr>
            <w:noProof/>
            <w:webHidden/>
          </w:rPr>
          <w:tab/>
        </w:r>
        <w:r w:rsidR="00B11CCA">
          <w:rPr>
            <w:noProof/>
            <w:webHidden/>
          </w:rPr>
          <w:fldChar w:fldCharType="begin"/>
        </w:r>
        <w:r w:rsidR="00B11CCA">
          <w:rPr>
            <w:noProof/>
            <w:webHidden/>
          </w:rPr>
          <w:instrText xml:space="preserve"> PAGEREF _Toc112342399 \h </w:instrText>
        </w:r>
        <w:r w:rsidR="00B11CCA">
          <w:rPr>
            <w:noProof/>
            <w:webHidden/>
          </w:rPr>
        </w:r>
        <w:r w:rsidR="00B11CCA">
          <w:rPr>
            <w:noProof/>
            <w:webHidden/>
          </w:rPr>
          <w:fldChar w:fldCharType="separate"/>
        </w:r>
        <w:r>
          <w:rPr>
            <w:noProof/>
            <w:webHidden/>
          </w:rPr>
          <w:t>84</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400" w:history="1">
        <w:r w:rsidR="00B11CCA">
          <w:rPr>
            <w:rStyle w:val="Hyperlink"/>
            <w:rFonts w:eastAsia="Calibri"/>
            <w:noProof/>
          </w:rPr>
          <w:t>5.6.</w:t>
        </w:r>
        <w:r w:rsidR="00B11CCA">
          <w:rPr>
            <w:rFonts w:ascii="Calibri" w:hAnsi="Calibri" w:cs="SimSun"/>
            <w:noProof/>
            <w:sz w:val="22"/>
            <w:szCs w:val="22"/>
            <w:lang w:val="en-US"/>
          </w:rPr>
          <w:tab/>
        </w:r>
        <w:r w:rsidR="00B11CCA">
          <w:rPr>
            <w:rStyle w:val="Hyperlink"/>
            <w:rFonts w:eastAsia="Calibri"/>
            <w:noProof/>
          </w:rPr>
          <w:t>Contributions to Knowledge</w:t>
        </w:r>
        <w:r w:rsidR="00B11CCA">
          <w:rPr>
            <w:noProof/>
            <w:webHidden/>
          </w:rPr>
          <w:tab/>
        </w:r>
        <w:r w:rsidR="00B11CCA">
          <w:rPr>
            <w:noProof/>
            <w:webHidden/>
          </w:rPr>
          <w:fldChar w:fldCharType="begin"/>
        </w:r>
        <w:r w:rsidR="00B11CCA">
          <w:rPr>
            <w:noProof/>
            <w:webHidden/>
          </w:rPr>
          <w:instrText xml:space="preserve"> PAGEREF _Toc112342400 \h </w:instrText>
        </w:r>
        <w:r w:rsidR="00B11CCA">
          <w:rPr>
            <w:noProof/>
            <w:webHidden/>
          </w:rPr>
        </w:r>
        <w:r w:rsidR="00B11CCA">
          <w:rPr>
            <w:noProof/>
            <w:webHidden/>
          </w:rPr>
          <w:fldChar w:fldCharType="separate"/>
        </w:r>
        <w:r>
          <w:rPr>
            <w:noProof/>
            <w:webHidden/>
          </w:rPr>
          <w:t>85</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401" w:history="1">
        <w:r w:rsidR="00B11CCA">
          <w:rPr>
            <w:rStyle w:val="Hyperlink"/>
            <w:rFonts w:eastAsia="Calibri"/>
            <w:noProof/>
          </w:rPr>
          <w:t>5.7.</w:t>
        </w:r>
        <w:r w:rsidR="00B11CCA">
          <w:rPr>
            <w:rFonts w:ascii="Calibri" w:hAnsi="Calibri" w:cs="SimSun"/>
            <w:noProof/>
            <w:sz w:val="22"/>
            <w:szCs w:val="22"/>
            <w:lang w:val="en-US"/>
          </w:rPr>
          <w:tab/>
        </w:r>
        <w:r w:rsidR="00B11CCA">
          <w:rPr>
            <w:rStyle w:val="Hyperlink"/>
            <w:rFonts w:eastAsia="Calibri"/>
            <w:noProof/>
          </w:rPr>
          <w:t>Limitations of the Study</w:t>
        </w:r>
        <w:r w:rsidR="00B11CCA">
          <w:rPr>
            <w:noProof/>
            <w:webHidden/>
          </w:rPr>
          <w:tab/>
        </w:r>
        <w:r w:rsidR="00B11CCA">
          <w:rPr>
            <w:noProof/>
            <w:webHidden/>
          </w:rPr>
          <w:fldChar w:fldCharType="begin"/>
        </w:r>
        <w:r w:rsidR="00B11CCA">
          <w:rPr>
            <w:noProof/>
            <w:webHidden/>
          </w:rPr>
          <w:instrText xml:space="preserve"> PAGEREF _Toc112342401 \h </w:instrText>
        </w:r>
        <w:r w:rsidR="00B11CCA">
          <w:rPr>
            <w:noProof/>
            <w:webHidden/>
          </w:rPr>
        </w:r>
        <w:r w:rsidR="00B11CCA">
          <w:rPr>
            <w:noProof/>
            <w:webHidden/>
          </w:rPr>
          <w:fldChar w:fldCharType="separate"/>
        </w:r>
        <w:r>
          <w:rPr>
            <w:noProof/>
            <w:webHidden/>
          </w:rPr>
          <w:t>86</w:t>
        </w:r>
        <w:r w:rsidR="00B11CCA">
          <w:rPr>
            <w:noProof/>
            <w:webHidden/>
          </w:rPr>
          <w:fldChar w:fldCharType="end"/>
        </w:r>
      </w:hyperlink>
    </w:p>
    <w:p w:rsidR="00FA1AC4" w:rsidRDefault="00F54823">
      <w:pPr>
        <w:pStyle w:val="TOC2"/>
        <w:tabs>
          <w:tab w:val="left" w:pos="880"/>
          <w:tab w:val="right" w:leader="dot" w:pos="8630"/>
        </w:tabs>
        <w:rPr>
          <w:rFonts w:ascii="Calibri" w:hAnsi="Calibri" w:cs="SimSun"/>
          <w:noProof/>
          <w:sz w:val="22"/>
          <w:szCs w:val="22"/>
          <w:lang w:val="en-US"/>
        </w:rPr>
      </w:pPr>
      <w:hyperlink w:anchor="_Toc112342402" w:history="1">
        <w:r w:rsidR="00B11CCA">
          <w:rPr>
            <w:rStyle w:val="Hyperlink"/>
            <w:rFonts w:eastAsia="Calibri"/>
            <w:noProof/>
          </w:rPr>
          <w:t>5.8.</w:t>
        </w:r>
        <w:r w:rsidR="00B11CCA">
          <w:rPr>
            <w:rFonts w:ascii="Calibri" w:hAnsi="Calibri" w:cs="SimSun"/>
            <w:noProof/>
            <w:sz w:val="22"/>
            <w:szCs w:val="22"/>
            <w:lang w:val="en-US"/>
          </w:rPr>
          <w:tab/>
        </w:r>
        <w:r w:rsidR="00B11CCA">
          <w:rPr>
            <w:rStyle w:val="Hyperlink"/>
            <w:rFonts w:eastAsia="Calibri"/>
            <w:noProof/>
          </w:rPr>
          <w:t>Suggestions for Future Study</w:t>
        </w:r>
        <w:r w:rsidR="00B11CCA">
          <w:rPr>
            <w:noProof/>
            <w:webHidden/>
          </w:rPr>
          <w:tab/>
        </w:r>
        <w:r w:rsidR="00B11CCA">
          <w:rPr>
            <w:noProof/>
            <w:webHidden/>
          </w:rPr>
          <w:fldChar w:fldCharType="begin"/>
        </w:r>
        <w:r w:rsidR="00B11CCA">
          <w:rPr>
            <w:noProof/>
            <w:webHidden/>
          </w:rPr>
          <w:instrText xml:space="preserve"> PAGEREF _Toc112342402 \h </w:instrText>
        </w:r>
        <w:r w:rsidR="00B11CCA">
          <w:rPr>
            <w:noProof/>
            <w:webHidden/>
          </w:rPr>
        </w:r>
        <w:r w:rsidR="00B11CCA">
          <w:rPr>
            <w:noProof/>
            <w:webHidden/>
          </w:rPr>
          <w:fldChar w:fldCharType="separate"/>
        </w:r>
        <w:r>
          <w:rPr>
            <w:noProof/>
            <w:webHidden/>
          </w:rPr>
          <w:t>86</w:t>
        </w:r>
        <w:r w:rsidR="00B11CCA">
          <w:rPr>
            <w:noProof/>
            <w:webHidden/>
          </w:rPr>
          <w:fldChar w:fldCharType="end"/>
        </w:r>
      </w:hyperlink>
    </w:p>
    <w:p w:rsidR="00FA1AC4" w:rsidRDefault="00F54823">
      <w:pPr>
        <w:pStyle w:val="TOC1"/>
        <w:rPr>
          <w:rFonts w:ascii="Calibri" w:eastAsia="SimSun" w:hAnsi="Calibri" w:cs="SimSun"/>
          <w:sz w:val="22"/>
          <w:szCs w:val="22"/>
          <w:lang w:val="en-US"/>
        </w:rPr>
      </w:pPr>
      <w:hyperlink w:anchor="_Toc112342403" w:history="1">
        <w:r w:rsidR="00B11CCA">
          <w:rPr>
            <w:rStyle w:val="Hyperlink"/>
            <w:rFonts w:eastAsia="AdvGulliv-R"/>
          </w:rPr>
          <w:t>REFERENCES</w:t>
        </w:r>
        <w:r w:rsidR="00B11CCA">
          <w:rPr>
            <w:webHidden/>
          </w:rPr>
          <w:tab/>
        </w:r>
        <w:r w:rsidR="00B11CCA">
          <w:rPr>
            <w:webHidden/>
          </w:rPr>
          <w:fldChar w:fldCharType="begin"/>
        </w:r>
        <w:r w:rsidR="00B11CCA">
          <w:rPr>
            <w:webHidden/>
          </w:rPr>
          <w:instrText xml:space="preserve"> PAGEREF _Toc112342403 \h </w:instrText>
        </w:r>
        <w:r w:rsidR="00B11CCA">
          <w:rPr>
            <w:webHidden/>
          </w:rPr>
        </w:r>
        <w:r w:rsidR="00B11CCA">
          <w:rPr>
            <w:webHidden/>
          </w:rPr>
          <w:fldChar w:fldCharType="separate"/>
        </w:r>
        <w:r>
          <w:rPr>
            <w:webHidden/>
          </w:rPr>
          <w:t>88</w:t>
        </w:r>
        <w:r w:rsidR="00B11CCA">
          <w:rPr>
            <w:webHidden/>
          </w:rPr>
          <w:fldChar w:fldCharType="end"/>
        </w:r>
      </w:hyperlink>
    </w:p>
    <w:p w:rsidR="00FA1AC4" w:rsidRDefault="00B11CCA">
      <w:r>
        <w:rPr>
          <w:b/>
          <w:bCs/>
          <w:noProof/>
        </w:rPr>
        <w:fldChar w:fldCharType="end"/>
      </w:r>
    </w:p>
    <w:p w:rsidR="00FA1AC4" w:rsidRDefault="00FA1AC4">
      <w:pPr>
        <w:spacing w:after="160" w:line="259" w:lineRule="auto"/>
      </w:pPr>
    </w:p>
    <w:p w:rsidR="00FA1AC4" w:rsidRDefault="00B11CCA">
      <w:pPr>
        <w:spacing w:after="160" w:line="259" w:lineRule="auto"/>
        <w:jc w:val="left"/>
        <w:rPr>
          <w:rFonts w:cs="SimSun"/>
          <w:b/>
          <w:sz w:val="32"/>
          <w:szCs w:val="32"/>
        </w:rPr>
      </w:pPr>
      <w:bookmarkStart w:id="7" w:name="_Toc112342330"/>
      <w:r>
        <w:br w:type="page"/>
      </w:r>
    </w:p>
    <w:p w:rsidR="00FA1AC4" w:rsidRDefault="00B11CCA">
      <w:pPr>
        <w:pStyle w:val="Heading1"/>
        <w:spacing w:before="0" w:line="360" w:lineRule="auto"/>
      </w:pPr>
      <w:r>
        <w:lastRenderedPageBreak/>
        <w:t>LIST OF TABLES</w:t>
      </w:r>
      <w:bookmarkEnd w:id="7"/>
    </w:p>
    <w:p w:rsidR="00FA1AC4" w:rsidRDefault="00B11CCA">
      <w:pPr>
        <w:autoSpaceDE w:val="0"/>
        <w:autoSpaceDN w:val="0"/>
        <w:adjustRightInd w:val="0"/>
        <w:spacing w:line="360" w:lineRule="auto"/>
        <w:rPr>
          <w:bCs/>
          <w:iCs/>
        </w:rPr>
      </w:pPr>
      <w:r>
        <w:rPr>
          <w:bCs/>
          <w:iCs/>
        </w:rPr>
        <w:t>Table 2.1: Biggest Threats to the Internal Control Structure…………………….………17</w:t>
      </w:r>
    </w:p>
    <w:p w:rsidR="00FA1AC4" w:rsidRDefault="00B11CCA">
      <w:pPr>
        <w:rPr>
          <w:rFonts w:eastAsia="Calibri"/>
          <w:shd w:val="clear" w:color="auto" w:fill="FFFFFF"/>
        </w:rPr>
      </w:pPr>
      <w:r>
        <w:rPr>
          <w:rFonts w:eastAsia="Calibri"/>
          <w:shd w:val="clear" w:color="auto" w:fill="FFFFFF"/>
        </w:rPr>
        <w:t>Table 3.1: Measurement of Variables……………………………………………………45</w:t>
      </w:r>
    </w:p>
    <w:p w:rsidR="00FA1AC4" w:rsidRDefault="00B11CCA">
      <w:pPr>
        <w:autoSpaceDE w:val="0"/>
        <w:autoSpaceDN w:val="0"/>
        <w:adjustRightInd w:val="0"/>
        <w:rPr>
          <w:rFonts w:eastAsia="Calibri"/>
        </w:rPr>
      </w:pPr>
      <w:r>
        <w:rPr>
          <w:rFonts w:eastAsia="Calibri"/>
        </w:rPr>
        <w:t>Table 3.2: Reliability Test……………………………………………………………..…46</w:t>
      </w:r>
    </w:p>
    <w:p w:rsidR="00FA1AC4" w:rsidRDefault="00B11CCA">
      <w:pPr>
        <w:autoSpaceDE w:val="0"/>
        <w:autoSpaceDN w:val="0"/>
        <w:adjustRightInd w:val="0"/>
        <w:rPr>
          <w:rFonts w:eastAsia="Calibri"/>
          <w:iCs/>
        </w:rPr>
      </w:pPr>
      <w:r>
        <w:rPr>
          <w:rFonts w:eastAsia="Calibri"/>
          <w:iCs/>
        </w:rPr>
        <w:t>Table 4.1: Descriptive Analysis………………………………………………………….53</w:t>
      </w:r>
    </w:p>
    <w:p w:rsidR="00FA1AC4" w:rsidRDefault="00B11CCA">
      <w:pPr>
        <w:autoSpaceDE w:val="0"/>
        <w:autoSpaceDN w:val="0"/>
        <w:adjustRightInd w:val="0"/>
        <w:rPr>
          <w:rFonts w:eastAsia="Calibri"/>
        </w:rPr>
      </w:pPr>
      <w:r>
        <w:rPr>
          <w:rFonts w:eastAsia="Calibri"/>
        </w:rPr>
        <w:t>Table 4.2: Colinearity Test………………………………………………………………56</w:t>
      </w:r>
    </w:p>
    <w:p w:rsidR="00FA1AC4" w:rsidRDefault="00B11CCA">
      <w:pPr>
        <w:autoSpaceDE w:val="0"/>
        <w:autoSpaceDN w:val="0"/>
        <w:adjustRightInd w:val="0"/>
        <w:rPr>
          <w:rFonts w:eastAsia="Calibri"/>
          <w:b/>
          <w:bCs/>
        </w:rPr>
      </w:pPr>
      <w:r>
        <w:rPr>
          <w:rFonts w:eastAsia="Calibri"/>
          <w:iCs/>
        </w:rPr>
        <w:t xml:space="preserve">Table 4.3: Coded Survey </w:t>
      </w:r>
      <w:r>
        <w:rPr>
          <w:rFonts w:eastAsia="Calibri"/>
          <w:bCs/>
        </w:rPr>
        <w:t>Questionnaire Statement</w:t>
      </w:r>
      <w:proofErr w:type="gramStart"/>
      <w:r>
        <w:rPr>
          <w:rFonts w:eastAsia="Calibri"/>
          <w:bCs/>
        </w:rPr>
        <w:t>……………………………..….…....</w:t>
      </w:r>
      <w:proofErr w:type="gramEnd"/>
      <w:r>
        <w:rPr>
          <w:rFonts w:eastAsia="Calibri"/>
          <w:bCs/>
        </w:rPr>
        <w:t>58</w:t>
      </w:r>
    </w:p>
    <w:p w:rsidR="00FA1AC4" w:rsidRDefault="00B11CCA">
      <w:pPr>
        <w:autoSpaceDE w:val="0"/>
        <w:autoSpaceDN w:val="0"/>
        <w:adjustRightInd w:val="0"/>
        <w:rPr>
          <w:rFonts w:eastAsia="Calibri"/>
          <w:bCs/>
        </w:rPr>
      </w:pPr>
      <w:r>
        <w:rPr>
          <w:rFonts w:eastAsia="Calibri"/>
          <w:iCs/>
        </w:rPr>
        <w:t xml:space="preserve">Table 4.4: </w:t>
      </w:r>
      <w:r>
        <w:rPr>
          <w:rFonts w:eastAsia="Calibri"/>
          <w:bCs/>
        </w:rPr>
        <w:t>Analysis of Survey Questionnaire Statement</w:t>
      </w:r>
      <w:proofErr w:type="gramStart"/>
      <w:r>
        <w:rPr>
          <w:rFonts w:eastAsia="Calibri"/>
          <w:bCs/>
        </w:rPr>
        <w:t>………………………..….…...</w:t>
      </w:r>
      <w:proofErr w:type="gramEnd"/>
      <w:r>
        <w:rPr>
          <w:rFonts w:eastAsia="Calibri"/>
          <w:bCs/>
        </w:rPr>
        <w:t>59</w:t>
      </w:r>
    </w:p>
    <w:p w:rsidR="00FA1AC4" w:rsidRDefault="00B11CCA">
      <w:pPr>
        <w:autoSpaceDE w:val="0"/>
        <w:autoSpaceDN w:val="0"/>
        <w:adjustRightInd w:val="0"/>
        <w:rPr>
          <w:rFonts w:eastAsia="Calibri"/>
        </w:rPr>
      </w:pPr>
      <w:r>
        <w:rPr>
          <w:rFonts w:eastAsia="Calibri"/>
        </w:rPr>
        <w:t>Table 4.5: Respondents’ Responses to Likert Item 1…………………………………....61</w:t>
      </w:r>
    </w:p>
    <w:p w:rsidR="00FA1AC4" w:rsidRDefault="00B11CCA">
      <w:pPr>
        <w:autoSpaceDE w:val="0"/>
        <w:autoSpaceDN w:val="0"/>
        <w:adjustRightInd w:val="0"/>
        <w:rPr>
          <w:rFonts w:eastAsia="Calibri"/>
        </w:rPr>
      </w:pPr>
      <w:r>
        <w:rPr>
          <w:rFonts w:eastAsia="Calibri"/>
        </w:rPr>
        <w:t>Table 4.6: Respondents’ Responses to Likert Item 2</w:t>
      </w:r>
      <w:proofErr w:type="gramStart"/>
      <w:r>
        <w:rPr>
          <w:rFonts w:eastAsia="Calibri"/>
        </w:rPr>
        <w:t>……………………………..…..…</w:t>
      </w:r>
      <w:proofErr w:type="gramEnd"/>
      <w:r>
        <w:rPr>
          <w:rFonts w:eastAsia="Calibri"/>
        </w:rPr>
        <w:t>62</w:t>
      </w:r>
    </w:p>
    <w:p w:rsidR="00FA1AC4" w:rsidRDefault="00B11CCA">
      <w:pPr>
        <w:autoSpaceDE w:val="0"/>
        <w:autoSpaceDN w:val="0"/>
        <w:adjustRightInd w:val="0"/>
        <w:rPr>
          <w:rFonts w:eastAsia="Calibri"/>
        </w:rPr>
      </w:pPr>
      <w:r>
        <w:rPr>
          <w:rFonts w:eastAsia="Calibri"/>
        </w:rPr>
        <w:t>Table 4.7: Respondents’ Responses to Likert Item 3……………………………………63</w:t>
      </w:r>
    </w:p>
    <w:p w:rsidR="00FA1AC4" w:rsidRDefault="00B11CCA">
      <w:pPr>
        <w:autoSpaceDE w:val="0"/>
        <w:autoSpaceDN w:val="0"/>
        <w:adjustRightInd w:val="0"/>
        <w:rPr>
          <w:rFonts w:eastAsia="Calibri"/>
        </w:rPr>
      </w:pPr>
      <w:r>
        <w:rPr>
          <w:rFonts w:eastAsia="Calibri"/>
        </w:rPr>
        <w:t>Table 4.8: Respondents Responses to Likert Item 4………………………………….….64</w:t>
      </w:r>
    </w:p>
    <w:p w:rsidR="00FA1AC4" w:rsidRDefault="00B11CCA">
      <w:pPr>
        <w:autoSpaceDE w:val="0"/>
        <w:autoSpaceDN w:val="0"/>
        <w:adjustRightInd w:val="0"/>
        <w:rPr>
          <w:rFonts w:eastAsia="Calibri"/>
        </w:rPr>
      </w:pPr>
      <w:r>
        <w:rPr>
          <w:rFonts w:eastAsia="Calibri"/>
        </w:rPr>
        <w:t>Table 4.9: Respondents’ Responses to Likert Item 5……………………………………65</w:t>
      </w:r>
    </w:p>
    <w:p w:rsidR="00FA1AC4" w:rsidRDefault="00B11CCA">
      <w:pPr>
        <w:autoSpaceDE w:val="0"/>
        <w:autoSpaceDN w:val="0"/>
        <w:adjustRightInd w:val="0"/>
        <w:rPr>
          <w:rFonts w:eastAsia="Calibri"/>
        </w:rPr>
      </w:pPr>
      <w:r>
        <w:rPr>
          <w:rFonts w:eastAsia="Calibri"/>
        </w:rPr>
        <w:t>Table 4.10: Respondents’ Responses to Likert Item 6 ………………………………….66</w:t>
      </w:r>
    </w:p>
    <w:p w:rsidR="00FA1AC4" w:rsidRDefault="00B11CCA">
      <w:pPr>
        <w:autoSpaceDE w:val="0"/>
        <w:autoSpaceDN w:val="0"/>
        <w:adjustRightInd w:val="0"/>
        <w:rPr>
          <w:rFonts w:eastAsia="Calibri"/>
        </w:rPr>
      </w:pPr>
      <w:r>
        <w:rPr>
          <w:rFonts w:eastAsia="Calibri"/>
        </w:rPr>
        <w:t>Table 4.11: Respondents’ Responses to Likert Item 7………………………….…….…67</w:t>
      </w:r>
    </w:p>
    <w:p w:rsidR="00FA1AC4" w:rsidRDefault="00B11CCA">
      <w:pPr>
        <w:autoSpaceDE w:val="0"/>
        <w:autoSpaceDN w:val="0"/>
        <w:adjustRightInd w:val="0"/>
        <w:rPr>
          <w:rFonts w:eastAsia="Calibri"/>
        </w:rPr>
      </w:pPr>
      <w:r>
        <w:rPr>
          <w:rFonts w:eastAsia="Calibri"/>
        </w:rPr>
        <w:t>Table 4.12: Respondents Responses to Likert Item 8……………………………………69</w:t>
      </w:r>
    </w:p>
    <w:p w:rsidR="00FA1AC4" w:rsidRDefault="00B11CCA">
      <w:pPr>
        <w:autoSpaceDE w:val="0"/>
        <w:autoSpaceDN w:val="0"/>
        <w:adjustRightInd w:val="0"/>
        <w:rPr>
          <w:rFonts w:eastAsia="Calibri"/>
        </w:rPr>
      </w:pPr>
      <w:r>
        <w:rPr>
          <w:rFonts w:eastAsia="Calibri"/>
        </w:rPr>
        <w:t>Table 4.13: Respondents’ Responses to Likert Item 9…………………………….…….70</w:t>
      </w:r>
    </w:p>
    <w:p w:rsidR="00FA1AC4" w:rsidRDefault="00B11CCA">
      <w:pPr>
        <w:autoSpaceDE w:val="0"/>
        <w:autoSpaceDN w:val="0"/>
        <w:adjustRightInd w:val="0"/>
        <w:rPr>
          <w:rFonts w:eastAsia="Calibri"/>
        </w:rPr>
      </w:pPr>
      <w:r>
        <w:rPr>
          <w:rFonts w:eastAsia="Calibri"/>
        </w:rPr>
        <w:t>Table 4.14: Respondents’ Responses to Likert Item 10…………………………………71</w:t>
      </w:r>
    </w:p>
    <w:p w:rsidR="00FA1AC4" w:rsidRDefault="00B11CCA">
      <w:pPr>
        <w:autoSpaceDE w:val="0"/>
        <w:autoSpaceDN w:val="0"/>
        <w:adjustRightInd w:val="0"/>
        <w:rPr>
          <w:rFonts w:eastAsia="Calibri"/>
        </w:rPr>
      </w:pPr>
      <w:r>
        <w:rPr>
          <w:rFonts w:eastAsia="Calibri"/>
        </w:rPr>
        <w:t>Table 4.15: Respondents’ Responses to Likert Item 11…………………………………72</w:t>
      </w:r>
    </w:p>
    <w:p w:rsidR="00FA1AC4" w:rsidRDefault="00B11CCA">
      <w:pPr>
        <w:autoSpaceDE w:val="0"/>
        <w:autoSpaceDN w:val="0"/>
        <w:adjustRightInd w:val="0"/>
        <w:rPr>
          <w:rFonts w:eastAsia="Calibri"/>
        </w:rPr>
      </w:pPr>
      <w:r>
        <w:rPr>
          <w:rFonts w:eastAsia="Calibri"/>
        </w:rPr>
        <w:t>Table 4.16: Respondents’ Responses to Likert Item 12…………………………………73</w:t>
      </w:r>
    </w:p>
    <w:p w:rsidR="00FA1AC4" w:rsidRDefault="00B11CCA">
      <w:pPr>
        <w:autoSpaceDE w:val="0"/>
        <w:autoSpaceDN w:val="0"/>
        <w:adjustRightInd w:val="0"/>
        <w:rPr>
          <w:rFonts w:eastAsia="Calibri"/>
        </w:rPr>
      </w:pPr>
      <w:r>
        <w:rPr>
          <w:rFonts w:eastAsia="Calibri"/>
          <w:iCs/>
        </w:rPr>
        <w:t>Table 4.17: Model Summary I……………………………………..………………….…74</w:t>
      </w:r>
    </w:p>
    <w:p w:rsidR="00FA1AC4" w:rsidRDefault="00B11CCA">
      <w:pPr>
        <w:autoSpaceDE w:val="0"/>
        <w:autoSpaceDN w:val="0"/>
        <w:adjustRightInd w:val="0"/>
        <w:rPr>
          <w:rFonts w:eastAsia="Calibri"/>
          <w:iCs/>
        </w:rPr>
      </w:pPr>
      <w:r>
        <w:rPr>
          <w:rFonts w:eastAsia="Calibri"/>
          <w:iCs/>
        </w:rPr>
        <w:t>Table 4.18 Model Summary II ………………………………………………………..…75</w:t>
      </w:r>
    </w:p>
    <w:p w:rsidR="00FA1AC4" w:rsidRDefault="00B11CCA">
      <w:pPr>
        <w:autoSpaceDE w:val="0"/>
        <w:autoSpaceDN w:val="0"/>
        <w:adjustRightInd w:val="0"/>
        <w:rPr>
          <w:rFonts w:eastAsia="Calibri"/>
          <w:iCs/>
        </w:rPr>
      </w:pPr>
      <w:r>
        <w:rPr>
          <w:rFonts w:eastAsia="Calibri"/>
          <w:iCs/>
        </w:rPr>
        <w:t>Table 4.19 Hypothesis Testing and Decisions………………………………….………..79</w:t>
      </w:r>
    </w:p>
    <w:p w:rsidR="00FA1AC4" w:rsidRDefault="00B11CCA">
      <w:pPr>
        <w:pStyle w:val="Heading1"/>
        <w:spacing w:before="0" w:line="480" w:lineRule="auto"/>
      </w:pPr>
      <w:bookmarkStart w:id="8" w:name="_Toc112342331"/>
      <w:r>
        <w:lastRenderedPageBreak/>
        <w:t>LIST OF FIGURES</w:t>
      </w:r>
      <w:bookmarkEnd w:id="8"/>
    </w:p>
    <w:p w:rsidR="00FA1AC4" w:rsidRDefault="00B11CCA">
      <w:pPr>
        <w:rPr>
          <w:bCs/>
        </w:rPr>
      </w:pPr>
      <w:r>
        <w:rPr>
          <w:bCs/>
        </w:rPr>
        <w:t>Figure 2.1: Conceptual Framework……………………………………………………...11</w:t>
      </w:r>
    </w:p>
    <w:p w:rsidR="00FA1AC4" w:rsidRDefault="00B11CCA">
      <w:pPr>
        <w:autoSpaceDE w:val="0"/>
        <w:autoSpaceDN w:val="0"/>
        <w:adjustRightInd w:val="0"/>
        <w:rPr>
          <w:rFonts w:eastAsia="Calibri"/>
        </w:rPr>
      </w:pPr>
      <w:r>
        <w:rPr>
          <w:rFonts w:eastAsia="Calibri"/>
        </w:rPr>
        <w:t>Figure 4.1: Histogram Illustrating Effective Financial Reporting……………………….54</w:t>
      </w:r>
    </w:p>
    <w:p w:rsidR="00FA1AC4" w:rsidRDefault="00B11CCA">
      <w:pPr>
        <w:rPr>
          <w:color w:val="000000"/>
        </w:rPr>
      </w:pPr>
      <w:r>
        <w:rPr>
          <w:color w:val="000000"/>
        </w:rPr>
        <w:t>Figure 4.2:  Test for Outliers………………………………………………………….….55</w:t>
      </w:r>
    </w:p>
    <w:p w:rsidR="00FA1AC4" w:rsidRDefault="00B11CCA">
      <w:pPr>
        <w:autoSpaceDE w:val="0"/>
        <w:autoSpaceDN w:val="0"/>
        <w:adjustRightInd w:val="0"/>
        <w:rPr>
          <w:rFonts w:eastAsia="Calibri"/>
        </w:rPr>
      </w:pPr>
      <w:r>
        <w:rPr>
          <w:rFonts w:eastAsia="Calibri"/>
        </w:rPr>
        <w:t>Figure 4.3: Respondents’ Responses to Likert Item 1……………..……………………61</w:t>
      </w:r>
    </w:p>
    <w:p w:rsidR="00FA1AC4" w:rsidRDefault="00B11CCA">
      <w:pPr>
        <w:autoSpaceDE w:val="0"/>
        <w:autoSpaceDN w:val="0"/>
        <w:adjustRightInd w:val="0"/>
        <w:rPr>
          <w:rFonts w:eastAsia="Calibri"/>
        </w:rPr>
      </w:pPr>
      <w:r>
        <w:rPr>
          <w:rFonts w:eastAsia="Calibri"/>
        </w:rPr>
        <w:t>Figure 4.4: Respondents’ Responses to Likert Item 2………………..…………………62</w:t>
      </w:r>
    </w:p>
    <w:p w:rsidR="00FA1AC4" w:rsidRDefault="00B11CCA">
      <w:pPr>
        <w:autoSpaceDE w:val="0"/>
        <w:autoSpaceDN w:val="0"/>
        <w:adjustRightInd w:val="0"/>
        <w:rPr>
          <w:rFonts w:eastAsia="Calibri"/>
        </w:rPr>
      </w:pPr>
      <w:r>
        <w:rPr>
          <w:rFonts w:eastAsia="Calibri"/>
        </w:rPr>
        <w:t>Figure 4.5: Respondents’ Responses to Likert Item 3…………………..………………63</w:t>
      </w:r>
    </w:p>
    <w:p w:rsidR="00FA1AC4" w:rsidRDefault="00B11CCA">
      <w:pPr>
        <w:autoSpaceDE w:val="0"/>
        <w:autoSpaceDN w:val="0"/>
        <w:adjustRightInd w:val="0"/>
        <w:rPr>
          <w:rFonts w:eastAsia="Calibri"/>
        </w:rPr>
      </w:pPr>
      <w:r>
        <w:rPr>
          <w:rFonts w:eastAsia="Calibri"/>
        </w:rPr>
        <w:t>Figure 4.6: Respondents’ Responses to Likert Item 4……………………..……………64</w:t>
      </w:r>
    </w:p>
    <w:p w:rsidR="00FA1AC4" w:rsidRDefault="00B11CCA">
      <w:pPr>
        <w:autoSpaceDE w:val="0"/>
        <w:autoSpaceDN w:val="0"/>
        <w:adjustRightInd w:val="0"/>
        <w:rPr>
          <w:rFonts w:eastAsia="Calibri"/>
        </w:rPr>
      </w:pPr>
      <w:r>
        <w:rPr>
          <w:rFonts w:eastAsia="Calibri"/>
        </w:rPr>
        <w:t>Figure 4.7: Respondents’ Responses to Likert Item 5</w:t>
      </w:r>
      <w:proofErr w:type="gramStart"/>
      <w:r>
        <w:rPr>
          <w:rFonts w:eastAsia="Calibri"/>
        </w:rPr>
        <w:t>………………………...……...…</w:t>
      </w:r>
      <w:proofErr w:type="gramEnd"/>
      <w:r>
        <w:rPr>
          <w:rFonts w:eastAsia="Calibri"/>
        </w:rPr>
        <w:t>65</w:t>
      </w:r>
    </w:p>
    <w:p w:rsidR="00FA1AC4" w:rsidRDefault="00B11CCA">
      <w:pPr>
        <w:autoSpaceDE w:val="0"/>
        <w:autoSpaceDN w:val="0"/>
        <w:adjustRightInd w:val="0"/>
        <w:rPr>
          <w:rFonts w:eastAsia="Calibri"/>
        </w:rPr>
      </w:pPr>
      <w:r>
        <w:rPr>
          <w:rFonts w:eastAsia="Calibri"/>
        </w:rPr>
        <w:t>Figure 4.8: Respondents’ Responses to Likert Item 6</w:t>
      </w:r>
      <w:proofErr w:type="gramStart"/>
      <w:r>
        <w:rPr>
          <w:rFonts w:eastAsia="Calibri"/>
        </w:rPr>
        <w:t>…………………………..….......</w:t>
      </w:r>
      <w:proofErr w:type="gramEnd"/>
      <w:r>
        <w:rPr>
          <w:rFonts w:eastAsia="Calibri"/>
        </w:rPr>
        <w:t>66</w:t>
      </w:r>
    </w:p>
    <w:p w:rsidR="00FA1AC4" w:rsidRDefault="00B11CCA">
      <w:pPr>
        <w:autoSpaceDE w:val="0"/>
        <w:autoSpaceDN w:val="0"/>
        <w:adjustRightInd w:val="0"/>
        <w:rPr>
          <w:rFonts w:eastAsia="Calibri"/>
        </w:rPr>
      </w:pPr>
      <w:r>
        <w:rPr>
          <w:rFonts w:eastAsia="Calibri"/>
        </w:rPr>
        <w:t>Figure 4.9: Respondents’ Responses to Likert Item 7…………………………….……67</w:t>
      </w:r>
    </w:p>
    <w:p w:rsidR="00FA1AC4" w:rsidRDefault="00B11CCA">
      <w:pPr>
        <w:autoSpaceDE w:val="0"/>
        <w:autoSpaceDN w:val="0"/>
        <w:adjustRightInd w:val="0"/>
        <w:rPr>
          <w:rFonts w:eastAsia="Calibri"/>
        </w:rPr>
      </w:pPr>
      <w:r>
        <w:rPr>
          <w:rFonts w:eastAsia="Calibri"/>
        </w:rPr>
        <w:t>Figure 4.10: Respondents’ Responses to Likert Item 8…………………………..……69</w:t>
      </w:r>
    </w:p>
    <w:p w:rsidR="00FA1AC4" w:rsidRDefault="00B11CCA">
      <w:pPr>
        <w:autoSpaceDE w:val="0"/>
        <w:autoSpaceDN w:val="0"/>
        <w:adjustRightInd w:val="0"/>
        <w:rPr>
          <w:rFonts w:eastAsia="Calibri"/>
          <w:bCs/>
          <w:i/>
          <w:iCs/>
        </w:rPr>
      </w:pPr>
      <w:r>
        <w:rPr>
          <w:rFonts w:eastAsia="Calibri"/>
        </w:rPr>
        <w:t>Figure 4.11: Respondents’ Responses to Likert Item 9</w:t>
      </w:r>
      <w:r>
        <w:rPr>
          <w:rFonts w:eastAsia="Calibri"/>
          <w:bCs/>
          <w:iCs/>
        </w:rPr>
        <w:t>……………………………..…70</w:t>
      </w:r>
    </w:p>
    <w:p w:rsidR="00FA1AC4" w:rsidRDefault="00B11CCA">
      <w:pPr>
        <w:autoSpaceDE w:val="0"/>
        <w:autoSpaceDN w:val="0"/>
        <w:adjustRightInd w:val="0"/>
        <w:rPr>
          <w:rFonts w:eastAsia="Calibri"/>
        </w:rPr>
      </w:pPr>
      <w:r>
        <w:rPr>
          <w:rFonts w:eastAsia="Calibri"/>
        </w:rPr>
        <w:t>Figure 4.12: Respondents’ Responses to Likert Item 10………………………………71</w:t>
      </w:r>
    </w:p>
    <w:p w:rsidR="00FA1AC4" w:rsidRDefault="00B11CCA">
      <w:pPr>
        <w:autoSpaceDE w:val="0"/>
        <w:autoSpaceDN w:val="0"/>
        <w:adjustRightInd w:val="0"/>
        <w:rPr>
          <w:rFonts w:eastAsia="Calibri"/>
        </w:rPr>
      </w:pPr>
      <w:r>
        <w:rPr>
          <w:rFonts w:eastAsia="Calibri"/>
        </w:rPr>
        <w:t>Figure 4.13: Respondents’ Responses to Likert Item……………………………….…72</w:t>
      </w:r>
    </w:p>
    <w:p w:rsidR="00FA1AC4" w:rsidRDefault="00B11CCA">
      <w:pPr>
        <w:tabs>
          <w:tab w:val="left" w:pos="3261"/>
        </w:tabs>
        <w:autoSpaceDE w:val="0"/>
        <w:autoSpaceDN w:val="0"/>
        <w:adjustRightInd w:val="0"/>
        <w:rPr>
          <w:rFonts w:eastAsia="Calibri"/>
          <w:bCs/>
          <w:iCs/>
        </w:rPr>
      </w:pPr>
      <w:r>
        <w:rPr>
          <w:rFonts w:eastAsia="Calibri"/>
          <w:bCs/>
          <w:iCs/>
        </w:rPr>
        <w:t xml:space="preserve">Figure </w:t>
      </w:r>
      <w:r>
        <w:rPr>
          <w:rFonts w:eastAsia="Calibri"/>
        </w:rPr>
        <w:t>4.14: Respondents’ Responses to Likert Item 12………………………………73</w:t>
      </w:r>
    </w:p>
    <w:p w:rsidR="00FA1AC4" w:rsidRDefault="00FA1AC4"/>
    <w:p w:rsidR="00FA1AC4" w:rsidRDefault="00FA1AC4">
      <w:pPr>
        <w:spacing w:after="268"/>
        <w:ind w:right="21"/>
        <w:sectPr w:rsidR="00FA1AC4">
          <w:footerReference w:type="default" r:id="rId9"/>
          <w:pgSz w:w="12240" w:h="15840"/>
          <w:pgMar w:top="1440" w:right="1440" w:bottom="1440" w:left="2160" w:header="720" w:footer="720" w:gutter="0"/>
          <w:pgNumType w:fmt="lowerRoman" w:start="1"/>
          <w:cols w:space="720"/>
          <w:titlePg/>
          <w:docGrid w:linePitch="360"/>
        </w:sectPr>
      </w:pPr>
    </w:p>
    <w:p w:rsidR="00FA1AC4" w:rsidRDefault="00B11CCA">
      <w:pPr>
        <w:pStyle w:val="Heading1"/>
        <w:rPr>
          <w:rStyle w:val="15"/>
          <w:rFonts w:ascii="Times New Roman" w:hAnsi="Times New Roman" w:cs="SimSun"/>
        </w:rPr>
      </w:pPr>
      <w:bookmarkStart w:id="9" w:name="_Toc112342332"/>
      <w:r>
        <w:rPr>
          <w:rStyle w:val="15"/>
          <w:rFonts w:ascii="Times New Roman" w:hAnsi="Times New Roman" w:cs="SimSun"/>
        </w:rPr>
        <w:lastRenderedPageBreak/>
        <w:t>CHAPTER ONE</w:t>
      </w:r>
      <w:bookmarkEnd w:id="9"/>
    </w:p>
    <w:p w:rsidR="00FA1AC4" w:rsidRDefault="00B11CCA">
      <w:pPr>
        <w:pStyle w:val="Heading1"/>
        <w:rPr>
          <w:rStyle w:val="15"/>
          <w:rFonts w:ascii="Times New Roman" w:hAnsi="Times New Roman" w:cs="SimSun"/>
        </w:rPr>
      </w:pPr>
      <w:bookmarkStart w:id="10" w:name="_Toc112342333"/>
      <w:r>
        <w:rPr>
          <w:rStyle w:val="15"/>
          <w:rFonts w:ascii="Times New Roman" w:hAnsi="Times New Roman" w:cs="SimSun"/>
        </w:rPr>
        <w:t>INTRODUCTION</w:t>
      </w:r>
      <w:bookmarkEnd w:id="10"/>
    </w:p>
    <w:p w:rsidR="00FA1AC4" w:rsidRDefault="00FA1AC4">
      <w:pPr>
        <w:jc w:val="center"/>
        <w:rPr>
          <w:rFonts w:eastAsia="Calibri" w:cs="Calibri"/>
          <w:b/>
          <w:sz w:val="32"/>
          <w:szCs w:val="32"/>
        </w:rPr>
      </w:pPr>
    </w:p>
    <w:p w:rsidR="00FA1AC4" w:rsidRDefault="00B11CCA">
      <w:pPr>
        <w:pStyle w:val="Heading2"/>
        <w:ind w:left="426"/>
      </w:pPr>
      <w:r>
        <w:t xml:space="preserve"> </w:t>
      </w:r>
      <w:bookmarkStart w:id="11" w:name="_Toc112342334"/>
      <w:r>
        <w:t>Background to the Study</w:t>
      </w:r>
      <w:bookmarkEnd w:id="11"/>
      <w:r>
        <w:t xml:space="preserve"> </w:t>
      </w:r>
    </w:p>
    <w:p w:rsidR="00FA1AC4" w:rsidRDefault="00B11CCA">
      <w:pPr>
        <w:pStyle w:val="NoSpacing"/>
        <w:spacing w:line="480" w:lineRule="auto"/>
        <w:jc w:val="both"/>
        <w:rPr>
          <w:rFonts w:ascii="Times New Roman" w:hAnsi="Times New Roman"/>
          <w:color w:val="000000"/>
        </w:rPr>
      </w:pPr>
      <w:r>
        <w:rPr>
          <w:rFonts w:ascii="Times New Roman" w:hAnsi="Times New Roman"/>
          <w:color w:val="000000"/>
        </w:rPr>
        <w:t xml:space="preserve">Following many prominent corporate scandals caused by weak corporate governance in the 1980s the Committee of Sponsoring Organizations of the Treadway Commission (COSO) was formed with the goal of clarifying internal control and the criteria for setting up an internal control system's effectiveness. They looked at the elements that can contribute to the detection of false financial reporting and produced recommendations for public firms, independent auditors, educational institutions, the Securities and Exchange Commission (SEC), and other regulators </w:t>
      </w:r>
      <w:r>
        <w:rPr>
          <w:rFonts w:ascii="Times New Roman" w:hAnsi="Times New Roman"/>
        </w:rPr>
        <w:t xml:space="preserve">(COSO, 1985). </w:t>
      </w:r>
      <w:r>
        <w:rPr>
          <w:rFonts w:ascii="Times New Roman" w:hAnsi="Times New Roman"/>
          <w:color w:val="000000"/>
        </w:rPr>
        <w:t xml:space="preserve">These elements are control environment, risks assessment, control activities, information and communication, and monitoring </w:t>
      </w:r>
      <w:r>
        <w:rPr>
          <w:rFonts w:ascii="Times New Roman" w:hAnsi="Times New Roman"/>
          <w:color w:val="000000"/>
        </w:rPr>
        <w:fldChar w:fldCharType="begin"/>
      </w:r>
      <w:r>
        <w:rPr>
          <w:rFonts w:ascii="Times New Roman" w:hAnsi="Times New Roman"/>
          <w:color w:val="000000"/>
        </w:rPr>
        <w:instrText>ADDIN CSL_CITATION {"citationItems":[{"id":"ITEM-1","itemData":{"DOI":"10.5373/JARDCS/V12SP4/20201567","ISSN":"1943023X","abstract":"This paper primarily examines how internal control affects the financial performance of the six banking sectors in Iraq. The inductive approach used in this paper entails the surveying, studying, comparing and summarizing of all papers published in prominent journals in the past seven years. This paper found that internal control is weak in Iraq compared to developing countries in the analyzed studies. It also found that internal control is more positively correlated to financial performance 94.28 % than negatively linked to it 5.72 %. After defining the studies through a systematic review, the researchers concluded that most studies on the two variables i.e. internal control and financial performance had indicated a significant and positive relationship between both. In addition, the researchers also found that none of the previous studies had addressed the abovementioned correlation in the context of the Iraqi banking sector.","author":[{"dropping-particle":"","family":"Hanoon","given":"Raad Naser","non-dropping-particle":"","parse-names":false,"suffix":""},{"dropping-particle":"","family":"Rapani","given":"Nor Hanani Ahamad","non-dropping-particle":"","parse-names":false,"suffix":""},{"dropping-particle":"","family":"Khalid","given":"Azam Abdelhakeem","non-dropping-particle":"","parse-names":false,"suffix":""}],"container-title":"Journal of Advanced Research in Dynamical and Control Systems","id":"ITEM-1","issue":"4 Special Issue","issued":{"date-parts":[["2020"]]},"page":"957-966","title":"The correlation between internal control components and the financial performance of iraqi banks a literature review","type":"article-journal","volume":"12"},"uris":["http://www.mendeley.com/documents/?uuid=ac9b5a7f-b85f-45fd-b44f-63a4a970c8a3"]}],"mendeley":{"formattedCitation":"(Hanoon et al., 2020)","manualFormatting":"(Hanoon, Rapani and Khalid,  2020)","plainTextFormattedCitation":"(Hanoon et al., 2020)","previouslyFormattedCitation":"(Hanoon et al., 2020)"},"properties":{"noteIndex":0},"schema":"https://github.com/citation-style-language/schema/raw/master/csl-citation.json"}</w:instrText>
      </w:r>
      <w:r>
        <w:rPr>
          <w:rFonts w:ascii="Times New Roman" w:hAnsi="Times New Roman"/>
          <w:color w:val="000000"/>
        </w:rPr>
        <w:fldChar w:fldCharType="separate"/>
      </w:r>
      <w:r>
        <w:rPr>
          <w:rFonts w:ascii="Times New Roman" w:hAnsi="Times New Roman"/>
          <w:noProof/>
          <w:color w:val="000000"/>
        </w:rPr>
        <w:t>(Hanoon, Rapani and Khalid,  2020)</w:t>
      </w:r>
      <w:r>
        <w:rPr>
          <w:rFonts w:ascii="Times New Roman" w:hAnsi="Times New Roman"/>
          <w:color w:val="000000"/>
        </w:rPr>
        <w:fldChar w:fldCharType="end"/>
      </w:r>
      <w:r>
        <w:rPr>
          <w:rFonts w:ascii="Times New Roman" w:hAnsi="Times New Roman"/>
          <w:color w:val="000000"/>
        </w:rPr>
        <w:t xml:space="preserve">. Controls are most successful when they are constructed in the infrastructure of an organization and helps to enhance quality and empower programs, reduce wasteful costs, and enable swift reaction to changing situations," according to the framework </w:t>
      </w:r>
      <w:r>
        <w:rPr>
          <w:rFonts w:ascii="Times New Roman" w:hAnsi="Times New Roman"/>
        </w:rPr>
        <w:t>(COSO, 1992).</w:t>
      </w:r>
    </w:p>
    <w:p w:rsidR="00FA1AC4" w:rsidRDefault="00B11CCA">
      <w:pPr>
        <w:pStyle w:val="NoSpacing"/>
        <w:spacing w:before="240" w:line="480" w:lineRule="auto"/>
        <w:jc w:val="both"/>
        <w:rPr>
          <w:rFonts w:ascii="Times New Roman" w:hAnsi="Times New Roman"/>
          <w:color w:val="000000"/>
        </w:rPr>
      </w:pPr>
      <w:r>
        <w:rPr>
          <w:rFonts w:ascii="Times New Roman" w:hAnsi="Times New Roman"/>
          <w:color w:val="000000"/>
        </w:rPr>
        <w:t xml:space="preserve">Internal controls are the measures taken by a company to ensure that its goals, objectives, and missions are carried out. They are a set of rules and procedures put in place by an institution to guarantee that an organization's transactions are carried out properly to avoid wastage, embezzlement, theft, and asset misuse. In order to provide reasonable assurance regarding the accomplishment of an organization's goals in terms of operational effectiveness and efficiency, financial reporting reliability, and compliance with applicable </w:t>
      </w:r>
      <w:r>
        <w:rPr>
          <w:rFonts w:ascii="Times New Roman" w:hAnsi="Times New Roman"/>
          <w:color w:val="000000"/>
        </w:rPr>
        <w:lastRenderedPageBreak/>
        <w:t xml:space="preserve">laws and regulations, it is important to keep in mind that internal controls are procedures that are developed and implemented by those responsible for governance, management, and other staff </w:t>
      </w:r>
      <w:r>
        <w:rPr>
          <w:rFonts w:ascii="Times New Roman" w:hAnsi="Times New Roman"/>
        </w:rPr>
        <w:t xml:space="preserve">(COSO, 2013). </w:t>
      </w:r>
      <w:r>
        <w:rPr>
          <w:rFonts w:ascii="Times New Roman" w:hAnsi="Times New Roman"/>
          <w:color w:val="000000"/>
        </w:rPr>
        <w:t xml:space="preserve">"All methods of internal control have limits that affect the possibility of success" which makes corporate failure persist (Ejoh and Ejom, 2014; </w:t>
      </w:r>
      <w:r>
        <w:rPr>
          <w:rFonts w:ascii="Times New Roman" w:hAnsi="Times New Roman"/>
          <w:color w:val="000000"/>
        </w:rPr>
        <w:fldChar w:fldCharType="begin"/>
      </w:r>
      <w:r>
        <w:rPr>
          <w:rFonts w:ascii="Times New Roman" w:hAnsi="Times New Roman"/>
          <w:color w:val="000000"/>
        </w:rPr>
        <w:instrText>ADDIN CSL_CITATION {"citationItems":[{"id":"ITEM-1","itemData":{"author":[{"dropping-particle":"","family":"Chang","given":"Yu-tzu","non-dropping-particle":"","parse-names":false,"suffix":""},{"dropping-particle":"","family":"Chen","given":"Hanchung","non-dropping-particle":"","parse-names":false,"suffix":""},{"dropping-particle":"","family":"Cheng","given":"Rainbow K","non-dropping-particle":"","parse-names":false,"suffix":""},{"dropping-particle":"","family":"Chi","given":"Wuchun","non-dropping-particle":"","parse-names":false,"suffix":""}],"container-title":"Journal of Contemporary Accounting &amp; Economics","id":"ITEM-1","issue":"November 2018","issued":{"date-parts":[["2019"]]},"page":"1-19","title":"The impact of internal audit attributes on the effectiveness of internal control over operations and compliance","type":"article-journal","volume":"15"},"uris":["http://www.mendeley.com/documents/?uuid=33878dd3-069b-442e-bb6f-2f0ac72bcf4b"]}],"mendeley":{"formattedCitation":"(Chang et al., 2019)","manualFormatting":"Chang, Chen, Cheng and Chi, 2019)","plainTextFormattedCitation":"(Chang et al., 2019)","previouslyFormattedCitation":"(Chang et al., 2019)"},"properties":{"noteIndex":0},"schema":"https://github.com/citation-style-language/schema/raw/master/csl-citation.json"}</w:instrText>
      </w:r>
      <w:r>
        <w:rPr>
          <w:rFonts w:ascii="Times New Roman" w:hAnsi="Times New Roman"/>
          <w:color w:val="000000"/>
        </w:rPr>
        <w:fldChar w:fldCharType="separate"/>
      </w:r>
      <w:r>
        <w:rPr>
          <w:rFonts w:ascii="Times New Roman" w:hAnsi="Times New Roman"/>
          <w:noProof/>
          <w:color w:val="000000"/>
        </w:rPr>
        <w:t>Chang, Chen, Cheng and Chi, 2019)</w:t>
      </w:r>
      <w:r>
        <w:rPr>
          <w:rFonts w:ascii="Times New Roman" w:hAnsi="Times New Roman"/>
          <w:color w:val="000000"/>
        </w:rPr>
        <w:fldChar w:fldCharType="end"/>
      </w:r>
      <w:r>
        <w:rPr>
          <w:rFonts w:ascii="Times New Roman" w:hAnsi="Times New Roman"/>
          <w:color w:val="000000"/>
        </w:rPr>
        <w:t>.</w:t>
      </w:r>
    </w:p>
    <w:p w:rsidR="00FA1AC4" w:rsidRDefault="00B11CCA">
      <w:pPr>
        <w:autoSpaceDE w:val="0"/>
        <w:autoSpaceDN w:val="0"/>
        <w:adjustRightInd w:val="0"/>
        <w:spacing w:before="240"/>
      </w:pPr>
      <w:r>
        <w:t xml:space="preserve">Therefore, the need to improve internal control system of companies has been </w:t>
      </w:r>
      <w:r>
        <w:rPr>
          <w:color w:val="000000"/>
        </w:rPr>
        <w:t xml:space="preserve">triggered by the persistence of </w:t>
      </w:r>
      <w:r>
        <w:t>corporate scandals that resulted from weak corporate governance and poor financial reporting.</w:t>
      </w:r>
      <w:r>
        <w:rPr>
          <w:color w:val="FF0000"/>
        </w:rPr>
        <w:t xml:space="preserve"> </w:t>
      </w:r>
      <w:r>
        <w:t xml:space="preserve">Although all businesses are required to keep accounting records and generate financial reports, the quality of their financial reporting is determined by the methodologies they employ to disclose their financial performance. Financial reports are regarded as being of high quality when they accurately reflect a company's financial status and performance in accordance with widely accepted accounting principles </w:t>
      </w:r>
      <w:r>
        <w:fldChar w:fldCharType="begin"/>
      </w:r>
      <w:r>
        <w:instrText>ADDIN CSL_CITATION {"citationItems":[{"id":"ITEM-1","itemData":{"DOI":"10.1016/j.ecosys.2017.03.002","ISSN":"09393625","abstract":"In order to increase corporate governance quality, the 8th EU Company Law Directive enacted a mandatory audit committee in publicly listed companies in the EU and defined its tasks and responsibilities. In response to the directive, we examine the incremental value of audit committee monitoring effectiveness and audit committee competencies over the mere existence of an audit committee. We find that audit committee monitoring effectiveness and competencies are positively associated with financial reporting quality, whereas, somewhat surprisingly, the effect of the existence of an audit committee is negative. This finding shows that the existence of audit committees is a necessary but not a sufficient condition for enhancing financial reporting quality. Collectively, the study's findings suggest that the 8th Directive has had a positive effect on corporate governance quality and, in turn, financial reporting quality in the EU.","author":[{"dropping-particle":"","family":"Bajra","given":"Ujkan","non-dropping-particle":"","parse-names":false,"suffix":""},{"dropping-particle":"","family":"Čadež","given":"Simon","non-dropping-particle":"","parse-names":false,"suffix":""}],"container-title":"Economic Systems","id":"ITEM-1","issue":"1","issued":{"date-parts":[["2018"]]},"page":"151-163","title":"Audit committees and financial reporting quality: The 8th EU Company Law Directive perspective","type":"article-journal","volume":"42"},"uris":["http://www.mendeley.com/documents/?uuid=513d6dff-7aca-45f7-a1b1-b8bc296e0453"]}],"mendeley":{"formattedCitation":"(Bajra &amp; Čadež, 2018)","manualFormatting":"(Bajra and Čadež, 2018)","plainTextFormattedCitation":"(Bajra &amp; Čadež, 2018)","previouslyFormattedCitation":"(Bajra &amp; Čadež, 2018)"},"properties":{"noteIndex":0},"schema":"https://github.com/citation-style-language/schema/raw/master/csl-citation.json"}</w:instrText>
      </w:r>
      <w:r>
        <w:fldChar w:fldCharType="separate"/>
      </w:r>
      <w:r>
        <w:rPr>
          <w:noProof/>
        </w:rPr>
        <w:t>(Bajra and Čadež, 2018)</w:t>
      </w:r>
      <w:r>
        <w:fldChar w:fldCharType="end"/>
      </w:r>
      <w:r>
        <w:t xml:space="preserve">. One of the most crucial ways to offer information so that internal and external users may make economic and financial decisions is through financial reporting. Users of financial data, however, primarily rely on the data presented in the company's annual report. A financial report contains details about a company's performance and financial health, therefore it must be accurate, timely, trustworthy, relevant, and acceptable for potential investors, lenders, and creditors to make educated judgments </w:t>
      </w:r>
      <w:r>
        <w:fldChar w:fldCharType="begin"/>
      </w:r>
      <w:r>
        <w:instrText>ADDIN CSL_CITATION {"citationItems":[{"id":"ITEM-1","itemData":{"DOI":"10.22164/isea.v7i2.76","ISSN":"1978-0591","abstract":"This study reviews the literature on audit committee expertise and financial reporting timeliness. Financial reporting timeliness and audit committee expertise are two areas of research gaining the attention of a large number of stakeholders because they contribute to the reliability and the  relevancy of financial reporting. Indeed, the focus of this review is primarily on the recent developments in the pertinent literature in order to show the limitations of such research and encourage future research to overcome these limitations. By also looking at the development of the audit committee expertise literature, this study concludes that (1) like most audit committee literature, financial reporting timeliness literature continues to assume the absence of the contribution of expertise other than financial expertise, and ignore the role of audit committee chair; (2) most of this literature fails to find a significant effect because it ignores the interaction among corporate governance mechanisms. Accordingly, this study posits that ignoring the issues raised in such research by future research would lead to major mistakes in reforms relating to how the quality of financial reporting can be enhanced.","author":[{"dropping-particle":"","family":"Baatwah","given":"Saeed Rabea","non-dropping-particle":"","parse-names":false,"suffix":""},{"dropping-particle":"","family":"Salleh","given":"Zalailah","non-dropping-particle":"","parse-names":false,"suffix":""},{"dropping-particle":"","family":"Ahmad","given":"Norsiah","non-dropping-particle":"","parse-names":false,"suffix":""}],"container-title":"Issues In Social And Environmental Accounting","id":"ITEM-1","issue":"2","issued":{"date-parts":[["2013"]]},"page":"86","title":"Whether Audit Committee Financial Expertise Is the Only Relevant Expertise: A Review of Audit Committee Expertise and Timeliness of Financial Reporting","type":"article-journal","volume":"7"},"uris":["http://www.mendeley.com/documents/?uuid=cf9ee9e0-5925-4662-9556-a2b14de578b0"]}],"mendeley":{"formattedCitation":"(Baatwah et al., 2013a)","manualFormatting":"(Baatwah,Salleh and Ahmad, 2013","plainTextFormattedCitation":"(Baatwah et al., 2013a)","previouslyFormattedCitation":"(Baatwah et al., 2013a)"},"properties":{"noteIndex":0},"schema":"https://github.com/citation-style-language/schema/raw/master/csl-citation.json"}</w:instrText>
      </w:r>
      <w:r>
        <w:fldChar w:fldCharType="separate"/>
      </w:r>
      <w:r>
        <w:rPr>
          <w:noProof/>
        </w:rPr>
        <w:t>(Baatwah,Salleh and Ahmad, 2013</w:t>
      </w:r>
      <w:r>
        <w:fldChar w:fldCharType="end"/>
      </w:r>
      <w:r>
        <w:t xml:space="preserve">; </w:t>
      </w:r>
      <w:r>
        <w:fldChar w:fldCharType="begin"/>
      </w:r>
      <w:r>
        <w:instrText>ADDIN CSL_CITATION {"citationItems":[{"id":"ITEM-1","itemData":{"DOI":"10.1016/j.sbspro.2015.01.429","ISSN":"18770428","abstract":"This paper aims to describe the public reprimand issued by Bursa Malaysia to PLCs pertaining to financial related information. It was found that public reprimand were sanctioned for non-compliance of the requirements related to continuing disclosure with amounted to 145 breaches for year 2009 until 2013. It was also discovered that most of the companies sanctioned for public reprimand had complied with the minimum requirements for the independence and financial knowledge on audit committee. This study is a cross-sectional content analysis and consists of firms that had been reprimanded by Bursa Malaysia for non-compliance with the listing requirements.","author":[{"dropping-particle":"","family":"Hamid","given":"Khamsi Che Abdul","non-dropping-particle":"","parse-names":false,"suffix":""},{"dropping-particle":"","family":"Othman","given":"Sarina","non-dropping-particle":"","parse-names":false,"suffix":""},{"dropping-particle":"","family":"Rahim","given":"Memiyanty Abdul","non-dropping-particle":"","parse-names":false,"suffix":""}],"container-title":"Procedia - Social and Behavioral Sciences","id":"ITEM-1","issued":{"date-parts":[["2015"]]},"page":"754-761","title":"Independence and Financial Knowledge on Audit Committee with Non-compliance of Financial Disclosure: A Study of Listed Companies Issued with Public Reprimand in Malaysia","type":"article-journal","volume":"172"},"uris":["http://www.mendeley.com/documents/?uuid=a0f53a06-1996-4570-ab45-aa43c1f989aa"]}],"mendeley":{"formattedCitation":"(Hamid et al., 2015)","manualFormatting":"Hamid, Othman and Rahim, 2015)","plainTextFormattedCitation":"(Hamid et al., 2015)","previouslyFormattedCitation":"(Hamid et al., 2015)"},"properties":{"noteIndex":0},"schema":"https://github.com/citation-style-language/schema/raw/master/csl-citation.json"}</w:instrText>
      </w:r>
      <w:r>
        <w:fldChar w:fldCharType="separate"/>
      </w:r>
      <w:r>
        <w:rPr>
          <w:noProof/>
        </w:rPr>
        <w:t>Hamid, Othman and Rahim, 2015)</w:t>
      </w:r>
      <w:r>
        <w:fldChar w:fldCharType="end"/>
      </w:r>
      <w:r>
        <w:t xml:space="preserve">. As a result, the financial report should include complete, up-to-date, transparent, relevant, and dependable financial data that is not intentionally created to deceive users. </w:t>
      </w:r>
    </w:p>
    <w:p w:rsidR="00FA1AC4" w:rsidRDefault="00B11CCA">
      <w:pPr>
        <w:autoSpaceDE w:val="0"/>
        <w:autoSpaceDN w:val="0"/>
        <w:adjustRightInd w:val="0"/>
        <w:spacing w:before="240"/>
      </w:pPr>
      <w:r>
        <w:rPr>
          <w:color w:val="000000"/>
        </w:rPr>
        <w:lastRenderedPageBreak/>
        <w:t xml:space="preserve">Regardless of the huge importance of financial reporting, the information embedded in it </w:t>
      </w:r>
      <w:r>
        <w:t>may not always be credible and dependable since it may contain inaccuracies, the willful distortion of accounting information, deliberate manipulations and a false representation of earnings which may eventually lead to the failure of firms</w:t>
      </w:r>
      <w:r>
        <w:rPr>
          <w:color w:val="FF0000"/>
        </w:rPr>
        <w:t xml:space="preserve"> </w:t>
      </w:r>
      <w:r>
        <w:rPr>
          <w:color w:val="000000"/>
        </w:rPr>
        <w:fldChar w:fldCharType="begin"/>
      </w:r>
      <w:r>
        <w:rPr>
          <w:color w:val="000000"/>
        </w:rPr>
        <w:instrText>ADDIN CSL_CITATION {"citationItems":[{"id":"ITEM-1","itemData":{"abstract":"The authors review recent literature on the role of corporate financial reporting and transparency in reducing governance-related agency conflicts between managers, directors, shareholders, and other stakeholders—most notably financial regulators—and suggest some avenues for future research. Key themes include the endogenous nature of governance mechanisms with respect to information asymmetry between contracting parties, the heterogeneous nature of the informational demands of contracting parties, and the corresponding heterogeneity of the associated governance mechanisms. The authors also emphasize the role of credible commitment to financial reporting transparency in facilitating informal multiperiod contracts among managers, directors, shareholders, and other stakeholders. Finally, they discuss the importance of regulatory supervision and oversight as a class of governance mechanisms that is particularly important for banks and financial institutions.","author":[{"dropping-particle":"","family":"Armstrong","given":"Chris S.","non-dropping-particle":"","parse-names":false,"suffix":""},{"dropping-particle":"","family":"Guay","given":"Wayne R.","non-dropping-particle":"","parse-names":false,"suffix":""},{"dropping-particle":"","family":"Mehran","given":"Hamid","non-dropping-particle":"","parse-names":false,"suffix":""},{"dropping-particle":"","family":"Weber","given":"Joseph Peter","non-dropping-particle":"","parse-names":false,"suffix":""}],"container-title":"Economic policy review","id":"ITEM-1","issue":"97","issued":{"date-parts":[["2016"]]},"page":"107-128","title":"The Role of Financial Reporting in Corporate Governance","type":"article-journal","volume":"3"},"uris":["http://www.mendeley.com/documents/?uuid=ab8c8b26-108b-4c09-9cef-1769bd677d4e"]}],"mendeley":{"formattedCitation":"(Armstrong et al., 2016)","manualFormatting":"(Armstrong, Guay, Mehran and Weber, 2016)","plainTextFormattedCitation":"(Armstrong et al., 2016)","previouslyFormattedCitation":"(Armstrong et al., 2016)"},"properties":{"noteIndex":0},"schema":"https://github.com/citation-style-language/schema/raw/master/csl-citation.json"}</w:instrText>
      </w:r>
      <w:r>
        <w:rPr>
          <w:color w:val="000000"/>
        </w:rPr>
        <w:fldChar w:fldCharType="separate"/>
      </w:r>
      <w:r>
        <w:rPr>
          <w:noProof/>
          <w:color w:val="000000"/>
        </w:rPr>
        <w:t>(Armstrong, Guay, Mehran and Weber, 2016)</w:t>
      </w:r>
      <w:r>
        <w:rPr>
          <w:color w:val="000000"/>
        </w:rPr>
        <w:fldChar w:fldCharType="end"/>
      </w:r>
      <w:r>
        <w:rPr>
          <w:rFonts w:eastAsia="AdvGulliv-R"/>
          <w:color w:val="000000"/>
        </w:rPr>
        <w:t>.</w:t>
      </w:r>
      <w:r>
        <w:t xml:space="preserve"> However, a good internal control system, corporate governance and policy disclosure can help to reduce doubt in financial reporting trustworthiness </w:t>
      </w:r>
      <w:r>
        <w:rPr>
          <w:color w:val="000000"/>
        </w:rPr>
        <w:t>by detecting financial manipulations that can be misleading to users</w:t>
      </w:r>
      <w:r>
        <w:t xml:space="preserve">, although lengthy feasibility may not be certain. </w:t>
      </w:r>
    </w:p>
    <w:p w:rsidR="00FA1AC4" w:rsidRDefault="00B11CCA">
      <w:pPr>
        <w:autoSpaceDE w:val="0"/>
        <w:autoSpaceDN w:val="0"/>
        <w:adjustRightInd w:val="0"/>
        <w:spacing w:before="240"/>
      </w:pPr>
      <w:r>
        <w:t xml:space="preserve">Because of these financial misdeeds that emanated from weak corporate governance, policymakers all over the world admonish financial institutions to establish audit committees that does not totally rely on company's management </w:t>
      </w:r>
      <w:r>
        <w:fldChar w:fldCharType="begin"/>
      </w:r>
      <w:r>
        <w:instrText>ADDIN CSL_CITATION {"citationItems":[{"id":"ITEM-1","itemData":{"DOI":"10.15405/epsbs.2016.08.106","abstract":"This study aims to investigate the effect of audit committee characteristics on the quality of financial reporting of Nigerian listed firms. We employed multivariate regression analysis with a sample size of 101 and firms-year longitudinal panels of 505 observations of non-financial listed companies on Nigerian Stock Exchange for the period 2010 to 2014. We adopt McNicholas (2002) model to examine the monitoring mechanisms on the quality of financial reporting. The results show that control variables; company age and company size are statistically significant. Audit committee share ownership, and financial expertise are positive and statistically significant, indicating that audit committee monitoring mechanisms influence the financial reporting quality of listed nonfinancial firms in Nigeria. Regulatory bodies in Nigeria should mandate all the three board representatives on AC to be non-executive directors, while making a combination of financial and industrial expertise replace financial literacy to further improve the quality of the financial reporting.","author":[{"dropping-particle":"","family":"Kibiya","given":"Muhammad Umar","non-dropping-particle":"","parse-names":false,"suffix":""},{"dropping-particle":"","family":"Ahmad","given":"Ayoib Che","non-dropping-particle":"","parse-names":false,"suffix":""},{"dropping-particle":"","family":"Amran","given":"Noor Afza","non-dropping-particle":"","parse-names":false,"suffix":""}],"container-title":"International Soft Science Conference","id":"ITEM-1","issued":{"date-parts":[["2016"]]},"page":"753-760","title":"Audit Committee Characteristics and Financial Reporting Quality: Nigerian Non-Financial Listed Firms","type":"article-journal","volume":"2357-1330"},"uris":["http://www.mendeley.com/documents/?uuid=c49d9503-0bc4-4299-b30c-5b7ef295afa1"]}],"mendeley":{"formattedCitation":"(Kibiya et al., 2016)","manualFormatting":"(Kibiya, Ahmad and Amran, 2016;","plainTextFormattedCitation":"(Kibiya et al., 2016)","previouslyFormattedCitation":"(Kibiya et al., 2016)"},"properties":{"noteIndex":0},"schema":"https://github.com/citation-style-language/schema/raw/master/csl-citation.json"}</w:instrText>
      </w:r>
      <w:r>
        <w:fldChar w:fldCharType="separate"/>
      </w:r>
      <w:r>
        <w:rPr>
          <w:noProof/>
        </w:rPr>
        <w:t>(Kibiya, Ahmad and Amran, 2016;</w:t>
      </w:r>
      <w:r>
        <w:fldChar w:fldCharType="end"/>
      </w:r>
      <w:r>
        <w:t xml:space="preserve"> </w:t>
      </w:r>
      <w:r>
        <w:rPr>
          <w:rFonts w:eastAsia="AdvGulliv-R"/>
          <w:color w:val="000000"/>
        </w:rPr>
        <w:fldChar w:fldCharType="begin"/>
      </w:r>
      <w:r>
        <w:rPr>
          <w:rFonts w:eastAsia="AdvGulliv-R"/>
          <w:color w:val="000000"/>
        </w:rPr>
        <w:instrText>ADDIN CSL_CITATION {"citationItems":[{"id":"ITEM-1","itemData":{"DOI":"10.1016/j.jbusres.2020.04.013","ISSN":"01482963","abstract":"Evidence on the association between female directors on audit committees and audit quality is weak. Further, researchers’ failure to identify the types of female and male financial experts may have (a) resulted in the mixed evidence on the relationship between female financial experts on audit committees and financial reporting monitoring, and (b) led them to question male financial experts on audit committees. Thus, we examine whether female directors and the types of female and male financial experts on audit committees are associated with audit quality. Using FTSE 350 firms from 2009 to 2017 and ordinary least-squares regression, this study finds that female directors and female accounting experts on audit committees are positively associated with audit quality. Our results may explain the conflicting evidence on the association between female financial experts and financial reporting oversight and also suggest that firms’ audit quality may increase with female accounting experts on audit committees.","author":[{"dropping-particle":"","family":"Abbasi","given":"Kaleemullah","non-dropping-particle":"","parse-names":false,"suffix":""},{"dropping-particle":"","family":"Alam","given":"Ashraful","non-dropping-particle":"","parse-names":false,"suffix":""},{"dropping-particle":"","family":"Bhuiyan","given":"Md Borhan Uddin","non-dropping-particle":"","parse-names":false,"suffix":""}],"container-title":"Journal of Business Research","id":"ITEM-1","issue":"September 2019","issued":{"date-parts":[["2020"]]},"page":"186-197","title":"Audit committees, female directors and the types of female and male financial experts: Further evidence","type":"article-journal","volume":"114"},"uris":["http://www.mendeley.com/documents/?uuid=6885ab59-86a0-44de-99fd-b27df38e121a"]}],"mendeley":{"formattedCitation":"(Abbasi et al., 2020)","manualFormatting":"Abbasi, Alam and Bhuiyan, 2020)","plainTextFormattedCitation":"(Abbasi et al., 2020)","previouslyFormattedCitation":"(Abbasi et al., 2020)"},"properties":{"noteIndex":0},"schema":"https://github.com/citation-style-language/schema/raw/master/csl-citation.json"}</w:instrText>
      </w:r>
      <w:r>
        <w:rPr>
          <w:rFonts w:eastAsia="AdvGulliv-R"/>
          <w:color w:val="000000"/>
        </w:rPr>
        <w:fldChar w:fldCharType="separate"/>
      </w:r>
      <w:r>
        <w:rPr>
          <w:rFonts w:eastAsia="AdvGulliv-R"/>
          <w:noProof/>
          <w:color w:val="000000"/>
        </w:rPr>
        <w:t>Abbasi, Alam and Bhuiyan, 2020)</w:t>
      </w:r>
      <w:r>
        <w:rPr>
          <w:rFonts w:eastAsia="AdvGulliv-R"/>
          <w:color w:val="000000"/>
        </w:rPr>
        <w:fldChar w:fldCharType="end"/>
      </w:r>
      <w:r>
        <w:rPr>
          <w:rFonts w:eastAsia="AdvGulliv-R"/>
          <w:color w:val="000000"/>
        </w:rPr>
        <w:t>.</w:t>
      </w:r>
      <w:r>
        <w:rPr>
          <w:color w:val="70AD47"/>
        </w:rPr>
        <w:t xml:space="preserve"> </w:t>
      </w:r>
      <w:r>
        <w:rPr>
          <w:color w:val="000000"/>
        </w:rPr>
        <w:t xml:space="preserve">They serve as a watchdog in any organization for quality financial reporting based on their ability to connect the external assessor with the Board of Directors </w:t>
      </w:r>
      <w:r>
        <w:rPr>
          <w:color w:val="000000"/>
        </w:rPr>
        <w:fldChar w:fldCharType="begin"/>
      </w:r>
      <w:r>
        <w:rPr>
          <w:color w:val="000000"/>
        </w:rPr>
        <w:instrText>ADDIN CSL_CITATION {"citationItems":[{"id":"ITEM-1","itemData":{"author":[{"dropping-particle":"","family":"Cardinaels","given":"Eddy","non-dropping-particle":"","parse-names":false,"suffix":""}],"id":"ITEM-1","issue":"Rome 2011","issued":{"date-parts":[["2013"]]},"title":"The Audit Committee : Management Watchdog or Personal Friend of the CEO ? The Audit Committee : Management Watchdog or Personal Friend of the CEO ?","type":"article-journal"},"uris":["http://www.mendeley.com/documents/?uuid=b38d76da-1b5b-45ed-ac72-67c6c451792e"]}],"mendeley":{"formattedCitation":"(Cardinaels, 2013)","plainTextFormattedCitation":"(Cardinaels, 2013)","previouslyFormattedCitation":"(Cardinaels, 2013)"},"properties":{"noteIndex":0},"schema":"https://github.com/citation-style-language/schema/raw/master/csl-citation.json"}</w:instrText>
      </w:r>
      <w:r>
        <w:rPr>
          <w:color w:val="000000"/>
        </w:rPr>
        <w:fldChar w:fldCharType="separate"/>
      </w:r>
      <w:r>
        <w:rPr>
          <w:noProof/>
          <w:color w:val="000000"/>
        </w:rPr>
        <w:t>(Cardinaels, 2013)</w:t>
      </w:r>
      <w:r>
        <w:rPr>
          <w:color w:val="000000"/>
        </w:rPr>
        <w:fldChar w:fldCharType="end"/>
      </w:r>
      <w:r>
        <w:rPr>
          <w:color w:val="000000"/>
        </w:rPr>
        <w:t xml:space="preserve">. They must also examine, assess, and keep track of the sufficiency and efficiency of internal control goals in compliance, reporting, and operations (Blue Ribbon Committee </w:t>
      </w:r>
      <w:r>
        <w:t>[BRC], 1999</w:t>
      </w:r>
      <w:r>
        <w:rPr>
          <w:color w:val="000000"/>
        </w:rPr>
        <w:t xml:space="preserve">; American Institute of Certified Public Accountants </w:t>
      </w:r>
      <w:r>
        <w:t>[AICPA], 2008</w:t>
      </w:r>
      <w:r>
        <w:rPr>
          <w:color w:val="000000"/>
        </w:rPr>
        <w:t xml:space="preserve">; Committee of Sponsoring Organizations of the Treadway Commission </w:t>
      </w:r>
      <w:r>
        <w:t>[COSO], 2012</w:t>
      </w:r>
      <w:r>
        <w:rPr>
          <w:color w:val="000000"/>
        </w:rPr>
        <w:t xml:space="preserve">; Institute of Internal Auditors </w:t>
      </w:r>
      <w:r>
        <w:t xml:space="preserve">[IIA], 2012). </w:t>
      </w:r>
    </w:p>
    <w:p w:rsidR="00FA1AC4" w:rsidRDefault="00B11CCA">
      <w:pPr>
        <w:autoSpaceDE w:val="0"/>
        <w:autoSpaceDN w:val="0"/>
        <w:adjustRightInd w:val="0"/>
        <w:spacing w:before="240" w:after="240"/>
      </w:pPr>
      <w:r>
        <w:rPr>
          <w:color w:val="000000"/>
        </w:rPr>
        <w:t xml:space="preserve">An audit's main goal is to check the accuracy of management's financial reports </w:t>
      </w:r>
      <w:r>
        <w:t xml:space="preserve">and have the responsibility to safeguard correct reporting processes as well as the formation and maintenance of acceptable accounting practices </w:t>
      </w:r>
      <w:r>
        <w:fldChar w:fldCharType="begin"/>
      </w:r>
      <w:r>
        <w:instrText>ADDIN CSL_CITATION {"citationItems":[{"id":"ITEM-1","itemData":{"author":[{"dropping-particle":"","family":"Chang","given":"Yu-tzu","non-dropping-particle":"","parse-names":false,"suffix":""},{"dropping-particle":"","family":"Chen","given":"Hanchung","non-dropping-particle":"","parse-names":false,"suffix":""},{"dropping-particle":"","family":"Cheng","given":"Rainbow K","non-dropping-particle":"","parse-names":false,"suffix":""},{"dropping-particle":"","family":"Chi","given":"Wuchun","non-dropping-particle":"","parse-names":false,"suffix":""}],"container-title":"Journal of Contemporary Accounting &amp; Economics","id":"ITEM-1","issue":"November 2018","issued":{"date-parts":[["2019"]]},"page":"1-19","title":"The impact of internal audit attributes on the effectiveness of internal control over operations and compliance","type":"article-journal","volume":"15"},"uris":["http://www.mendeley.com/documents/?uuid=33878dd3-069b-442e-bb6f-2f0ac72bcf4b"]}],"mendeley":{"formattedCitation":"(Chang et al., 2019)","manualFormatting":"(Chang, Chen, Cheng and Chi, 2019)","plainTextFormattedCitation":"(Chang et al., 2019)","previouslyFormattedCitation":"(Chang et al., 2019)"},"properties":{"noteIndex":0},"schema":"https://github.com/citation-style-language/schema/raw/master/csl-citation.json"}</w:instrText>
      </w:r>
      <w:r>
        <w:fldChar w:fldCharType="separate"/>
      </w:r>
      <w:r>
        <w:rPr>
          <w:noProof/>
        </w:rPr>
        <w:t>(Chang, Chen, Cheng and Chi, 2019)</w:t>
      </w:r>
      <w:r>
        <w:fldChar w:fldCharType="end"/>
      </w:r>
      <w:r>
        <w:t>.</w:t>
      </w:r>
      <w:r>
        <w:rPr>
          <w:color w:val="000000"/>
        </w:rPr>
        <w:t xml:space="preserve"> Their responsibilities have been expanded to include quarterly financial report oversight, </w:t>
      </w:r>
      <w:r>
        <w:rPr>
          <w:color w:val="000000"/>
        </w:rPr>
        <w:lastRenderedPageBreak/>
        <w:t xml:space="preserve">based on existing regulations and desire for improved reporting. </w:t>
      </w:r>
      <w:r>
        <w:t xml:space="preserve">The shareholders who serve on an audit committee endeavor to raise the standard of financial reporting (Madugba, Nwanji, Faye and Ben-caleb, 2021). Every country's economy depends heavily on the service industry, which has been highlighted as having the ability to propel Africa's long-term growth </w:t>
      </w:r>
      <w:r>
        <w:rPr>
          <w:color w:val="000000"/>
        </w:rPr>
        <w:fldChar w:fldCharType="begin"/>
      </w:r>
      <w:r>
        <w:rPr>
          <w:color w:val="000000"/>
        </w:rPr>
        <w:instrText>ADDIN CSL_CITATION {"citationItems":[{"id":"ITEM-1","itemData":{"ISBN":"5555555555","author":[{"dropping-particle":"","family":"Jegede","given":"Oluseye","non-dropping-particle":"","parse-names":false,"suffix":""},{"dropping-particle":"","family":"Egbetokun","given":"Abiodun A","non-dropping-particle":"","parse-names":false,"suffix":""},{"dropping-particle":"","family":"Siyanbola","given":"Willie O","non-dropping-particle":"","parse-names":false,"suffix":""}],"container-title":"African Journal of Science, Technology, Innovation and Devevlopment","id":"ITEM-1","issue":"January 2011","issued":{"date-parts":[["2014"]]},"page":"69-91","title":"Assessment of Technological Innovations in the Oilfield Services firms in Nigeria","type":"article-journal","volume":"4"},"uris":["http://www.mendeley.com/documents/?uuid=930fa9e3-feee-4eb0-91c7-915951e8374b"]}],"mendeley":{"formattedCitation":"(Jegede et al., 2014)","manualFormatting":"(Jegede, Egbetokun and Siyanbola, 2014)","plainTextFormattedCitation":"(Jegede et al., 2014)","previouslyFormattedCitation":"(Jegede et al., 2014)"},"properties":{"noteIndex":0},"schema":"https://github.com/citation-style-language/schema/raw/master/csl-citation.json"}</w:instrText>
      </w:r>
      <w:r>
        <w:rPr>
          <w:color w:val="000000"/>
        </w:rPr>
        <w:fldChar w:fldCharType="separate"/>
      </w:r>
      <w:r>
        <w:rPr>
          <w:noProof/>
          <w:color w:val="000000"/>
        </w:rPr>
        <w:t>(Jegede, Egbetokun and Siyanbola, 2014)</w:t>
      </w:r>
      <w:r>
        <w:rPr>
          <w:color w:val="000000"/>
        </w:rPr>
        <w:fldChar w:fldCharType="end"/>
      </w:r>
      <w:r>
        <w:rPr>
          <w:color w:val="000000"/>
        </w:rPr>
        <w:t xml:space="preserve">. </w:t>
      </w:r>
      <w:r>
        <w:t>Nigeria's service sector includes banking, retail and wholesale trade, tourism, real estate, telecommunications, Nollywood movies, information and communication technology, entertainment, and education</w:t>
      </w:r>
      <w:r>
        <w:rPr>
          <w:color w:val="000000"/>
        </w:rPr>
        <w:t xml:space="preserve"> </w:t>
      </w:r>
      <w:r>
        <w:rPr>
          <w:color w:val="000000"/>
        </w:rPr>
        <w:fldChar w:fldCharType="begin"/>
      </w:r>
      <w:r>
        <w:rPr>
          <w:color w:val="000000"/>
        </w:rPr>
        <w:instrText>ADDIN CSL_CITATION {"citationItems":[{"id":"ITEM-1","itemData":{"DOI":"10.21511/imfi.17(4).2020.32","author":[{"dropping-particle":"","family":"Osazevbaru","given":"H. O.","non-dropping-particle":"","parse-names":false,"suffix":""},{"dropping-particle":"","family":"Taruhor","given":"E. M.","non-dropping-particle":"","parse-names":false,"suffix":""}],"container-title":"Investment Management and Financial Innovations","id":"ITEM-1","issue":"4","issued":{"date-parts":[["2020"]]},"page":"378-388","title":"Unobservable characteristics of board directors and the performance of financial services firms in Nigeria","type":"article-journal","volume":"17"},"uris":["http://www.mendeley.com/documents/?uuid=94a9691c-1104-4e7a-a673-e5b11fd40e1b"]}],"mendeley":{"formattedCitation":"(Osazevbaru &amp; Taruhor, 2020)","manualFormatting":"(Osazevbaru and Taruhor, 2020)","plainTextFormattedCitation":"(Osazevbaru &amp; Taruhor, 2020)","previouslyFormattedCitation":"(Osazevbaru &amp; Taruhor, 2020)"},"properties":{"noteIndex":0},"schema":"https://github.com/citation-style-language/schema/raw/master/csl-citation.json"}</w:instrText>
      </w:r>
      <w:r>
        <w:rPr>
          <w:color w:val="000000"/>
        </w:rPr>
        <w:fldChar w:fldCharType="separate"/>
      </w:r>
      <w:r>
        <w:rPr>
          <w:noProof/>
          <w:color w:val="000000"/>
        </w:rPr>
        <w:t>(Osazevbaru and Taruhor, 2020)</w:t>
      </w:r>
      <w:r>
        <w:rPr>
          <w:color w:val="000000"/>
        </w:rPr>
        <w:fldChar w:fldCharType="end"/>
      </w:r>
      <w:r>
        <w:rPr>
          <w:color w:val="000000"/>
        </w:rPr>
        <w:t xml:space="preserve"> The industry with the fastest current growth rate is the service sector. It contributes significantly to overall employment and accounts for a sizable portion of the gross domestic product in the majority of countries. By 2015, the service sector had made up over 60% of Nigeria's GDP, with an average employment share of roughly 33% as opposed to 7% for the industry.</w:t>
      </w:r>
    </w:p>
    <w:p w:rsidR="00FA1AC4" w:rsidRDefault="00B11CCA">
      <w:pPr>
        <w:autoSpaceDE w:val="0"/>
        <w:autoSpaceDN w:val="0"/>
        <w:adjustRightInd w:val="0"/>
        <w:spacing w:after="240"/>
        <w:rPr>
          <w:color w:val="000000"/>
        </w:rPr>
      </w:pPr>
      <w:r>
        <w:rPr>
          <w:color w:val="000000"/>
        </w:rPr>
        <w:t xml:space="preserve">A thriving service industry is known to improve the performance of other economic sectors like manufacturing </w:t>
      </w:r>
      <w:r>
        <w:rPr>
          <w:color w:val="000000"/>
        </w:rPr>
        <w:fldChar w:fldCharType="begin"/>
      </w:r>
      <w:r>
        <w:rPr>
          <w:color w:val="000000"/>
        </w:rPr>
        <w:instrText>ADDIN CSL_CITATION {"citationItems":[{"id":"ITEM-1","itemData":{"abstract":"Much of the debate on economic transformation in low-income countries (LICs) has centred on moving out of agriculture and into manufacturing, but this fails to appreciate the role services can play in driving growth in developing countries. This paper examines the role of services in economic transformation, by discussing the main conceptual issues and applying these to the case study of Kenya. The analysis suggests we need to update our traditional, often negative, views on the role of services in economic transformation. Presenting a new framework, the authors argue that services can lead economic transformation through direct, indirect, induced and second-order/productivity effects, depending on the specific services sector. Two observations are behind this positive view. Firstly, services are increasingly important for their direct contribution to gross domestic product (GDP), exports and employment. Secondly, a balanced view of services also considers their role in creating indirect effects through second-order productivity effects. However, there are potentially negative implications from too much focus on services when service sector development leads to an exchange rate appreciation. The paper applies a comprehensive framework of the services sector to four sectors in Kenya (financial sector, IT services, transport services and tourism services) and finds Kenya’s exports of services are buoyant in these sectors, providing real potential for growth and economic transformation, but the linkages with the domestic economy are too few. The paper concludes by arguing that there is a need to consider a more comprehensive role of services in economic transformation, in a way that is more complex than only examining the direct GDP or direct employment effects. The new way of looking is by examining the role of services in supporting other sectors through value chain development. This opens up new avenues; for example, it is not necessary to be as pessimistic as Rodrik on the role of services, as we are not looking at services sector indicators alone when assessing the role of services.","author":[{"dropping-particle":"","family":"Khanna","given":"Anupam","non-dropping-particle":"","parse-names":false,"suffix":""},{"dropping-particle":"","family":"Papadavid","given":"Phyllis","non-dropping-particle":"","parse-names":false,"suffix":""},{"dropping-particle":"","family":"Tyson","given":"Judith","non-dropping-particle":"","parse-names":false,"suffix":""},{"dropping-particle":"","family":"Willem te Velve","given":"Dirk","non-dropping-particle":"","parse-names":false,"suffix":""}],"container-title":"Supporting Economic Transformation","id":"ITEM-1","issue":"February","issued":{"date-parts":[["2016"]]},"page":"1-68","title":"The Role of Services in Economic Transformation - With an Application to Kenya","type":"article-journal"},"uris":["http://www.mendeley.com/documents/?uuid=896b27a2-bb59-4ac9-abc3-af5f7d715d0f"]}],"mendeley":{"formattedCitation":"(Khanna et al., 2016)","manualFormatting":"(Khanna, Papadavid, Tyson and Willem, 2016)","plainTextFormattedCitation":"(Khanna et al., 2016)","previouslyFormattedCitation":"(Khanna et al., 2016)"},"properties":{"noteIndex":0},"schema":"https://github.com/citation-style-language/schema/raw/master/csl-citation.json"}</w:instrText>
      </w:r>
      <w:r>
        <w:rPr>
          <w:color w:val="000000"/>
        </w:rPr>
        <w:fldChar w:fldCharType="separate"/>
      </w:r>
      <w:r>
        <w:rPr>
          <w:noProof/>
          <w:color w:val="000000"/>
        </w:rPr>
        <w:t>(Khanna, Papadavid, Tyson and Willem, 2016)</w:t>
      </w:r>
      <w:r>
        <w:rPr>
          <w:color w:val="000000"/>
        </w:rPr>
        <w:fldChar w:fldCharType="end"/>
      </w:r>
      <w:r>
        <w:rPr>
          <w:color w:val="000000"/>
        </w:rPr>
        <w:t xml:space="preserve">. This is because most sectors (manufacturing, industrial, etc.) heavily rely on the service sector to provide necessary activities like banking, accounting, information, and technology. As a result, the service sector both permits and supports the operation of most sectors (manufacturing, industrial, etc.). The additional outputs of the service sector are advantageous to manufacturing businesses that depend on outside suppliers for critical inputs like transportation, financing, design, and communication. The demand from the manufacturing sector and per capita personal consumption are the main forces behind the expansion of the service industry </w:t>
      </w:r>
      <w:r>
        <w:rPr>
          <w:color w:val="000000"/>
        </w:rPr>
        <w:fldChar w:fldCharType="begin"/>
      </w:r>
      <w:r>
        <w:rPr>
          <w:color w:val="000000"/>
        </w:rPr>
        <w:instrText>ADDIN CSL_CITATION {"citationItems":[{"id":"ITEM-1","itemData":{"DOI":"10.1080/00343404.2012.739281","ISSN":"13600591","abstract":"Bottazzi G. and Gragnolati U. Cities and clusters: economy-wide and sector-specific effects in corporate location, Regional Studies. Are the observed spatial distributions of firms decided mostly by economy-wide urbanization economies or rather by sector-specific localization economies? This paper finds that the latter kind of forces weight systematically more than the former in deciding firm location. The analysis uses Italian data on a variety of manufacturing and service sectors spatially disaggregated at the level of local labour market areas.","author":[{"dropping-particle":"","family":"Bottazzi","given":"Giulio","non-dropping-particle":"","parse-names":false,"suffix":""},{"dropping-particle":"","family":"Gragnolati","given":"Ugo","non-dropping-particle":"","parse-names":false,"suffix":""}],"container-title":"Regional Studies","id":"ITEM-1","issue":"1","issued":{"date-parts":[["2012"]]},"page":"113-129","title":"Cities and Clusters: Economy-Wide and Sector-Specific Effects in Corporate Location","type":"article-journal","volume":"49"},"uris":["http://www.mendeley.com/documents/?uuid=41804032-c192-4079-8a4b-5d9d4830d9fe"]}],"mendeley":{"formattedCitation":"(Bottazzi &amp; Gragnolati, 2012)","manualFormatting":"(Bottazzi and Gragnolati, 2015)","plainTextFormattedCitation":"(Bottazzi &amp; Gragnolati, 2012)","previouslyFormattedCitation":"(Bottazzi &amp; Gragnolati, 2012)"},"properties":{"noteIndex":0},"schema":"https://github.com/citation-style-language/schema/raw/master/csl-citation.json"}</w:instrText>
      </w:r>
      <w:r>
        <w:rPr>
          <w:color w:val="000000"/>
        </w:rPr>
        <w:fldChar w:fldCharType="separate"/>
      </w:r>
      <w:r>
        <w:rPr>
          <w:noProof/>
          <w:color w:val="000000"/>
        </w:rPr>
        <w:t>(Bottazzi and Gragnolati, 2015)</w:t>
      </w:r>
      <w:r>
        <w:rPr>
          <w:color w:val="000000"/>
        </w:rPr>
        <w:fldChar w:fldCharType="end"/>
      </w:r>
      <w:r>
        <w:rPr>
          <w:color w:val="000000"/>
        </w:rPr>
        <w:t xml:space="preserve">. Through increased efficiency and value </w:t>
      </w:r>
      <w:r>
        <w:rPr>
          <w:color w:val="000000"/>
        </w:rPr>
        <w:lastRenderedPageBreak/>
        <w:t xml:space="preserve">added, the service sector has an impact on corporate growth as well. This can be achieved by hiring highly qualified, seasoned employees with particular cognitive skills, thereby increasing corporate efficiency. Adam Smith characterized services as non-productive, which is one reason why the viability and sustainability of the service sector-led expansion have been questioned </w:t>
      </w:r>
      <w:r>
        <w:rPr>
          <w:color w:val="000000"/>
        </w:rPr>
        <w:fldChar w:fldCharType="begin"/>
      </w:r>
      <w:r>
        <w:rPr>
          <w:color w:val="000000"/>
        </w:rPr>
        <w:instrText>ADDIN CSL_CITATION {"citationItems":[{"id":"ITEM-1","itemData":{"DOI":"10.1016/j.sbspro.2015.04.873","ISSN":"18770428","abstract":"Services were neglected due to the fact that A.Smith, one of the pioneers of Economics, described services as nonproductive endeavor. After it was understood that studying services was neglected unnecessarily and this sector could play an initiator role for economic development, studies pertaining services accelerated. Recently, new theories and approaches which acquire new dimensions and concentrate on the impacts of economic and technical changes such as technological developments, complicating production structure, changing value concept and maintaining the unity of systems have been developed. One of these approaches is that technological developments improve services sector. In this study, some changes which have been caused by technological developments in service sector are analyzed in a theoretical framework. In the conclusion part, it is stated that technological developments have improved and elaborated the service sector which was neglected for a long time and as a consequence of this, constituted the postproduction service composition.","author":[{"dropping-particle":"","family":"Gölpek","given":"Filiz","non-dropping-particle":"","parse-names":false,"suffix":""}],"container-title":"Procedia - Social and Behavioral Sciences","id":"ITEM-1","issued":{"date-parts":[["2015"]]},"page":"125-130","title":"Service Sector and Technological Developments","type":"article-journal","volume":"181"},"uris":["http://www.mendeley.com/documents/?uuid=777d1e77-ef86-48bc-8b3b-f4666838668a"]}],"mendeley":{"formattedCitation":"(Gölpek, 2015)","plainTextFormattedCitation":"(Gölpek, 2015)","previouslyFormattedCitation":"(Gölpek, 2015)"},"properties":{"noteIndex":0},"schema":"https://github.com/citation-style-language/schema/raw/master/csl-citation.json"}</w:instrText>
      </w:r>
      <w:r>
        <w:rPr>
          <w:color w:val="000000"/>
        </w:rPr>
        <w:fldChar w:fldCharType="separate"/>
      </w:r>
      <w:r>
        <w:rPr>
          <w:noProof/>
          <w:color w:val="000000"/>
        </w:rPr>
        <w:t>(Gölpek, 2015)</w:t>
      </w:r>
      <w:r>
        <w:rPr>
          <w:color w:val="000000"/>
        </w:rPr>
        <w:fldChar w:fldCharType="end"/>
      </w:r>
      <w:r>
        <w:rPr>
          <w:color w:val="000000"/>
        </w:rPr>
        <w:t xml:space="preserve">. The service sector has been disregarded in both economic theory and applied economic research due to the idea that they are unproductive. Nigeria's economy depends heavily on the oil industry because it provides income for the entire nation </w:t>
      </w:r>
      <w:r>
        <w:rPr>
          <w:color w:val="000000"/>
        </w:rPr>
        <w:fldChar w:fldCharType="begin"/>
      </w:r>
      <w:r>
        <w:rPr>
          <w:color w:val="000000"/>
        </w:rPr>
        <w:instrText>ADDIN CSL_CITATION {"citationItems":[{"id":"ITEM-1","itemData":{"DOI":"10.1186/s43093-020-00018-9","ISSN":"2314-7210","abstract":"The misconception of services as being non-productive has led to the neglect of the service sector in both economic theory and applied economic researches. The Nigerian economy highly depends on the oil sector to generate revenue for the entire economy. This study examines the response of economic growth to the dynamics of the service sector in Nigeria from the windows of governance indicators. Using annual data series, endogenous growth model, and autoregressive distributed lag technique, transportation and communication service subsector is significant and positively related to economic growth. Health service subsector and transportation and communication subservice sector are significant and positively related to economic growth when governance indicators were accounted for. Interaction of the subservice sectors with governance indicators shows that none of the service subsectors were significant but were positively related to economic growth. The study shows that the activities of the education subsector have not contributed significantly to economic growth. Thus, for education to contribute positively to economic growth there is a need for increase in budgetary allocation to education subsector. Efforts made to control corruption and promote government effectiveness should be reviewed frequently to checkmate the processes of governance, so that bureaucratic processes would not hinder services from contributing significantly to economic growth.","author":[{"dropping-particle":"","family":"Adetokunbo","given":"Abiodun Moses","non-dropping-particle":"","parse-names":false,"suffix":""},{"dropping-particle":"","family":"Edioye","given":"Ochuwa Priscillia","non-dropping-particle":"","parse-names":false,"suffix":""}],"container-title":"Future Business Journal","id":"ITEM-1","issue":"27","issued":{"date-parts":[["2020"]]},"publisher":"Springer Berlin Heidelberg","title":"Response of economic growth to the dynamics of service sector in Nigeria","type":"article-journal","volume":"6"},"uris":["http://www.mendeley.com/documents/?uuid=671c0254-1ebc-4a84-b8cb-5fea235de759"]}],"mendeley":{"formattedCitation":"(Adetokunbo &amp; Edioye, 2020)","manualFormatting":"(Adetokunbo and Edioye, 2020)","plainTextFormattedCitation":"(Adetokunbo &amp; Edioye, 2020)","previouslyFormattedCitation":"(Adetokunbo &amp; Edioye, 2020)"},"properties":{"noteIndex":0},"schema":"https://github.com/citation-style-language/schema/raw/master/csl-citation.json"}</w:instrText>
      </w:r>
      <w:r>
        <w:rPr>
          <w:color w:val="000000"/>
        </w:rPr>
        <w:fldChar w:fldCharType="separate"/>
      </w:r>
      <w:r>
        <w:rPr>
          <w:noProof/>
          <w:color w:val="000000"/>
        </w:rPr>
        <w:t>(Adetokunbo and Edioye, 2020)</w:t>
      </w:r>
      <w:r>
        <w:rPr>
          <w:color w:val="000000"/>
        </w:rPr>
        <w:fldChar w:fldCharType="end"/>
      </w:r>
      <w:r>
        <w:rPr>
          <w:color w:val="000000"/>
        </w:rPr>
        <w:t xml:space="preserve">. </w:t>
      </w:r>
    </w:p>
    <w:p w:rsidR="00FA1AC4" w:rsidRDefault="00B11CCA">
      <w:pPr>
        <w:pStyle w:val="Heading2"/>
        <w:numPr>
          <w:ilvl w:val="1"/>
          <w:numId w:val="7"/>
        </w:numPr>
        <w:ind w:left="709"/>
      </w:pPr>
      <w:bookmarkStart w:id="12" w:name="_Toc112342335"/>
      <w:r>
        <w:rPr>
          <w:rStyle w:val="Heading2Char"/>
          <w:b/>
          <w:bCs/>
          <w:iCs/>
        </w:rPr>
        <w:t>Statement of the Research Problem</w:t>
      </w:r>
      <w:bookmarkEnd w:id="12"/>
      <w:r>
        <w:t xml:space="preserve"> </w:t>
      </w:r>
    </w:p>
    <w:p w:rsidR="00FA1AC4" w:rsidRDefault="00B11CCA">
      <w:pPr>
        <w:autoSpaceDE w:val="0"/>
        <w:autoSpaceDN w:val="0"/>
        <w:adjustRightInd w:val="0"/>
        <w:spacing w:after="240"/>
        <w:rPr>
          <w:rFonts w:eastAsia="AdvGulliv-R"/>
        </w:rPr>
      </w:pPr>
      <w:r>
        <w:t>Numerous financial crisis and scandals such as the cases of Enron Inc., Adelphia Communications, WorldCom Inc., Lehman Brothers, Parmalat, Royal Ahold, Tyco International, Global Crossing, Northern Rock, Xerox, Waste Management, Rite Aid, Qwest, HBOS, Freddie Mac, Fanny Mae, Bear sterns</w:t>
      </w:r>
      <w:r>
        <w:rPr>
          <w:rFonts w:eastAsia="AdvGulliv-R"/>
          <w:color w:val="000000"/>
        </w:rPr>
        <w:t xml:space="preserve"> </w:t>
      </w:r>
      <w:r>
        <w:t xml:space="preserve">and Hollinger International have further affirmed weak corporate governance practices in the world </w:t>
      </w:r>
      <w:r>
        <w:fldChar w:fldCharType="begin"/>
      </w:r>
      <w:r>
        <w:instrText>ADDIN CSL_CITATION {"citationItems":[{"id":"ITEM-1","itemData":{"DOI":"10.1016/j.pacfin.2012.12.002","ISSN":"0927538X","abstract":"Policy makers around the world have focused on corporate governance reform since the Asian financial crisis and scandals in the United States such as the Enron debacle. In particular, policy makers have focused on the establishment of independent audit committees to improve investor confidence in reported accounting information. In a sample of East Asian companies, we find that the negative relation between concentrated control and earnings informativeness that was documented prior to the Asian financial crisis persists in a more recent period, even though many corporate governance reforms have been adopted since the crisis to improve financial disclosure. We do, however, find that earnings informativeness is strengthened by both fully independent audit committees and audit committees with a majority of independent directors with accounting financial or legal expertise. In addition, the increased reliability that is associated with these audit committee characteristics appears to more than offset the detrimental effect that is associated with concentrated control. The results in this paper suggest that an emphasis on audit committee independence alone may not be enough to enhance earnings informativeness. Instead, focusing on both complete independence and the financial or legal expertise of independent directors who are appointed to the audit committee may be a more fruitful way to increase investor confidence in accounting information, especially when ownership is concentrated. © 2012 Elsevier B.V.","author":[{"dropping-particle":"","family":"Woidtke","given":"Tracie","non-dropping-particle":"","parse-names":false,"suffix":""},{"dropping-particle":"","family":"Yeh","given":"Yin Hua","non-dropping-particle":"","parse-names":false,"suffix":""}],"container-title":"Pacific Basin Finance Journal","id":"ITEM-1","issued":{"date-parts":[["2013"]]},"page":"1-24","title":"The role of the audit committee and the informativeness of accounting earnings in East Asia","type":"article-journal","volume":"23"},"uris":["http://www.mendeley.com/documents/?uuid=fa97ad66-a2da-4c64-9245-39fc02a7ca18"]},{"id":"ITEM-2","itemData":{"DOI":"10.1016/j.emj.2019.01.005","ISSN":"02632373","abstract":"Research on corporate reputation has generally argued that reputational risk, or risk of reputation loss, stems from all company risks. As companies use enterprise risk management (ERM) systems to manage all their risks, we analyse the effect of ERM system quality on corporate reputation. Furthermore, as audit committees are in charge of supervising ERM systems, we analyse the effect of audit committee characteristics (i.e. independence and independent members' knowledge and diligence) on corporate reputation through their effect on ERM system quality. Our results for a sample of listed Spanish firms support consultants’ arguments that ERM system is a useful tool for managing corporate reputation. Our results also show that audit committee independence improves corporate reputation through the ERM system. Finally, our findings also reveal a positive relationship between the average educational level of independent directors of the audit committee and ERM system quality. These results provide evidence that ERM systems are platforms to manage corporate reputations and suggest the importance of the audit committee as a supervisor of ERM system and as guarantor of corporate reputation.","author":[{"dropping-particle":"","family":"Pérez-Cornejo","given":"Clara","non-dropping-particle":"","parse-names":false,"suffix":""},{"dropping-particle":"","family":"Quevedo-Puente","given":"Esther","non-dropping-particle":"de","parse-names":false,"suffix":""},{"dropping-particle":"","family":"Delgado-García","given":"Juan Bautista","non-dropping-particle":"","parse-names":false,"suffix":""}],"container-title":"European Management Journal","id":"ITEM-2","issue":"4","issued":{"date-parts":[["2019","8"]]},"page":"505-515","title":"How to manage corporate reputation? The effect of enterprise risk management systems and audit committees on corporate reputation","type":"article-journal","volume":"37"},"uris":["http://www.mendeley.com/documents/?uuid=c655c746-b228-455a-9888-b0f6a6703111"]}],"mendeley":{"formattedCitation":"(Pérez-Cornejo et al., 2019; Woidtke &amp; Yeh, 2013)","manualFormatting":"(Woidtke and Yeh, 2013;","plainTextFormattedCitation":"(Pérez-Cornejo et al., 2019; Woidtke &amp; Yeh, 2013)","previouslyFormattedCitation":"(Pérez-Cornejo et al., 2019; Woidtke &amp; Yeh, 2013)"},"properties":{"noteIndex":0},"schema":"https://github.com/citation-style-language/schema/raw/master/csl-citation.json"}</w:instrText>
      </w:r>
      <w:r>
        <w:fldChar w:fldCharType="separate"/>
      </w:r>
      <w:r>
        <w:rPr>
          <w:noProof/>
        </w:rPr>
        <w:t>(Woidtke and Yeh, 2013;</w:t>
      </w:r>
      <w:r>
        <w:fldChar w:fldCharType="end"/>
      </w:r>
      <w:r>
        <w:t xml:space="preserve"> </w:t>
      </w:r>
      <w:r>
        <w:fldChar w:fldCharType="begin"/>
      </w:r>
      <w:r>
        <w:instrText>ADDIN CSL_CITATION {"citationItems":[{"id":"ITEM-1","itemData":{"DOI":"10.22201/fca.24488410e.2006.579","ISSN":"0186-1042","abstract":"&lt;p&gt;Recent collapses of high profile business failures like Enron, Worldcom, Parmlat, and Tyco has been a subject of great debate among regulators, investors, government and academics in the recent past. Enron´s case was the greatest failure in the history of American capitalism and had a major impact on financial markets by causing significant losses to investors. Enron was a company ranked by fortune as the most innovative company in the United States; it exemplified the transition from the production to the knowledge economy. Many lessons can we learn from its collapse. In this paper we present an analysis of the factors that contributed to Enron´s rise and failure, underlying the role that energy deregulation and manipulation of financial stat.&lt;/p&gt;","author":[{"dropping-particle":"","family":"Cabello","given":"Alejandra","non-dropping-particle":"","parse-names":false,"suffix":""},{"dropping-particle":"","family":"Moncarz","given":"Elisa","non-dropping-particle":"","parse-names":false,"suffix":""},{"dropping-particle":"","family":"Moncarz","given":"Raúl","non-dropping-particle":"","parse-names":false,"suffix":""},{"dropping-particle":"","family":"Moncarz","given":"Benjamin","non-dropping-particle":"","parse-names":false,"suffix":""}],"container-title":"Contaduría y Administración","id":"ITEM-1","issue":"218","issued":{"date-parts":[["2009"]]},"title":"The rise and collapse of Enron: financial innovation, errors and lessons","type":"article-journal"},"uris":["http://www.mendeley.com/documents/?uuid=9cad8afc-939f-4174-b882-7fb814b91221"]}],"mendeley":{"formattedCitation":"(Cabello et al., 2009)","manualFormatting":"Cabello, Moncarz, Moncarz and Moncarz, 2009","plainTextFormattedCitation":"(Cabello et al., 2009)","previouslyFormattedCitation":"(Cabello et al., 2009)"},"properties":{"noteIndex":0},"schema":"https://github.com/citation-style-language/schema/raw/master/csl-citation.json"}</w:instrText>
      </w:r>
      <w:r>
        <w:fldChar w:fldCharType="separate"/>
      </w:r>
      <w:r>
        <w:rPr>
          <w:noProof/>
        </w:rPr>
        <w:t>Cabello, Moncarz, Moncarz and Moncarz, 2009</w:t>
      </w:r>
      <w:r>
        <w:fldChar w:fldCharType="end"/>
      </w:r>
      <w:r>
        <w:t>;</w:t>
      </w:r>
      <w:r>
        <w:fldChar w:fldCharType="begin"/>
      </w:r>
      <w:r>
        <w:instrText>ADDIN CSL_CITATION {"citationItems":[{"id":"ITEM-1","itemData":{"DOI":"10.1016/j.emj.2019.01.005","ISSN":"02632373","abstract":"Research on corporate reputation has generally argued that reputational risk, or risk of reputation loss, stems from all company risks. As companies use enterprise risk management (ERM) systems to manage all their risks, we analyse the effect of ERM system quality on corporate reputation. Furthermore, as audit committees are in charge of supervising ERM systems, we analyse the effect of audit committee characteristics (i.e. independence and independent members' knowledge and diligence) on corporate reputation through their effect on ERM system quality. Our results for a sample of listed Spanish firms support consultants’ arguments that ERM system is a useful tool for managing corporate reputation. Our results also show that audit committee independence improves corporate reputation through the ERM system. Finally, our findings also reveal a positive relationship between the average educational level of independent directors of the audit committee and ERM system quality. These results provide evidence that ERM systems are platforms to manage corporate reputations and suggest the importance of the audit committee as a supervisor of ERM system and as guarantor of corporate reputation.","author":[{"dropping-particle":"","family":"Pérez-Cornejo","given":"Clara","non-dropping-particle":"","parse-names":false,"suffix":""},{"dropping-particle":"","family":"Quevedo-Puente","given":"Esther","non-dropping-particle":"de","parse-names":false,"suffix":""},{"dropping-particle":"","family":"Delgado-García","given":"Juan Bautista","non-dropping-particle":"","parse-names":false,"suffix":""}],"container-title":"European Management Journal","id":"ITEM-1","issue":"4","issued":{"date-parts":[["2019","8"]]},"page":"505-515","title":"How to manage corporate reputation? The effect of enterprise risk management systems and audit committees on corporate reputation","type":"article-journal","volume":"37"},"uris":["http://www.mendeley.com/documents/?uuid=c655c746-b228-455a-9888-b0f6a6703111"]}],"mendeley":{"formattedCitation":"(Pérez-Cornejo et al., 2019)","manualFormatting":" Pérez-Cornejo, de Quevedo-Puente and Delgado-Garcia, 2019","plainTextFormattedCitation":"(Pérez-Cornejo et al., 2019)","previouslyFormattedCitation":"(Pérez-Cornejo et al., 2019)"},"properties":{"noteIndex":0},"schema":"https://github.com/citation-style-language/schema/raw/master/csl-citation.json"}</w:instrText>
      </w:r>
      <w:r>
        <w:fldChar w:fldCharType="end"/>
      </w:r>
      <w:r>
        <w:t xml:space="preserve"> </w:t>
      </w:r>
      <w:r>
        <w:fldChar w:fldCharType="begin"/>
      </w:r>
      <w:r>
        <w:instrText>ADDIN CSL_CITATION {"citationItems":[{"id":"ITEM-1","itemData":{"DOI":"10.1016/j.matpr.2021.04.226","ISSN":"22147853","abstract":"The study aimed to clarify the effect of the existing relationship between auditing quality determinants, which were represented in the bank's size subject to auditing, wages, size and age of the audit offices, and financial performance indicators such as return on stocks, ownership percentage and trading ratio. The study sample has taken (9) Iraqi banks operating in the Iraq Stock Exchange for the period from 2012 to 2018, With a total of (63) questionnaire, which were sufficient to apply the method of panel data, and through the comparison in the analysis process between each of the aggregate regression model and the fixed or random effects model. The comparison between these models was based on the Haussmann test to determine the best model in the analysis process. The most important results of the study nevertheless were a direct relationship to the variable of bank size subject to auditing and the financial performance indicators, the inverse relationship of the variable of audit services fees with financial indicators, and the absence of any significant impact for each of the size &amp; age of the audit offices. The study recommended the necessity of having officially disclosed financial reports for the audit services offices in the Iraqi business environment. Plus, the need of legal and legislative system that obliges the audit services offices to be adhere with.","author":[{"dropping-particle":"","family":"Mushrif Rashid","given":"Ahmed","non-dropping-particle":"","parse-names":false,"suffix":""},{"dropping-particle":"","family":"Jasim","given":"Sinan R.","non-dropping-particle":"","parse-names":false,"suffix":""},{"dropping-particle":"","family":"Fadhil Saleh","given":"Ahmed","non-dropping-particle":"","parse-names":false,"suffix":""}],"container-title":"Materials Today: Proceedings","id":"ITEM-1","issue":"In Press","issued":{"date-parts":[["2021","5"]]},"title":"An auditing quality determinants and their impact on Iraqi commercial banks financial performance (an applied study on a sample of nine banks from 2012 to 2018)","type":"article-journal"},"uris":["http://www.mendeley.com/documents/?uuid=39aec869-62f8-49f2-9195-7c90f4713201"]}],"mendeley":{"formattedCitation":"(Mushrif Rashid et al., 2021)","manualFormatting":"Mushrif Rashid, Jasmin and Fadhil, 2021; ","plainTextFormattedCitation":"(Mushrif Rashid et al., 2021)","previouslyFormattedCitation":"(Mushrif Rashid et al., 2021)"},"properties":{"noteIndex":0},"schema":"https://github.com/citation-style-language/schema/raw/master/csl-citation.json"}</w:instrText>
      </w:r>
      <w:r>
        <w:fldChar w:fldCharType="separate"/>
      </w:r>
      <w:r>
        <w:rPr>
          <w:noProof/>
        </w:rPr>
        <w:t xml:space="preserve">Mushrif Rashid, Jasmin and Fadhil, 2021; </w:t>
      </w:r>
      <w:r>
        <w:fldChar w:fldCharType="end"/>
      </w:r>
      <w:r>
        <w:fldChar w:fldCharType="begin"/>
      </w:r>
      <w:r>
        <w:instrText>ADDIN CSL_CITATION {"citationItems":[{"id":"ITEM-1","itemData":{"DOI":"10.3390/jrfm14060273","ISSN":"1911-8074","abstract":"This study explores the relationship between audit committee characteristics and accounting information quality by justifying the role of the internal information environment and political connections under the theocracy state of Iran with syncretic politics. Using panel data of 558 firms from the Tehran Stock Exchange (TSE) for 2011–2016, we rank firms using Technique for Order Preference by Similarity to Ideal Solution (TOPSIS) and entropy method for determination of the weight of evaluating indicators. The firms are positioned into high- to low-level political connections, and two proxies for audit committee characteristics are used: independence of audit committee and financial knowledge. Furthermore, three proxies are used for an internal information environment: earning announcement speed, the accuracy of earning forecasting and lack of financial restatements. Our findings show that there is a significant and positive relationship between the audit committee and financial information quality characteristics in high-level political connections, as well as between financial knowledge and financial information quality. Furthermore, the findings of this study suggest that the application of political economy theories could be appropriate for more inquiry.","author":[{"dropping-particle":"","family":"Namakavarani","given":"Omid Mehri","non-dropping-particle":"","parse-names":false,"suffix":""},{"dropping-particle":"","family":"Daryaei","given":"Abbas Ali","non-dropping-particle":"","parse-names":false,"suffix":""},{"dropping-particle":"","family":"Askarany","given":"Davood","non-dropping-particle":"","parse-names":false,"suffix":""},{"dropping-particle":"","family":"Askary","given":"Saeed","non-dropping-particle":"","parse-names":false,"suffix":""}],"container-title":"Journal of Risk and Financial Management","id":"ITEM-1","issue":"6","issued":{"date-parts":[["2021"]]},"page":"273","title":"Audit Committee Characteristics and Quality of Financial Information: The Role of the Internal Information Environment and Political Connections","type":"article-journal","volume":"14"},"uris":["http://www.mendeley.com/documents/?uuid=49003c79-3507-4133-a355-c155cfc816b4"]}],"mendeley":{"formattedCitation":"(Namakavarani et al., 2021)","manualFormatting":"Namakavarani, Daryaei, Askarany and Askary, 2021)","plainTextFormattedCitation":"(Namakavarani et al., 2021)","previouslyFormattedCitation":"(Namakavarani et al., 2021)"},"properties":{"noteIndex":0},"schema":"https://github.com/citation-style-language/schema/raw/master/csl-citation.json"}</w:instrText>
      </w:r>
      <w:r>
        <w:fldChar w:fldCharType="separate"/>
      </w:r>
      <w:r>
        <w:rPr>
          <w:noProof/>
        </w:rPr>
        <w:t>Namakavarani, Daryaei, Askarany and Askary, 2021)</w:t>
      </w:r>
      <w:r>
        <w:fldChar w:fldCharType="end"/>
      </w:r>
      <w:r>
        <w:t xml:space="preserve">. Unfortunately, a number of more recent exposes in other multibillion-dollar firms have added to the list of corrupt corporations: America International Group (AIG), Countrywide Financial, Collins and Aikman, Delphi, Computer Sciences, Dell, Toshiba, Monsanto, and Nissan </w:t>
      </w:r>
      <w:r>
        <w:fldChar w:fldCharType="begin"/>
      </w:r>
      <w:r>
        <w:instrText>ADDIN CSL_CITATION {"citationItems":[{"id":"ITEM-1","itemData":{"DOI":"10.1016/j.jcorpfin.2020.101854","ISSN":"09291199","abstract":"Financial corruption has an extensive adverse impact on corporate stakeholders. Over the last two decades, numerous prescriptions have been offered to improve the governance of US public firms, yet financial corruption is still prevalent. Board of directors' audit committees are typically charged with the responsibility of assuring that the corporation's financial reports satisfy the criterion of accuracy. We propose that a quad-qualified audit committee director can serve as an exemplar corporate overseer of financial reporting and minimize the likelihood of corruption. We predict that by having the qualifications of independence, directorship experience and financial expertise, bandwidth, and stock ownership, the effectiveness of monitoring financial reporting by such a director will be considerably enhanced, thus complementing the benefits of the US Sarbanes-Oxley Act (SOX) enacted in 2002. To test our predictions, we employed a time-lagged, matched-pairs sample of 328 large US corporations (164 financially corrupt firms plus a comparison group of 164 compliant firms). Controlling for covariates, we found that the presence of a quad-qualified audit committee director reduced the likelihood of financial corruption in a public firm by 72%. Combined with the benefits from SOX, having at least one quad-qualified audit committee director decreased the probability of financial corruption by 92%. Our results also show that having just one quad-qualified audit committee director is more effective than the combination of the individual qualifications dispersed among the committee members.","author":[{"dropping-particle":"","family":"Gorshunov","given":"Mikhail A.","non-dropping-particle":"","parse-names":false,"suffix":""},{"dropping-particle":"","family":"Armenakis","given":"Achilles A.","non-dropping-particle":"","parse-names":false,"suffix":""},{"dropping-particle":"","family":"Harris","given":"Stanley G.","non-dropping-particle":"","parse-names":false,"suffix":""},{"dropping-particle":"","family":"Walker","given":"H. Jack","non-dropping-particle":"","parse-names":false,"suffix":""}],"container-title":"Journal of Corporate Finance","id":"ITEM-1","issue":"June 2020","issued":{"date-parts":[["2021"]]},"page":"101854","publisher":"Elsevier B.V.","title":"Quad-qualified audit committee director: Implications for monitoring and reducing financial corruption","type":"article-journal","volume":"66"},"uris":["http://www.mendeley.com/documents/?uuid=d3171162-52e6-4bdd-afd6-2ab3af807700"]}],"mendeley":{"formattedCitation":"(Gorshunov et al., 2021)","manualFormatting":"(Gorshunov, Armenakis, Harris and Walker, 2021)","plainTextFormattedCitation":"(Gorshunov et al., 2021)","previouslyFormattedCitation":"(Gorshunov et al., 2021)"},"properties":{"noteIndex":0},"schema":"https://github.com/citation-style-language/schema/raw/master/csl-citation.json"}</w:instrText>
      </w:r>
      <w:r>
        <w:fldChar w:fldCharType="separate"/>
      </w:r>
      <w:r>
        <w:rPr>
          <w:noProof/>
        </w:rPr>
        <w:t>(Gorshunov, Armenakis, Harris and Walker, 2021)</w:t>
      </w:r>
      <w:r>
        <w:fldChar w:fldCharType="end"/>
      </w:r>
      <w:r>
        <w:t xml:space="preserve">. </w:t>
      </w:r>
    </w:p>
    <w:p w:rsidR="00FA1AC4" w:rsidRDefault="00B11CCA">
      <w:pPr>
        <w:spacing w:after="240"/>
      </w:pPr>
      <w:r>
        <w:t xml:space="preserve">Incidences of fraudulent financial reporting in Nigeria cut across both private and public organizations such as the Oceanic bank Plc., Intercontinental Bank Plc of Nigeria, Afri </w:t>
      </w:r>
      <w:r>
        <w:lastRenderedPageBreak/>
        <w:t xml:space="preserve">Bank Plc of Nigeria, Union Bank Plc, Fin bank Plc, NITEL, Nigeria Railway Corporation, Power Holding Company of Nigeria, Ajaokuta Steel Complex, Nigeria Air ways, Albarka Air, Transcorp, Cadbury (Nig.) Plc., Lever brothers (Nig.) Plc, Diamond bank  and fuel subsidy scam have also remained a reference point and have weakened the confidence of investors, managers, legislators, and standards setters’ in financial reporting system </w:t>
      </w:r>
      <w:r>
        <w:fldChar w:fldCharType="begin"/>
      </w:r>
      <w:r>
        <w:instrText>ADDIN CSL_CITATION {"citationItems":[{"id":"ITEM-1","itemData":{"author":[{"dropping-particle":"","family":"Nuhu","given":"Muhammad Shaheer.","non-dropping-particle":"","parse-names":false,"suffix":""},{"dropping-particle":"","family":"Umaru","given":"Suleiman Yahya.","non-dropping-particle":"","parse-names":false,"suffix":""},{"dropping-particle":"","family":"Salisu","given":"Sani.","non-dropping-particle":"","parse-names":false,"suffix":""}],"container-title":"International Journal of Business and Management Invention","id":"ITEM-1","issue":"9","issued":{"date-parts":[["2017"]]},"page":"32-40","title":"The Effect of Audit Committee’s Quality on the Financial Performance of Food and Beverages Industry in Nigeria","type":"article-journal","volume":"6"},"uris":["http://www.mendeley.com/documents/?uuid=c10742a7-0930-449c-8108-f1d3932cbe2c"]}],"mendeley":{"formattedCitation":"(Nuhu et al., 2017)","manualFormatting":"(Nuhu, Umaru and Salisu, 2017;","plainTextFormattedCitation":"(Nuhu et al., 2017)","previouslyFormattedCitation":"(Nuhu et al., 2017)"},"properties":{"noteIndex":0},"schema":"https://github.com/citation-style-language/schema/raw/master/csl-citation.json"}</w:instrText>
      </w:r>
      <w:r>
        <w:fldChar w:fldCharType="separate"/>
      </w:r>
      <w:r>
        <w:rPr>
          <w:noProof/>
        </w:rPr>
        <w:t>(Nuhu, Umaru and Salisu, 2017;</w:t>
      </w:r>
      <w:r>
        <w:fldChar w:fldCharType="end"/>
      </w:r>
      <w:r>
        <w:t xml:space="preserve"> </w:t>
      </w:r>
      <w:r>
        <w:fldChar w:fldCharType="begin"/>
      </w:r>
      <w:r>
        <w:instrText>ADDIN CSL_CITATION {"citationItems":[{"id":"ITEM-1","itemData":{"author":[{"dropping-particle":"","family":"Aanu","given":"Ojeka Stephen","non-dropping-particle":"","parse-names":false,"suffix":""}],"container-title":"Journal of Internet Banking and Commerce","id":"ITEM-1","issue":"3","issued":{"date-parts":[["2017"]]},"page":"1-18","title":"Examining the Quality of Financial Reporting in the Banking Sector in Nigeria: Does Audit Committee Accounting Expertise","type":"article-journal","volume":"21"},"uris":["http://www.mendeley.com/documents/?uuid=d467ee52-5cf9-4936-9861-57129032a5e1"]}],"mendeley":{"formattedCitation":"(Aanu, 2017)","manualFormatting":"Aanu, 2017","plainTextFormattedCitation":"(Aanu, 2017)","previouslyFormattedCitation":"(Aanu, 2017)"},"properties":{"noteIndex":0},"schema":"https://github.com/citation-style-language/schema/raw/master/csl-citation.json"}</w:instrText>
      </w:r>
      <w:r>
        <w:fldChar w:fldCharType="separate"/>
      </w:r>
      <w:r>
        <w:rPr>
          <w:noProof/>
        </w:rPr>
        <w:t>Aanu, 2017</w:t>
      </w:r>
      <w:r>
        <w:fldChar w:fldCharType="end"/>
      </w:r>
      <w:r>
        <w:t xml:space="preserve">; </w:t>
      </w:r>
      <w:r>
        <w:fldChar w:fldCharType="begin"/>
      </w:r>
      <w:r>
        <w:instrText>ADDIN CSL_CITATION {"citationItems":[{"id":"ITEM-1","itemData":{"DOI":"10.9790/5933-0901046067","ISSN":"18577881","abstract":"This study examines the effect of audit committee tenure on financial reporting quality of listed deposit money banks in Nigeria. The study uses panel data obtained from the Nigerian Stock Exchange factbooks and the financial statements of 14 listed deposit money banks over a period of 10 years (2007-2016). The study uses cross sectional and time series research design. Financial reporting quality was measured using the modified Jones (1991) model and changes in working capital model, while audit committee tenure was measured as the mean tenure of audit committee members. The data was analyzed using descriptive (mean, standard deviation, minimum and maximum) and inferential statistics (correlation and regression analysis). The study reveals that audit committee tenure has a negative and insignificant effect on financial reporting quality under the two models. The implication of these results is that the tenure of audit committee members is not important when considering the financial reporting quality of deposit money banks in Nigeria. The study therefore concludes that the effect of audit committee tenure on financial reporting quality of deposit money banks in Nigeria is negative and insignificant. Based on this conclusion, the study recommends that further research should be conducted on other audit committee attributes in order to see which of the attributes may have significant effect on financial reporting quality.","author":[{"dropping-particle":"","family":"Onyabe","given":"Joseph Majiyebo","non-dropping-particle":"","parse-names":false,"suffix":""},{"dropping-particle":"","family":"Okpanachi","given":"Joshua","non-dropping-particle":"","parse-names":false,"suffix":""},{"dropping-particle":"","family":"Nyor","given":"Terzungwe","non-dropping-particle":"","parse-names":false,"suffix":""},{"dropping-particle":"","family":"Yahaya","given":"Onipe Adabenege","non-dropping-particle":"","parse-names":false,"suffix":""},{"dropping-particle":"","family":"Ahmed","given":"Mohammed","non-dropping-particle":"","parse-names":false,"suffix":""}],"container-title":"IOSR Journal of Economics and Finance","id":"ITEM-1","issue":"1","issued":{"date-parts":[["2018"]]},"page":"60-67","title":"Audit Committee Meeting, Expertise and Financial Reporting Quality of Listed Deposit Money Banks in Nigeria","type":"article-journal","volume":"9"},"uris":["http://www.mendeley.com/documents/?uuid=88ee72da-d8a1-42fc-b568-a5fdbfc8e19b"]}],"mendeley":{"formattedCitation":"(Onyabe, Okpanachi, Nyor, et al., 2018a)","manualFormatting":"Onyabe, Okpanachi, Nyor, Yahaya and Ahmed, 2018)","plainTextFormattedCitation":"(Onyabe, Okpanachi, Nyor, et al., 2018a)","previouslyFormattedCitation":"(Onyabe, Okpanachi, Nyor, et al., 2018a)"},"properties":{"noteIndex":0},"schema":"https://github.com/citation-style-language/schema/raw/master/csl-citation.json"}</w:instrText>
      </w:r>
      <w:r>
        <w:fldChar w:fldCharType="separate"/>
      </w:r>
      <w:r>
        <w:rPr>
          <w:noProof/>
        </w:rPr>
        <w:t>Onyabe, Okpanachi, Nyor, Yahaya and Ahmed, 2018)</w:t>
      </w:r>
      <w:r>
        <w:fldChar w:fldCharType="end"/>
      </w:r>
      <w:r>
        <w:t xml:space="preserve">. The effects of these scandals include huge financial loss, dent on the reputation of the victims’ organization, loss of confidence in the capital market among others. Also, investors, particularly in the banking sector, appear to have lost trust in management's capacity to adhere rigidly to corporate governance principles and protect shareholders' cash. </w:t>
      </w:r>
    </w:p>
    <w:p w:rsidR="00FA1AC4" w:rsidRDefault="00B11CCA">
      <w:pPr>
        <w:spacing w:after="240"/>
      </w:pPr>
      <w:r>
        <w:t xml:space="preserve">Therefore, a strong corporate governance is important to the survival and quality financial reporting of organizations both internationally and locally. This is because these incidents testify to the audit committee's incapacity to effectively review the financial statements of the firms in question and assure compliance with corporate governance norms which made policymakers around the world to concentrate on corporate governance reform.  As a result, regulatory agencies have been tasked with devising measures aimed at preventing future scandals and rebuilding public trust in financial markets </w:t>
      </w:r>
      <w:r>
        <w:fldChar w:fldCharType="begin"/>
      </w:r>
      <w:r>
        <w:instrText>ADDIN CSL_CITATION {"citationItems":[{"id":"ITEM-1","itemData":{"DOI":"10.1016/j.jbusres.2017.11.048","ISBN":"2013110111","ISSN":"01482963","abstract":"Since the implementation of the Sarbanes–Oxley Act (SOX), a plethora of research has examined financial experts’ monitoring on audit committees of financial reporting quality. However, the literature has found mixed evidence. This present study's objective is to reconcile through meta-analysis the results of 90 studies with 165,529 firm-year observations concerning the relationship between audit committee financial expertise and earnings quality. The results show that audit committee financial expertise has a positive relationship with earnings quality and that accounting financial experts have a stronger relationship with earnings quality than non-accounting financial experts. Moreover, corporate governance systems, International Financial Reporting Standards (IFRS), and SOX moderate the relationship between audit committee financial expertise and earnings quality. Additional moderators of this relationship are different proxies of earnings quality and audit committee financial expertise, financial experts’ independence and busyness, the external auditor's role, and publication quality. This study provides implications for regulators in terms of tightening the definition of audit committee financial expert and the need for at least two financial experts. Further, the study identifies opportunities for future research. Specifically, we provide suggestions for the improvement of financial experts’ effectiveness and the expansion of existing research. We also highlight emerging research areas.","author":[{"dropping-particle":"","family":"Bilal","given":"","non-dropping-particle":"","parse-names":false,"suffix":""},{"dropping-particle":"","family":"Chen","given":"Songsheng","non-dropping-particle":"","parse-names":false,"suffix":""},{"dropping-particle":"","family":"Komal","given":"Bushra","non-dropping-particle":"","parse-names":false,"suffix":""}],"container-title":"Journal of Business Research","id":"ITEM-1","issue":"November 2017","issued":{"date-parts":[["2018"]]},"page":"253-270","title":"Audit committee financial expertise and earnings quality: A meta-analysis","type":"article-journal","volume":"84"},"uris":["http://www.mendeley.com/documents/?uuid=b0be427a-cb6a-42bc-8ee1-48601c45164c"]}],"mendeley":{"formattedCitation":"(Bilal et al., 2018)","manualFormatting":"(Bilal, Chen and Komal, 2018)","plainTextFormattedCitation":"(Bilal et al., 2018)","previouslyFormattedCitation":"(Bilal et al., 2018)"},"properties":{"noteIndex":0},"schema":"https://github.com/citation-style-language/schema/raw/master/csl-citation.json"}</w:instrText>
      </w:r>
      <w:r>
        <w:fldChar w:fldCharType="separate"/>
      </w:r>
      <w:r>
        <w:rPr>
          <w:noProof/>
        </w:rPr>
        <w:t>(Bilal, Chen and Komal, 2018)</w:t>
      </w:r>
      <w:r>
        <w:fldChar w:fldCharType="end"/>
      </w:r>
      <w:r>
        <w:t xml:space="preserve">. In addition, significant audit committee quality is required to improve the quality of a company's financial reporting. </w:t>
      </w:r>
      <w:r>
        <w:rPr>
          <w:rFonts w:eastAsia="AdvGulliv-R"/>
          <w:color w:val="000000"/>
        </w:rPr>
        <w:t xml:space="preserve">As a way of curbing corruption and unethical practices that usually lead to corporate failure, </w:t>
      </w:r>
      <w:r>
        <w:rPr>
          <w:color w:val="000000"/>
        </w:rPr>
        <w:t xml:space="preserve">the Nigerian Financial Reporting Council (NFRC) is operating on a sole corporate governance code for the country, however the Nigerian Code </w:t>
      </w:r>
      <w:r>
        <w:rPr>
          <w:color w:val="000000"/>
        </w:rPr>
        <w:lastRenderedPageBreak/>
        <w:t>of Corporate Governance 2018 attempts to establish corporate governance best practices for her organizations. Since effective corporate governance is beneficial to business and can help Nigerian companies attract investment overseas. Although, this can only be possible when investors have faith and confidence in Nigeria's legal system and its ability to safeguard minority interests</w:t>
      </w:r>
      <w:r>
        <w:t xml:space="preserve">. </w:t>
      </w:r>
    </w:p>
    <w:p w:rsidR="00FA1AC4" w:rsidRDefault="00B11CCA">
      <w:pPr>
        <w:spacing w:after="240"/>
        <w:rPr>
          <w:rFonts w:eastAsia="Times New Roman"/>
          <w:lang w:eastAsia="en-GB"/>
        </w:rPr>
      </w:pPr>
      <w:r>
        <w:t>The code's goal is to provide a globally recognized internal control framework for organizations reporting in Nigeria, because proper internal control systems can lead to a better reporting process and, as a result, more reliable and timely reports, which increases management responsibility</w:t>
      </w:r>
      <w:r>
        <w:rPr>
          <w:shd w:val="clear" w:color="auto" w:fill="FFFFFF"/>
        </w:rPr>
        <w:t xml:space="preserve"> </w:t>
      </w:r>
      <w:r>
        <w:rPr>
          <w:color w:val="000000"/>
        </w:rPr>
        <w:fldChar w:fldCharType="begin"/>
      </w:r>
      <w:r>
        <w:rPr>
          <w:color w:val="000000"/>
        </w:rPr>
        <w:instrText>ADDIN CSL_CITATION {"citationItems":[{"id":"ITEM-1","itemData":{"author":[{"dropping-particle":"","family":"Ozili","given":"Peterson K","non-dropping-particle":"","parse-names":false,"suffix":""}],"container-title":"Munich Personal RePEc Archive","id":"ITEM-1","issue":"35853","issued":{"date-parts":[["2020"]]},"title":"Corporate governance research in Nigeria: a review","type":"article-journal"},"uris":["http://www.mendeley.com/documents/?uuid=76e743a5-77a8-4fe3-a323-8488eb722ed5"]}],"mendeley":{"formattedCitation":"(Ozili, 2020)","plainTextFormattedCitation":"(Ozili, 2020)","previouslyFormattedCitation":"(Ozili, 2020)"},"properties":{"noteIndex":0},"schema":"https://github.com/citation-style-language/schema/raw/master/csl-citation.json"}</w:instrText>
      </w:r>
      <w:r>
        <w:rPr>
          <w:color w:val="000000"/>
        </w:rPr>
        <w:fldChar w:fldCharType="separate"/>
      </w:r>
      <w:r>
        <w:rPr>
          <w:noProof/>
          <w:color w:val="000000"/>
        </w:rPr>
        <w:t>(Ozili, 2020)</w:t>
      </w:r>
      <w:r>
        <w:rPr>
          <w:color w:val="000000"/>
        </w:rPr>
        <w:fldChar w:fldCharType="end"/>
      </w:r>
      <w:r>
        <w:t xml:space="preserve">. </w:t>
      </w:r>
      <w:r>
        <w:rPr>
          <w:rFonts w:eastAsia="Times New Roman"/>
          <w:lang w:eastAsia="en-GB"/>
        </w:rPr>
        <w:t>Internal controls are all the steps an organization takes to protect its assets from loss resulting from fraud, waste, abuse, mismanagement, and errors. They also ensure that accounting and operational data are accurate and reliable, that its policies are followed, that operations are organized, cost-effective, and efficient, and that laws, regulations, controls, and management directives are followed.</w:t>
      </w:r>
    </w:p>
    <w:p w:rsidR="00FA1AC4" w:rsidRDefault="00B11CCA">
      <w:pPr>
        <w:pStyle w:val="Heading2"/>
        <w:numPr>
          <w:ilvl w:val="0"/>
          <w:numId w:val="0"/>
        </w:numPr>
      </w:pPr>
      <w:bookmarkStart w:id="13" w:name="_Toc112342336"/>
      <w:r>
        <w:t>1.3.</w:t>
      </w:r>
      <w:r>
        <w:tab/>
        <w:t>Research Questions</w:t>
      </w:r>
      <w:bookmarkEnd w:id="13"/>
      <w:r>
        <w:t xml:space="preserve"> </w:t>
      </w:r>
    </w:p>
    <w:p w:rsidR="00FA1AC4" w:rsidRDefault="00B11CCA">
      <w:pPr>
        <w:autoSpaceDE w:val="0"/>
        <w:autoSpaceDN w:val="0"/>
        <w:adjustRightInd w:val="0"/>
      </w:pPr>
      <w:r>
        <w:t>The following research questions would help provide answers to achieve the objectives of this study:</w:t>
      </w:r>
    </w:p>
    <w:p w:rsidR="00FA1AC4" w:rsidRDefault="00B11CCA">
      <w:pPr>
        <w:pStyle w:val="ListParagraph"/>
        <w:numPr>
          <w:ilvl w:val="0"/>
          <w:numId w:val="16"/>
        </w:numPr>
        <w:ind w:left="720" w:hanging="630"/>
      </w:pPr>
      <w:r>
        <w:rPr>
          <w:color w:val="000000"/>
        </w:rPr>
        <w:t xml:space="preserve">What is the effect of audit committee characteristics </w:t>
      </w:r>
      <w:r>
        <w:t xml:space="preserve">on </w:t>
      </w:r>
      <w:r>
        <w:rPr>
          <w:color w:val="000000"/>
        </w:rPr>
        <w:t xml:space="preserve">financial reporting quality </w:t>
      </w:r>
      <w:r>
        <w:t>of listed service firms in Nigeria?</w:t>
      </w:r>
    </w:p>
    <w:p w:rsidR="00FA1AC4" w:rsidRDefault="00B11CCA">
      <w:pPr>
        <w:pStyle w:val="ListParagraph"/>
        <w:numPr>
          <w:ilvl w:val="0"/>
          <w:numId w:val="16"/>
        </w:numPr>
        <w:rPr>
          <w:color w:val="000000"/>
        </w:rPr>
      </w:pPr>
      <w:r>
        <w:rPr>
          <w:color w:val="000000"/>
        </w:rPr>
        <w:t xml:space="preserve">What is the effect of internal control components </w:t>
      </w:r>
      <w:r>
        <w:t xml:space="preserve">on </w:t>
      </w:r>
      <w:r>
        <w:rPr>
          <w:color w:val="000000"/>
        </w:rPr>
        <w:t>financial reporting quality of listed service firms in Nigeria?</w:t>
      </w:r>
    </w:p>
    <w:p w:rsidR="00FA1AC4" w:rsidRDefault="00B11CCA">
      <w:pPr>
        <w:pStyle w:val="ListParagraph"/>
        <w:numPr>
          <w:ilvl w:val="0"/>
          <w:numId w:val="16"/>
        </w:numPr>
        <w:spacing w:after="240"/>
      </w:pPr>
      <w:r>
        <w:rPr>
          <w:color w:val="000000"/>
        </w:rPr>
        <w:t>What is the effect audit committee characteristics</w:t>
      </w:r>
      <w:r>
        <w:t xml:space="preserve"> and </w:t>
      </w:r>
      <w:r>
        <w:rPr>
          <w:color w:val="000000"/>
        </w:rPr>
        <w:t>internal control components</w:t>
      </w:r>
      <w:r>
        <w:t xml:space="preserve"> on </w:t>
      </w:r>
      <w:r>
        <w:rPr>
          <w:color w:val="000000"/>
        </w:rPr>
        <w:t>financial reporting</w:t>
      </w:r>
      <w:r>
        <w:t xml:space="preserve"> quality of listed service firms in Nigeria?</w:t>
      </w:r>
    </w:p>
    <w:p w:rsidR="00FA1AC4" w:rsidRDefault="00B11CCA">
      <w:pPr>
        <w:pStyle w:val="Heading2"/>
        <w:numPr>
          <w:ilvl w:val="1"/>
          <w:numId w:val="5"/>
        </w:numPr>
      </w:pPr>
      <w:bookmarkStart w:id="14" w:name="_Toc112342337"/>
      <w:r>
        <w:lastRenderedPageBreak/>
        <w:t>Objectives of the Study</w:t>
      </w:r>
      <w:bookmarkEnd w:id="14"/>
    </w:p>
    <w:p w:rsidR="00FA1AC4" w:rsidRDefault="00B11CCA">
      <w:pPr>
        <w:rPr>
          <w:color w:val="000000"/>
        </w:rPr>
      </w:pPr>
      <w:r>
        <w:rPr>
          <w:color w:val="000000"/>
        </w:rPr>
        <w:t>The main objective of the study is to examine the relevance of audit committee and internal control on effective financial reporting of listed service firms in Nigeria with the following specific objectives to:</w:t>
      </w:r>
    </w:p>
    <w:p w:rsidR="00FA1AC4" w:rsidRDefault="00B11CCA">
      <w:pPr>
        <w:pStyle w:val="ListParagraph"/>
        <w:numPr>
          <w:ilvl w:val="0"/>
          <w:numId w:val="9"/>
        </w:numPr>
        <w:rPr>
          <w:color w:val="000000"/>
        </w:rPr>
      </w:pPr>
      <w:proofErr w:type="gramStart"/>
      <w:r>
        <w:rPr>
          <w:color w:val="000000"/>
        </w:rPr>
        <w:t>determine</w:t>
      </w:r>
      <w:proofErr w:type="gramEnd"/>
      <w:r>
        <w:rPr>
          <w:color w:val="000000"/>
        </w:rPr>
        <w:t xml:space="preserve"> the effect of audit committee characteristics </w:t>
      </w:r>
      <w:r>
        <w:t xml:space="preserve">on </w:t>
      </w:r>
      <w:r>
        <w:rPr>
          <w:color w:val="000000"/>
        </w:rPr>
        <w:t>financial reporting quality of listed service firms in Nigeria.</w:t>
      </w:r>
    </w:p>
    <w:p w:rsidR="00FA1AC4" w:rsidRDefault="00B11CCA">
      <w:pPr>
        <w:pStyle w:val="ListParagraph"/>
        <w:numPr>
          <w:ilvl w:val="0"/>
          <w:numId w:val="9"/>
        </w:numPr>
        <w:rPr>
          <w:color w:val="000000"/>
        </w:rPr>
      </w:pPr>
      <w:proofErr w:type="gramStart"/>
      <w:r>
        <w:rPr>
          <w:color w:val="000000"/>
        </w:rPr>
        <w:t>determine</w:t>
      </w:r>
      <w:proofErr w:type="gramEnd"/>
      <w:r>
        <w:rPr>
          <w:color w:val="000000"/>
        </w:rPr>
        <w:t xml:space="preserve"> the effect of internal control components on financial reporting quality of listed service firms in Nigeria.</w:t>
      </w:r>
    </w:p>
    <w:p w:rsidR="00FA1AC4" w:rsidRDefault="00B11CCA">
      <w:pPr>
        <w:pStyle w:val="ListParagraph"/>
        <w:numPr>
          <w:ilvl w:val="0"/>
          <w:numId w:val="9"/>
        </w:numPr>
        <w:rPr>
          <w:color w:val="000000"/>
        </w:rPr>
      </w:pPr>
      <w:proofErr w:type="gramStart"/>
      <w:r>
        <w:rPr>
          <w:color w:val="000000"/>
        </w:rPr>
        <w:t>examine</w:t>
      </w:r>
      <w:proofErr w:type="gramEnd"/>
      <w:r>
        <w:rPr>
          <w:color w:val="000000"/>
        </w:rPr>
        <w:t xml:space="preserve"> the effect of audit committee characteristics</w:t>
      </w:r>
      <w:r>
        <w:t xml:space="preserve"> and </w:t>
      </w:r>
      <w:r>
        <w:rPr>
          <w:color w:val="000000"/>
        </w:rPr>
        <w:t>internal control components</w:t>
      </w:r>
      <w:r>
        <w:t xml:space="preserve"> on </w:t>
      </w:r>
      <w:r>
        <w:rPr>
          <w:color w:val="000000"/>
        </w:rPr>
        <w:t>financial reporting</w:t>
      </w:r>
      <w:r>
        <w:t xml:space="preserve"> quality of </w:t>
      </w:r>
      <w:r>
        <w:rPr>
          <w:color w:val="000000"/>
        </w:rPr>
        <w:t>listed service firms in Nigeria. \</w:t>
      </w:r>
    </w:p>
    <w:p w:rsidR="00FA1AC4" w:rsidRDefault="00FA1AC4">
      <w:pPr>
        <w:pStyle w:val="ListParagraph"/>
        <w:rPr>
          <w:color w:val="000000"/>
        </w:rPr>
      </w:pPr>
    </w:p>
    <w:p w:rsidR="00FA1AC4" w:rsidRDefault="00B11CCA">
      <w:pPr>
        <w:pStyle w:val="Heading2"/>
        <w:numPr>
          <w:ilvl w:val="1"/>
          <w:numId w:val="5"/>
        </w:numPr>
      </w:pPr>
      <w:bookmarkStart w:id="15" w:name="_Toc518933055"/>
      <w:bookmarkStart w:id="16" w:name="_Toc524667486"/>
      <w:bookmarkStart w:id="17" w:name="_Toc112342338"/>
      <w:r>
        <w:t>Research Hypotheses</w:t>
      </w:r>
      <w:bookmarkEnd w:id="15"/>
      <w:bookmarkEnd w:id="16"/>
      <w:bookmarkEnd w:id="17"/>
      <w:r>
        <w:t xml:space="preserve"> </w:t>
      </w:r>
    </w:p>
    <w:p w:rsidR="00FA1AC4" w:rsidRDefault="00B11CCA">
      <w:r>
        <w:t xml:space="preserve">Hypotheses used in this study are stated in null form </w:t>
      </w:r>
    </w:p>
    <w:p w:rsidR="00FA1AC4" w:rsidRDefault="00B11CCA">
      <w:pPr>
        <w:ind w:left="360"/>
        <w:rPr>
          <w:color w:val="000000"/>
        </w:rPr>
      </w:pPr>
      <w:r>
        <w:rPr>
          <w:rFonts w:eastAsia="Calibri"/>
        </w:rPr>
        <w:t>H</w:t>
      </w:r>
      <w:r>
        <w:rPr>
          <w:rFonts w:eastAsia="Calibri"/>
          <w:b/>
          <w:bCs/>
          <w:vertAlign w:val="subscript"/>
        </w:rPr>
        <w:t>01</w:t>
      </w:r>
      <w:r>
        <w:rPr>
          <w:rFonts w:eastAsia="Calibri"/>
        </w:rPr>
        <w:t>: A</w:t>
      </w:r>
      <w:r>
        <w:rPr>
          <w:color w:val="000000"/>
        </w:rPr>
        <w:t xml:space="preserve">udit committee characteristics </w:t>
      </w:r>
      <w:r>
        <w:t xml:space="preserve">and </w:t>
      </w:r>
      <w:r>
        <w:rPr>
          <w:color w:val="000000"/>
        </w:rPr>
        <w:t xml:space="preserve">financial reporting quality </w:t>
      </w:r>
      <w:r>
        <w:t>of</w:t>
      </w:r>
      <w:r>
        <w:rPr>
          <w:color w:val="000000"/>
        </w:rPr>
        <w:t xml:space="preserve"> listed service firms in Nigeria is not significant.</w:t>
      </w:r>
    </w:p>
    <w:p w:rsidR="00FA1AC4" w:rsidRDefault="00B11CCA">
      <w:pPr>
        <w:spacing w:after="240"/>
        <w:ind w:left="360"/>
        <w:rPr>
          <w:color w:val="000000"/>
        </w:rPr>
      </w:pPr>
      <w:r>
        <w:rPr>
          <w:rFonts w:eastAsia="Calibri"/>
        </w:rPr>
        <w:t>H</w:t>
      </w:r>
      <w:r>
        <w:rPr>
          <w:rFonts w:eastAsia="Calibri"/>
          <w:b/>
          <w:bCs/>
          <w:vertAlign w:val="subscript"/>
        </w:rPr>
        <w:t>02</w:t>
      </w:r>
      <w:r>
        <w:rPr>
          <w:rFonts w:eastAsia="Calibri"/>
        </w:rPr>
        <w:t>: I</w:t>
      </w:r>
      <w:r>
        <w:rPr>
          <w:color w:val="000000"/>
        </w:rPr>
        <w:t xml:space="preserve">nternal control components </w:t>
      </w:r>
      <w:r>
        <w:t xml:space="preserve">and </w:t>
      </w:r>
      <w:r>
        <w:rPr>
          <w:color w:val="000000"/>
        </w:rPr>
        <w:t>financial reporting quality of listed service firms in Nigeria is not significant.</w:t>
      </w:r>
    </w:p>
    <w:p w:rsidR="00FA1AC4" w:rsidRDefault="00B11CCA">
      <w:pPr>
        <w:pStyle w:val="Heading2"/>
        <w:numPr>
          <w:ilvl w:val="1"/>
          <w:numId w:val="5"/>
        </w:numPr>
      </w:pPr>
      <w:bookmarkStart w:id="18" w:name="_Toc518933056"/>
      <w:bookmarkStart w:id="19" w:name="_Toc524667487"/>
      <w:bookmarkStart w:id="20" w:name="_Toc112342339"/>
      <w:r>
        <w:t>Scope of the Study</w:t>
      </w:r>
      <w:bookmarkEnd w:id="18"/>
      <w:bookmarkEnd w:id="19"/>
      <w:bookmarkEnd w:id="20"/>
      <w:r>
        <w:t xml:space="preserve"> </w:t>
      </w:r>
    </w:p>
    <w:p w:rsidR="00FA1AC4" w:rsidRDefault="00B11CCA">
      <w:pPr>
        <w:spacing w:after="240"/>
      </w:pPr>
      <w:bookmarkStart w:id="21" w:name="_Toc524667488"/>
      <w:bookmarkStart w:id="22" w:name="_Toc518933057"/>
      <w:r>
        <w:t xml:space="preserve">This study only looked at the importance of internal control and the audit committee for quality financial reporting information about listed service companies in Nigeria. Internal control was measured in terms of control activities, risk assessment, monitoring activities, information and communication measured through a questionnaire statement, whereas the </w:t>
      </w:r>
      <w:r>
        <w:lastRenderedPageBreak/>
        <w:t>relevance of the audit committee was measured in terms of frequency of meetings held in a year, number of female members, number of non-executive members, and the total number of members. Accruals were used to gauge how well the financial reporting performed. Additionally, the annual reports of all service companies listed on the Nigerian Stock Exchange between the years 2010 and 2020, in addition to 2009, were utilized as a case study to calculate the changes in sales.</w:t>
      </w:r>
    </w:p>
    <w:p w:rsidR="00FA1AC4" w:rsidRDefault="00B11CCA">
      <w:pPr>
        <w:pStyle w:val="Heading2"/>
        <w:numPr>
          <w:ilvl w:val="1"/>
          <w:numId w:val="5"/>
        </w:numPr>
      </w:pPr>
      <w:bookmarkStart w:id="23" w:name="_Toc112342340"/>
      <w:r>
        <w:t>Significance of the Study</w:t>
      </w:r>
      <w:bookmarkEnd w:id="21"/>
      <w:bookmarkEnd w:id="22"/>
      <w:bookmarkEnd w:id="23"/>
    </w:p>
    <w:p w:rsidR="00FA1AC4" w:rsidRDefault="00B11CCA">
      <w:pPr>
        <w:autoSpaceDE w:val="0"/>
        <w:autoSpaceDN w:val="0"/>
        <w:adjustRightInd w:val="0"/>
        <w:rPr>
          <w:color w:val="000000"/>
        </w:rPr>
      </w:pPr>
      <w:r>
        <w:rPr>
          <w:color w:val="000000"/>
        </w:rPr>
        <w:t>The findings of this study will be of immense benefit to the following:</w:t>
      </w:r>
    </w:p>
    <w:p w:rsidR="00FA1AC4" w:rsidRDefault="00B11CCA">
      <w:pPr>
        <w:autoSpaceDE w:val="0"/>
        <w:autoSpaceDN w:val="0"/>
        <w:adjustRightInd w:val="0"/>
        <w:rPr>
          <w:color w:val="000000"/>
        </w:rPr>
      </w:pPr>
      <w:r>
        <w:rPr>
          <w:b/>
          <w:color w:val="000000"/>
        </w:rPr>
        <w:t>Stakeholders</w:t>
      </w:r>
      <w:r>
        <w:rPr>
          <w:color w:val="000000"/>
        </w:rPr>
        <w:t>: This study shall be of immense benefit to the stakeholders, as it will show how well their interest is represented in the company</w:t>
      </w:r>
    </w:p>
    <w:p w:rsidR="00FA1AC4" w:rsidRDefault="00B11CCA">
      <w:pPr>
        <w:autoSpaceDE w:val="0"/>
        <w:autoSpaceDN w:val="0"/>
        <w:adjustRightInd w:val="0"/>
        <w:rPr>
          <w:color w:val="000000"/>
        </w:rPr>
      </w:pPr>
      <w:r>
        <w:rPr>
          <w:b/>
          <w:color w:val="000000"/>
        </w:rPr>
        <w:t>Academic Community</w:t>
      </w:r>
      <w:r>
        <w:rPr>
          <w:color w:val="000000"/>
        </w:rPr>
        <w:t>: This study will serve as a base for further research in this area as it will reveal how serious those entrusted with public funds are. This research will add to the growing body of knowledge about the impact of audit committee and internal control on financial reporting effectiveness of organizations.</w:t>
      </w:r>
    </w:p>
    <w:p w:rsidR="00FA1AC4" w:rsidRDefault="00B11CCA">
      <w:pPr>
        <w:autoSpaceDE w:val="0"/>
        <w:autoSpaceDN w:val="0"/>
        <w:adjustRightInd w:val="0"/>
        <w:rPr>
          <w:color w:val="000000"/>
        </w:rPr>
      </w:pPr>
      <w:r>
        <w:rPr>
          <w:b/>
          <w:color w:val="000000"/>
        </w:rPr>
        <w:t>The Government</w:t>
      </w:r>
      <w:r>
        <w:rPr>
          <w:color w:val="000000"/>
        </w:rPr>
        <w:t xml:space="preserve">: Timely reported financial statement will help government and ease the difficulties involved in tax assessment </w:t>
      </w:r>
    </w:p>
    <w:p w:rsidR="00FA1AC4" w:rsidRDefault="00B11CCA">
      <w:pPr>
        <w:autoSpaceDE w:val="0"/>
        <w:autoSpaceDN w:val="0"/>
        <w:adjustRightInd w:val="0"/>
        <w:rPr>
          <w:color w:val="000000"/>
        </w:rPr>
      </w:pPr>
      <w:r>
        <w:rPr>
          <w:b/>
          <w:color w:val="000000"/>
        </w:rPr>
        <w:t>Management of companies in this study:</w:t>
      </w:r>
      <w:r>
        <w:rPr>
          <w:color w:val="000000"/>
        </w:rPr>
        <w:t xml:space="preserve"> The management will gain from this study by learning how the audit committee sheds light and seeks to enhance the institutions' financial reporting.</w:t>
      </w:r>
    </w:p>
    <w:p w:rsidR="00FA1AC4" w:rsidRDefault="00B11CCA">
      <w:pPr>
        <w:autoSpaceDE w:val="0"/>
        <w:autoSpaceDN w:val="0"/>
        <w:adjustRightInd w:val="0"/>
        <w:rPr>
          <w:color w:val="000000"/>
        </w:rPr>
      </w:pPr>
      <w:r>
        <w:rPr>
          <w:b/>
          <w:color w:val="000000"/>
        </w:rPr>
        <w:t>Regulators and policymakers</w:t>
      </w:r>
      <w:r>
        <w:rPr>
          <w:color w:val="000000"/>
        </w:rPr>
        <w:t xml:space="preserve">: This study will benefit both regulators and policymakers by providing ways of improving the timeframe for annual report issuance. In other words, </w:t>
      </w:r>
      <w:r>
        <w:rPr>
          <w:color w:val="000000"/>
        </w:rPr>
        <w:lastRenderedPageBreak/>
        <w:t>it lessens the requirement for additional audit time and effort, which shortens the delay in audit reporting.</w:t>
      </w:r>
    </w:p>
    <w:p w:rsidR="00FA1AC4" w:rsidRDefault="00B11CCA">
      <w:pPr>
        <w:autoSpaceDE w:val="0"/>
        <w:autoSpaceDN w:val="0"/>
        <w:adjustRightInd w:val="0"/>
        <w:spacing w:after="240"/>
        <w:rPr>
          <w:sz w:val="26"/>
          <w:szCs w:val="26"/>
        </w:rPr>
      </w:pPr>
      <w:r>
        <w:rPr>
          <w:b/>
          <w:color w:val="000000"/>
        </w:rPr>
        <w:t>Shareholders:</w:t>
      </w:r>
      <w:r>
        <w:rPr>
          <w:color w:val="000000"/>
        </w:rPr>
        <w:t xml:space="preserve"> Timely reported financial statement will help reduce the chances of financial manipulations and makes the report more reliable thereby boosting investor’s confidence. In other words, it will attract investors thereby increasing shareholder’s wealth. </w:t>
      </w:r>
    </w:p>
    <w:p w:rsidR="00FA1AC4" w:rsidRDefault="00FA1AC4">
      <w:pPr>
        <w:rPr>
          <w:b/>
          <w:sz w:val="32"/>
          <w:szCs w:val="32"/>
        </w:rPr>
      </w:pPr>
    </w:p>
    <w:p w:rsidR="006547E7" w:rsidRDefault="006547E7">
      <w:pPr>
        <w:jc w:val="left"/>
        <w:rPr>
          <w:b/>
          <w:sz w:val="32"/>
          <w:szCs w:val="32"/>
        </w:rPr>
        <w:sectPr w:rsidR="006547E7">
          <w:pgSz w:w="12240" w:h="15840"/>
          <w:pgMar w:top="1440" w:right="1440" w:bottom="1440" w:left="1990" w:header="720" w:footer="720" w:gutter="0"/>
          <w:pgNumType w:start="1"/>
          <w:cols w:space="720"/>
          <w:docGrid w:linePitch="360"/>
        </w:sectPr>
      </w:pPr>
    </w:p>
    <w:p w:rsidR="00FA1AC4" w:rsidRDefault="00B11CCA">
      <w:pPr>
        <w:pStyle w:val="Heading1"/>
        <w:spacing w:before="0"/>
      </w:pPr>
      <w:bookmarkStart w:id="24" w:name="_Toc112342341"/>
      <w:r>
        <w:lastRenderedPageBreak/>
        <w:t>CHAPTER TWO</w:t>
      </w:r>
      <w:bookmarkEnd w:id="24"/>
    </w:p>
    <w:p w:rsidR="00FA1AC4" w:rsidRDefault="00B11CCA">
      <w:pPr>
        <w:pStyle w:val="Heading1"/>
        <w:spacing w:after="240" w:line="480" w:lineRule="auto"/>
      </w:pPr>
      <w:bookmarkStart w:id="25" w:name="_Toc112342342"/>
      <w:r>
        <w:t>LITERATURE REVIEW</w:t>
      </w:r>
      <w:bookmarkEnd w:id="25"/>
    </w:p>
    <w:p w:rsidR="00FA1AC4" w:rsidRDefault="00B11CCA">
      <w:pPr>
        <w:pStyle w:val="Heading2"/>
        <w:ind w:left="426"/>
      </w:pPr>
      <w:r>
        <w:t xml:space="preserve"> </w:t>
      </w:r>
      <w:bookmarkStart w:id="26" w:name="_Toc112342343"/>
      <w:r>
        <w:t>Introduction</w:t>
      </w:r>
      <w:bookmarkEnd w:id="26"/>
      <w:r>
        <w:t xml:space="preserve"> </w:t>
      </w:r>
    </w:p>
    <w:p w:rsidR="00FA1AC4" w:rsidRDefault="00B11CCA">
      <w:r>
        <w:t xml:space="preserve">This chapter will be evaluating what has been covered by other researchers and analysts through a literature review. The goal of the review is to gather their perspectives on the subject matter being discussed to identify research lacunas that will be addressed by the </w:t>
      </w:r>
      <w:proofErr w:type="gramStart"/>
      <w:r>
        <w:t>proposed</w:t>
      </w:r>
      <w:proofErr w:type="gramEnd"/>
      <w:r>
        <w:t xml:space="preserve"> study. The study's conceptual, theoretical, and empirical frameworks are all supported by the topics discussed.</w:t>
      </w:r>
    </w:p>
    <w:p w:rsidR="00FA1AC4" w:rsidRDefault="00B11CCA">
      <w:r>
        <w:rPr>
          <w:noProof/>
          <w:lang w:val="en-US"/>
        </w:rPr>
        <mc:AlternateContent>
          <mc:Choice Requires="wpg">
            <w:drawing>
              <wp:anchor distT="0" distB="0" distL="0" distR="0" simplePos="0" relativeHeight="3" behindDoc="0" locked="0" layoutInCell="1" allowOverlap="1">
                <wp:simplePos x="0" y="0"/>
                <wp:positionH relativeFrom="column">
                  <wp:posOffset>-301625</wp:posOffset>
                </wp:positionH>
                <wp:positionV relativeFrom="paragraph">
                  <wp:posOffset>62230</wp:posOffset>
                </wp:positionV>
                <wp:extent cx="6324600" cy="4300220"/>
                <wp:effectExtent l="0" t="0" r="19050" b="24130"/>
                <wp:wrapNone/>
                <wp:docPr id="102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4300220"/>
                          <a:chOff x="-40193" y="0"/>
                          <a:chExt cx="6008895" cy="4300220"/>
                        </a:xfrm>
                      </wpg:grpSpPr>
                      <wps:wsp>
                        <wps:cNvPr id="1" name="Left Arrow 1"/>
                        <wps:cNvSpPr/>
                        <wps:spPr>
                          <a:xfrm>
                            <a:off x="2351314" y="2210637"/>
                            <a:ext cx="259715" cy="48260"/>
                          </a:xfrm>
                          <a:prstGeom prst="leftArrow">
                            <a:avLst/>
                          </a:prstGeom>
                          <a:solidFill>
                            <a:srgbClr val="5B9BD5"/>
                          </a:solidFill>
                          <a:ln w="12700" cap="flat" cmpd="sng">
                            <a:solidFill>
                              <a:srgbClr val="42719B"/>
                            </a:solidFill>
                            <a:prstDash val="solid"/>
                            <a:miter/>
                            <a:headEnd type="none" w="med" len="med"/>
                            <a:tailEnd type="none" w="med" len="med"/>
                          </a:ln>
                        </wps:spPr>
                        <wps:bodyPr>
                          <a:prstTxWarp prst="textNoShape">
                            <a:avLst/>
                          </a:prstTxWarp>
                        </wps:bodyPr>
                      </wps:wsp>
                      <wps:wsp>
                        <wps:cNvPr id="2" name="Oval 2"/>
                        <wps:cNvSpPr/>
                        <wps:spPr>
                          <a:xfrm>
                            <a:off x="1346479" y="1889090"/>
                            <a:ext cx="994410" cy="681990"/>
                          </a:xfrm>
                          <a:prstGeom prst="ellipse">
                            <a:avLst/>
                          </a:prstGeom>
                          <a:solidFill>
                            <a:srgbClr val="5B9BD5"/>
                          </a:solidFill>
                          <a:ln w="12700" cap="flat" cmpd="sng">
                            <a:solidFill>
                              <a:srgbClr val="FF0000"/>
                            </a:solidFill>
                            <a:prstDash val="solid"/>
                            <a:miter/>
                            <a:headEnd type="none" w="med" len="med"/>
                            <a:tailEnd type="none" w="med" len="med"/>
                          </a:ln>
                        </wps:spPr>
                        <wps:txbx>
                          <w:txbxContent>
                            <w:p w:rsidR="00F54823" w:rsidRDefault="00F54823">
                              <w:pPr>
                                <w:jc w:val="center"/>
                                <w:rPr>
                                  <w:sz w:val="16"/>
                                  <w:szCs w:val="16"/>
                                  <w:lang w:val="en-US"/>
                                </w:rPr>
                              </w:pPr>
                              <w:r>
                                <w:rPr>
                                  <w:sz w:val="16"/>
                                  <w:szCs w:val="16"/>
                                  <w:lang w:val="en-US"/>
                                </w:rPr>
                                <w:t>Theories</w:t>
                              </w:r>
                            </w:p>
                          </w:txbxContent>
                        </wps:txbx>
                        <wps:bodyPr vert="horz" wrap="square" lIns="91440" tIns="45720" rIns="91440" bIns="45720" anchor="ctr">
                          <a:prstTxWarp prst="textNoShape">
                            <a:avLst/>
                          </a:prstTxWarp>
                          <a:noAutofit/>
                        </wps:bodyPr>
                      </wps:wsp>
                      <wpg:grpSp>
                        <wpg:cNvPr id="3" name="Group 3"/>
                        <wpg:cNvGrpSpPr/>
                        <wpg:grpSpPr>
                          <a:xfrm>
                            <a:off x="-40193" y="0"/>
                            <a:ext cx="6008895" cy="4300220"/>
                            <a:chOff x="-40193" y="0"/>
                            <a:chExt cx="6008895" cy="4300220"/>
                          </a:xfrm>
                        </wpg:grpSpPr>
                        <wps:wsp>
                          <wps:cNvPr id="4" name="Straight Arrow Connector 4"/>
                          <wps:cNvCnPr/>
                          <wps:spPr>
                            <a:xfrm flipH="1">
                              <a:off x="2783393" y="3637503"/>
                              <a:ext cx="346445" cy="231112"/>
                            </a:xfrm>
                            <a:prstGeom prst="straightConnector1">
                              <a:avLst/>
                            </a:prstGeom>
                            <a:ln w="6350" cap="flat" cmpd="sng">
                              <a:solidFill>
                                <a:srgbClr val="5B9BD5"/>
                              </a:solidFill>
                              <a:prstDash val="solid"/>
                              <a:miter/>
                              <a:headEnd type="none" w="med" len="med"/>
                              <a:tailEnd type="triangle" w="med" len="med"/>
                            </a:ln>
                          </wps:spPr>
                          <wps:bodyPr/>
                        </wps:wsp>
                        <wpg:grpSp>
                          <wpg:cNvPr id="5" name="Group 5"/>
                          <wpg:cNvGrpSpPr/>
                          <wpg:grpSpPr>
                            <a:xfrm>
                              <a:off x="-40193" y="0"/>
                              <a:ext cx="6008895" cy="4300220"/>
                              <a:chOff x="-40193" y="0"/>
                              <a:chExt cx="6008895" cy="4300220"/>
                            </a:xfrm>
                          </wpg:grpSpPr>
                          <wpg:grpSp>
                            <wpg:cNvPr id="6" name="Group 6"/>
                            <wpg:cNvGrpSpPr/>
                            <wpg:grpSpPr>
                              <a:xfrm>
                                <a:off x="884255" y="0"/>
                                <a:ext cx="5084447" cy="4300220"/>
                                <a:chOff x="541964" y="-310638"/>
                                <a:chExt cx="5084916" cy="5200045"/>
                              </a:xfrm>
                            </wpg:grpSpPr>
                            <wps:wsp>
                              <wps:cNvPr id="7" name="Oval 7"/>
                              <wps:cNvSpPr/>
                              <wps:spPr>
                                <a:xfrm>
                                  <a:off x="2266504" y="2023184"/>
                                  <a:ext cx="1054424" cy="811428"/>
                                </a:xfrm>
                                <a:prstGeom prst="ellipse">
                                  <a:avLst/>
                                </a:prstGeom>
                                <a:solidFill>
                                  <a:srgbClr val="5B9BD5"/>
                                </a:solidFill>
                                <a:ln w="12700" cap="flat" cmpd="sng">
                                  <a:solidFill>
                                    <a:srgbClr val="FF0000"/>
                                  </a:solidFill>
                                  <a:prstDash val="solid"/>
                                  <a:miter/>
                                  <a:headEnd type="none" w="med" len="med"/>
                                  <a:tailEnd type="none" w="med" len="med"/>
                                </a:ln>
                              </wps:spPr>
                              <wps:txbx>
                                <w:txbxContent>
                                  <w:p w:rsidR="00F54823" w:rsidRDefault="00F54823">
                                    <w:pPr>
                                      <w:spacing w:line="276" w:lineRule="auto"/>
                                      <w:jc w:val="center"/>
                                      <w:rPr>
                                        <w:sz w:val="16"/>
                                        <w:szCs w:val="16"/>
                                        <w:lang w:val="en-US"/>
                                      </w:rPr>
                                    </w:pPr>
                                    <w:r>
                                      <w:rPr>
                                        <w:sz w:val="16"/>
                                        <w:szCs w:val="16"/>
                                        <w:lang w:val="en-US"/>
                                      </w:rPr>
                                      <w:t>Financial Reporting Quality</w:t>
                                    </w:r>
                                  </w:p>
                                </w:txbxContent>
                              </wps:txbx>
                              <wps:bodyPr vert="horz" wrap="square" lIns="91440" tIns="45720" rIns="91440" bIns="45720" anchor="ctr">
                                <a:prstTxWarp prst="textNoShape">
                                  <a:avLst/>
                                </a:prstTxWarp>
                                <a:noAutofit/>
                              </wps:bodyPr>
                            </wps:wsp>
                            <wps:wsp>
                              <wps:cNvPr id="8" name="Oval 8"/>
                              <wps:cNvSpPr/>
                              <wps:spPr>
                                <a:xfrm>
                                  <a:off x="2354094" y="3326860"/>
                                  <a:ext cx="962444" cy="876300"/>
                                </a:xfrm>
                                <a:prstGeom prst="ellipse">
                                  <a:avLst/>
                                </a:prstGeom>
                                <a:solidFill>
                                  <a:srgbClr val="5B9BD5"/>
                                </a:solidFill>
                                <a:ln w="12700" cap="flat" cmpd="sng">
                                  <a:solidFill>
                                    <a:srgbClr val="FF0000"/>
                                  </a:solidFill>
                                  <a:prstDash val="solid"/>
                                  <a:miter/>
                                  <a:headEnd type="none" w="med" len="med"/>
                                  <a:tailEnd type="none" w="med" len="med"/>
                                </a:ln>
                              </wps:spPr>
                              <wps:txbx>
                                <w:txbxContent>
                                  <w:p w:rsidR="00F54823" w:rsidRDefault="00F54823">
                                    <w:pPr>
                                      <w:jc w:val="center"/>
                                      <w:rPr>
                                        <w:sz w:val="16"/>
                                        <w:szCs w:val="16"/>
                                        <w:lang w:val="en-US"/>
                                      </w:rPr>
                                    </w:pPr>
                                    <w:r>
                                      <w:rPr>
                                        <w:sz w:val="16"/>
                                        <w:szCs w:val="16"/>
                                        <w:lang w:val="en-US"/>
                                      </w:rPr>
                                      <w:t>Audit Committee</w:t>
                                    </w:r>
                                  </w:p>
                                </w:txbxContent>
                              </wps:txbx>
                              <wps:bodyPr vert="horz" wrap="square" lIns="91440" tIns="45720" rIns="91440" bIns="45720" anchor="ctr">
                                <a:prstTxWarp prst="textNoShape">
                                  <a:avLst/>
                                </a:prstTxWarp>
                                <a:noAutofit/>
                              </wps:bodyPr>
                            </wps:wsp>
                            <wps:wsp>
                              <wps:cNvPr id="9" name="Oval 9"/>
                              <wps:cNvSpPr/>
                              <wps:spPr>
                                <a:xfrm>
                                  <a:off x="2354094" y="612843"/>
                                  <a:ext cx="947358" cy="883920"/>
                                </a:xfrm>
                                <a:prstGeom prst="ellipse">
                                  <a:avLst/>
                                </a:prstGeom>
                                <a:solidFill>
                                  <a:srgbClr val="5B9BD5"/>
                                </a:solidFill>
                                <a:ln w="12700" cap="flat" cmpd="sng">
                                  <a:solidFill>
                                    <a:srgbClr val="FF0000"/>
                                  </a:solidFill>
                                  <a:prstDash val="solid"/>
                                  <a:miter/>
                                  <a:headEnd type="none" w="med" len="med"/>
                                  <a:tailEnd type="none" w="med" len="med"/>
                                </a:ln>
                              </wps:spPr>
                              <wps:txbx>
                                <w:txbxContent>
                                  <w:p w:rsidR="00F54823" w:rsidRDefault="00F54823">
                                    <w:pPr>
                                      <w:spacing w:line="240" w:lineRule="auto"/>
                                      <w:jc w:val="center"/>
                                      <w:rPr>
                                        <w:sz w:val="16"/>
                                        <w:szCs w:val="16"/>
                                        <w:lang w:val="en-US"/>
                                      </w:rPr>
                                    </w:pPr>
                                    <w:r>
                                      <w:rPr>
                                        <w:sz w:val="16"/>
                                        <w:szCs w:val="16"/>
                                        <w:lang w:val="en-US"/>
                                      </w:rPr>
                                      <w:t>Internal Control Component</w:t>
                                    </w:r>
                                  </w:p>
                                </w:txbxContent>
                              </wps:txbx>
                              <wps:bodyPr vert="horz" wrap="square" lIns="91440" tIns="45720" rIns="91440" bIns="45720" anchor="ctr">
                                <a:prstTxWarp prst="textNoShape">
                                  <a:avLst/>
                                </a:prstTxWarp>
                                <a:noAutofit/>
                              </wps:bodyPr>
                            </wps:wsp>
                            <wps:wsp>
                              <wps:cNvPr id="10" name="Oval 10"/>
                              <wps:cNvSpPr/>
                              <wps:spPr>
                                <a:xfrm>
                                  <a:off x="3598538" y="2062264"/>
                                  <a:ext cx="1086660" cy="824865"/>
                                </a:xfrm>
                                <a:prstGeom prst="ellipse">
                                  <a:avLst/>
                                </a:prstGeom>
                                <a:solidFill>
                                  <a:srgbClr val="5B9BD5"/>
                                </a:solidFill>
                                <a:ln w="12700" cap="flat" cmpd="sng">
                                  <a:solidFill>
                                    <a:srgbClr val="FF0000"/>
                                  </a:solidFill>
                                  <a:prstDash val="solid"/>
                                  <a:miter/>
                                  <a:headEnd type="none" w="med" len="med"/>
                                  <a:tailEnd type="none" w="med" len="med"/>
                                </a:ln>
                              </wps:spPr>
                              <wps:txbx>
                                <w:txbxContent>
                                  <w:p w:rsidR="00F54823" w:rsidRDefault="00F54823">
                                    <w:pPr>
                                      <w:spacing w:line="276" w:lineRule="auto"/>
                                      <w:jc w:val="center"/>
                                      <w:rPr>
                                        <w:sz w:val="16"/>
                                        <w:szCs w:val="16"/>
                                        <w:lang w:val="en-US"/>
                                      </w:rPr>
                                    </w:pPr>
                                    <w:r>
                                      <w:rPr>
                                        <w:sz w:val="16"/>
                                        <w:szCs w:val="16"/>
                                        <w:lang w:val="en-US"/>
                                      </w:rPr>
                                      <w:t>Firm Characteristics</w:t>
                                    </w:r>
                                  </w:p>
                                </w:txbxContent>
                              </wps:txbx>
                              <wps:bodyPr vert="horz" wrap="square" lIns="91440" tIns="45720" rIns="91440" bIns="45720" anchor="ctr">
                                <a:prstTxWarp prst="textNoShape">
                                  <a:avLst/>
                                </a:prstTxWarp>
                                <a:noAutofit/>
                              </wps:bodyPr>
                            </wps:wsp>
                            <wps:wsp>
                              <wps:cNvPr id="11" name="Rounded Rectangle 11"/>
                              <wps:cNvSpPr/>
                              <wps:spPr>
                                <a:xfrm>
                                  <a:off x="1235364" y="-310638"/>
                                  <a:ext cx="765285" cy="464860"/>
                                </a:xfrm>
                                <a:prstGeom prst="roundRect">
                                  <a:avLst/>
                                </a:prstGeom>
                                <a:solidFill>
                                  <a:srgbClr val="FFFF00"/>
                                </a:solidFill>
                                <a:ln w="12700" cap="flat" cmpd="sng">
                                  <a:solidFill>
                                    <a:srgbClr val="FF0000"/>
                                  </a:solidFill>
                                  <a:prstDash val="solid"/>
                                  <a:miter/>
                                  <a:headEnd type="none" w="med" len="med"/>
                                  <a:tailEnd type="none" w="med" len="med"/>
                                </a:ln>
                              </wps:spPr>
                              <wps:txbx>
                                <w:txbxContent>
                                  <w:p w:rsidR="00F54823" w:rsidRDefault="00F54823">
                                    <w:pPr>
                                      <w:spacing w:line="276" w:lineRule="auto"/>
                                      <w:jc w:val="center"/>
                                      <w:rPr>
                                        <w:color w:val="000000"/>
                                        <w:sz w:val="16"/>
                                        <w:szCs w:val="16"/>
                                        <w:lang w:val="en-US"/>
                                      </w:rPr>
                                    </w:pPr>
                                    <w:r>
                                      <w:rPr>
                                        <w:color w:val="000000"/>
                                        <w:sz w:val="16"/>
                                        <w:szCs w:val="16"/>
                                        <w:lang w:val="en-US"/>
                                      </w:rPr>
                                      <w:t>Control Activities</w:t>
                                    </w:r>
                                  </w:p>
                                </w:txbxContent>
                              </wps:txbx>
                              <wps:bodyPr vert="horz" wrap="square" lIns="91440" tIns="45720" rIns="91440" bIns="45720" anchor="ctr">
                                <a:prstTxWarp prst="textNoShape">
                                  <a:avLst/>
                                </a:prstTxWarp>
                                <a:noAutofit/>
                              </wps:bodyPr>
                            </wps:wsp>
                            <wps:wsp>
                              <wps:cNvPr id="12" name="Rounded Rectangle 12"/>
                              <wps:cNvSpPr/>
                              <wps:spPr>
                                <a:xfrm>
                                  <a:off x="2000650" y="-310638"/>
                                  <a:ext cx="722009" cy="440562"/>
                                </a:xfrm>
                                <a:prstGeom prst="roundRect">
                                  <a:avLst/>
                                </a:prstGeom>
                                <a:solidFill>
                                  <a:srgbClr val="FFFF00"/>
                                </a:solidFill>
                                <a:ln w="12700" cap="flat" cmpd="sng">
                                  <a:solidFill>
                                    <a:srgbClr val="FF0000"/>
                                  </a:solidFill>
                                  <a:prstDash val="solid"/>
                                  <a:miter/>
                                  <a:headEnd type="none" w="med" len="med"/>
                                  <a:tailEnd type="none" w="med" len="med"/>
                                </a:ln>
                              </wps:spPr>
                              <wps:txbx>
                                <w:txbxContent>
                                  <w:p w:rsidR="00F54823" w:rsidRDefault="00F54823">
                                    <w:pPr>
                                      <w:spacing w:line="276" w:lineRule="auto"/>
                                      <w:jc w:val="center"/>
                                      <w:rPr>
                                        <w:color w:val="000000"/>
                                        <w:sz w:val="16"/>
                                        <w:szCs w:val="16"/>
                                        <w:lang w:val="en-US"/>
                                      </w:rPr>
                                    </w:pPr>
                                    <w:r>
                                      <w:rPr>
                                        <w:color w:val="000000"/>
                                        <w:sz w:val="16"/>
                                        <w:szCs w:val="16"/>
                                        <w:lang w:val="en-US"/>
                                      </w:rPr>
                                      <w:t>Risk Assessment</w:t>
                                    </w:r>
                                  </w:p>
                                  <w:p w:rsidR="00F54823" w:rsidRDefault="00F54823">
                                    <w:pPr>
                                      <w:jc w:val="center"/>
                                    </w:pPr>
                                  </w:p>
                                </w:txbxContent>
                              </wps:txbx>
                              <wps:bodyPr vert="horz" wrap="square" lIns="91440" tIns="45720" rIns="91440" bIns="45720" anchor="ctr">
                                <a:prstTxWarp prst="textNoShape">
                                  <a:avLst/>
                                </a:prstTxWarp>
                                <a:noAutofit/>
                              </wps:bodyPr>
                            </wps:wsp>
                            <wps:wsp>
                              <wps:cNvPr id="13" name="Rounded Rectangle 13"/>
                              <wps:cNvSpPr/>
                              <wps:spPr>
                                <a:xfrm>
                                  <a:off x="2742588" y="-310638"/>
                                  <a:ext cx="713499" cy="464865"/>
                                </a:xfrm>
                                <a:prstGeom prst="roundRect">
                                  <a:avLst/>
                                </a:prstGeom>
                                <a:solidFill>
                                  <a:srgbClr val="FFFF00"/>
                                </a:solidFill>
                                <a:ln w="12700" cap="flat" cmpd="sng">
                                  <a:solidFill>
                                    <a:srgbClr val="FF0000"/>
                                  </a:solidFill>
                                  <a:prstDash val="solid"/>
                                  <a:miter/>
                                  <a:headEnd type="none" w="med" len="med"/>
                                  <a:tailEnd type="none" w="med" len="med"/>
                                </a:ln>
                              </wps:spPr>
                              <wps:txbx>
                                <w:txbxContent>
                                  <w:p w:rsidR="00F54823" w:rsidRDefault="00F54823">
                                    <w:pPr>
                                      <w:spacing w:line="276" w:lineRule="auto"/>
                                      <w:jc w:val="center"/>
                                      <w:rPr>
                                        <w:color w:val="000000"/>
                                        <w:sz w:val="16"/>
                                        <w:szCs w:val="16"/>
                                        <w:lang w:val="en-US"/>
                                      </w:rPr>
                                    </w:pPr>
                                    <w:r>
                                      <w:rPr>
                                        <w:color w:val="000000"/>
                                        <w:sz w:val="16"/>
                                        <w:szCs w:val="16"/>
                                        <w:lang w:val="en-US"/>
                                      </w:rPr>
                                      <w:t>Monitoring Activities</w:t>
                                    </w:r>
                                  </w:p>
                                  <w:p w:rsidR="00F54823" w:rsidRDefault="00F54823">
                                    <w:pPr>
                                      <w:jc w:val="center"/>
                                    </w:pPr>
                                  </w:p>
                                </w:txbxContent>
                              </wps:txbx>
                              <wps:bodyPr vert="horz" wrap="square" lIns="91440" tIns="45720" rIns="91440" bIns="45720" anchor="ctr">
                                <a:prstTxWarp prst="textNoShape">
                                  <a:avLst/>
                                </a:prstTxWarp>
                                <a:noAutofit/>
                              </wps:bodyPr>
                            </wps:wsp>
                            <wps:wsp>
                              <wps:cNvPr id="14" name="Rounded Rectangle 14"/>
                              <wps:cNvSpPr/>
                              <wps:spPr>
                                <a:xfrm>
                                  <a:off x="3456256" y="-298486"/>
                                  <a:ext cx="934582" cy="468587"/>
                                </a:xfrm>
                                <a:prstGeom prst="roundRect">
                                  <a:avLst/>
                                </a:prstGeom>
                                <a:solidFill>
                                  <a:srgbClr val="FFFF00"/>
                                </a:solidFill>
                                <a:ln w="12700" cap="flat" cmpd="sng">
                                  <a:solidFill>
                                    <a:srgbClr val="FF0000"/>
                                  </a:solidFill>
                                  <a:prstDash val="solid"/>
                                  <a:miter/>
                                  <a:headEnd type="none" w="med" len="med"/>
                                  <a:tailEnd type="none" w="med" len="med"/>
                                </a:ln>
                              </wps:spPr>
                              <wps:txbx>
                                <w:txbxContent>
                                  <w:p w:rsidR="00F54823" w:rsidRDefault="00F54823">
                                    <w:pPr>
                                      <w:spacing w:line="276" w:lineRule="auto"/>
                                      <w:jc w:val="center"/>
                                      <w:rPr>
                                        <w:color w:val="000000"/>
                                      </w:rPr>
                                    </w:pPr>
                                    <w:r>
                                      <w:rPr>
                                        <w:color w:val="000000"/>
                                        <w:sz w:val="16"/>
                                        <w:szCs w:val="16"/>
                                        <w:lang w:val="en-US"/>
                                      </w:rPr>
                                      <w:t>Information and Communication</w:t>
                                    </w:r>
                                  </w:p>
                                </w:txbxContent>
                              </wps:txbx>
                              <wps:bodyPr vert="horz" wrap="square" lIns="91440" tIns="45720" rIns="91440" bIns="45720" anchor="ctr">
                                <a:prstTxWarp prst="textNoShape">
                                  <a:avLst/>
                                </a:prstTxWarp>
                                <a:noAutofit/>
                              </wps:bodyPr>
                            </wps:wsp>
                            <wps:wsp>
                              <wps:cNvPr id="15" name="Down Arrow 15"/>
                              <wps:cNvSpPr/>
                              <wps:spPr>
                                <a:xfrm>
                                  <a:off x="2791838" y="1527243"/>
                                  <a:ext cx="45719" cy="457200"/>
                                </a:xfrm>
                                <a:prstGeom prst="downArrow">
                                  <a:avLst/>
                                </a:prstGeom>
                                <a:solidFill>
                                  <a:srgbClr val="5B9BD5"/>
                                </a:solidFill>
                                <a:ln w="12700" cap="flat" cmpd="sng">
                                  <a:solidFill>
                                    <a:srgbClr val="42719B"/>
                                  </a:solidFill>
                                  <a:prstDash val="solid"/>
                                  <a:miter/>
                                  <a:headEnd type="none" w="med" len="med"/>
                                  <a:tailEnd type="none" w="med" len="med"/>
                                </a:ln>
                              </wps:spPr>
                              <wps:bodyPr>
                                <a:prstTxWarp prst="textNoShape">
                                  <a:avLst/>
                                </a:prstTxWarp>
                              </wps:bodyPr>
                            </wps:wsp>
                            <wps:wsp>
                              <wps:cNvPr id="16" name="Up Arrow 16"/>
                              <wps:cNvSpPr/>
                              <wps:spPr>
                                <a:xfrm>
                                  <a:off x="2791838" y="2850204"/>
                                  <a:ext cx="45719" cy="457045"/>
                                </a:xfrm>
                                <a:prstGeom prst="upArrow">
                                  <a:avLst/>
                                </a:prstGeom>
                                <a:solidFill>
                                  <a:srgbClr val="5B9BD5"/>
                                </a:solidFill>
                                <a:ln w="12700" cap="flat" cmpd="sng">
                                  <a:solidFill>
                                    <a:srgbClr val="42719B"/>
                                  </a:solidFill>
                                  <a:prstDash val="solid"/>
                                  <a:miter/>
                                  <a:headEnd type="none" w="med" len="med"/>
                                  <a:tailEnd type="none" w="med" len="med"/>
                                </a:ln>
                              </wps:spPr>
                              <wps:bodyPr>
                                <a:prstTxWarp prst="textNoShape">
                                  <a:avLst/>
                                </a:prstTxWarp>
                              </wps:bodyPr>
                            </wps:wsp>
                            <wps:wsp>
                              <wps:cNvPr id="17" name="Rounded Rectangle 17"/>
                              <wps:cNvSpPr/>
                              <wps:spPr>
                                <a:xfrm>
                                  <a:off x="1978456" y="4379639"/>
                                  <a:ext cx="904825" cy="477999"/>
                                </a:xfrm>
                                <a:prstGeom prst="roundRect">
                                  <a:avLst/>
                                </a:prstGeom>
                                <a:solidFill>
                                  <a:srgbClr val="FFFF00"/>
                                </a:solidFill>
                                <a:ln w="12700" cap="flat" cmpd="sng">
                                  <a:solidFill>
                                    <a:srgbClr val="FF0000"/>
                                  </a:solidFill>
                                  <a:prstDash val="solid"/>
                                  <a:miter/>
                                  <a:headEnd type="none" w="med" len="med"/>
                                  <a:tailEnd type="none" w="med" len="med"/>
                                </a:ln>
                              </wps:spPr>
                              <wps:txbx>
                                <w:txbxContent>
                                  <w:p w:rsidR="00F54823" w:rsidRDefault="00F54823">
                                    <w:pPr>
                                      <w:spacing w:line="276" w:lineRule="auto"/>
                                      <w:jc w:val="center"/>
                                      <w:rPr>
                                        <w:color w:val="000000"/>
                                        <w:sz w:val="16"/>
                                        <w:szCs w:val="16"/>
                                        <w:lang w:val="en-US"/>
                                      </w:rPr>
                                    </w:pPr>
                                    <w:r>
                                      <w:rPr>
                                        <w:color w:val="000000"/>
                                        <w:sz w:val="16"/>
                                        <w:szCs w:val="16"/>
                                        <w:lang w:val="en-US"/>
                                      </w:rPr>
                                      <w:t>Audit Committee Size</w:t>
                                    </w:r>
                                  </w:p>
                                </w:txbxContent>
                              </wps:txbx>
                              <wps:bodyPr vert="horz" wrap="square" lIns="91440" tIns="45720" rIns="91440" bIns="45720" anchor="ctr">
                                <a:prstTxWarp prst="textNoShape">
                                  <a:avLst/>
                                </a:prstTxWarp>
                                <a:noAutofit/>
                              </wps:bodyPr>
                            </wps:wsp>
                            <wps:wsp>
                              <wps:cNvPr id="18" name="Rounded Rectangle 18"/>
                              <wps:cNvSpPr/>
                              <wps:spPr>
                                <a:xfrm>
                                  <a:off x="2882467" y="4379639"/>
                                  <a:ext cx="984918" cy="477999"/>
                                </a:xfrm>
                                <a:prstGeom prst="roundRect">
                                  <a:avLst/>
                                </a:prstGeom>
                                <a:solidFill>
                                  <a:srgbClr val="FFFF00"/>
                                </a:solidFill>
                                <a:ln w="12700" cap="flat" cmpd="sng">
                                  <a:solidFill>
                                    <a:srgbClr val="FF0000"/>
                                  </a:solidFill>
                                  <a:prstDash val="solid"/>
                                  <a:miter/>
                                  <a:headEnd type="none" w="med" len="med"/>
                                  <a:tailEnd type="none" w="med" len="med"/>
                                </a:ln>
                              </wps:spPr>
                              <wps:txbx>
                                <w:txbxContent>
                                  <w:p w:rsidR="00F54823" w:rsidRDefault="00F54823">
                                    <w:pPr>
                                      <w:spacing w:line="276" w:lineRule="auto"/>
                                      <w:jc w:val="center"/>
                                      <w:rPr>
                                        <w:color w:val="000000"/>
                                        <w:sz w:val="16"/>
                                        <w:szCs w:val="16"/>
                                        <w:lang w:val="en-US"/>
                                      </w:rPr>
                                    </w:pPr>
                                    <w:r>
                                      <w:rPr>
                                        <w:color w:val="000000"/>
                                        <w:sz w:val="16"/>
                                        <w:szCs w:val="16"/>
                                        <w:lang w:val="en-US"/>
                                      </w:rPr>
                                      <w:t>Audit Committee Meeting</w:t>
                                    </w:r>
                                  </w:p>
                                  <w:p w:rsidR="00F54823" w:rsidRDefault="00F54823">
                                    <w:pPr>
                                      <w:jc w:val="center"/>
                                    </w:pPr>
                                  </w:p>
                                </w:txbxContent>
                              </wps:txbx>
                              <wps:bodyPr vert="horz" wrap="square" lIns="91440" tIns="45720" rIns="91440" bIns="45720" anchor="ctr">
                                <a:prstTxWarp prst="textNoShape">
                                  <a:avLst/>
                                </a:prstTxWarp>
                                <a:noAutofit/>
                              </wps:bodyPr>
                            </wps:wsp>
                            <wps:wsp>
                              <wps:cNvPr id="19" name="Rounded Rectangle 19"/>
                              <wps:cNvSpPr/>
                              <wps:spPr>
                                <a:xfrm>
                                  <a:off x="3876990" y="4379639"/>
                                  <a:ext cx="1014850" cy="509768"/>
                                </a:xfrm>
                                <a:prstGeom prst="roundRect">
                                  <a:avLst/>
                                </a:prstGeom>
                                <a:solidFill>
                                  <a:srgbClr val="FFFF00"/>
                                </a:solidFill>
                                <a:ln w="12700" cap="flat" cmpd="sng">
                                  <a:solidFill>
                                    <a:srgbClr val="FF0000"/>
                                  </a:solidFill>
                                  <a:prstDash val="solid"/>
                                  <a:miter/>
                                  <a:headEnd type="none" w="med" len="med"/>
                                  <a:tailEnd type="none" w="med" len="med"/>
                                </a:ln>
                              </wps:spPr>
                              <wps:txbx>
                                <w:txbxContent>
                                  <w:p w:rsidR="00F54823" w:rsidRDefault="00F54823">
                                    <w:pPr>
                                      <w:spacing w:line="276" w:lineRule="auto"/>
                                      <w:jc w:val="center"/>
                                      <w:rPr>
                                        <w:color w:val="000000"/>
                                        <w:sz w:val="16"/>
                                        <w:szCs w:val="16"/>
                                        <w:lang w:val="en-US"/>
                                      </w:rPr>
                                    </w:pPr>
                                    <w:r>
                                      <w:rPr>
                                        <w:color w:val="000000"/>
                                        <w:sz w:val="16"/>
                                        <w:szCs w:val="16"/>
                                        <w:lang w:val="en-US"/>
                                      </w:rPr>
                                      <w:t>Audit Committee Composition</w:t>
                                    </w:r>
                                  </w:p>
                                  <w:p w:rsidR="00F54823" w:rsidRDefault="00F54823">
                                    <w:pPr>
                                      <w:jc w:val="center"/>
                                    </w:pPr>
                                  </w:p>
                                </w:txbxContent>
                              </wps:txbx>
                              <wps:bodyPr vert="horz" wrap="square" lIns="91440" tIns="45720" rIns="91440" bIns="45720" anchor="ctr">
                                <a:prstTxWarp prst="textNoShape">
                                  <a:avLst/>
                                </a:prstTxWarp>
                                <a:noAutofit/>
                              </wps:bodyPr>
                            </wps:wsp>
                            <wps:wsp>
                              <wps:cNvPr id="20" name="Rounded Rectangle 20"/>
                              <wps:cNvSpPr/>
                              <wps:spPr>
                                <a:xfrm>
                                  <a:off x="923798" y="4403522"/>
                                  <a:ext cx="1054703" cy="453017"/>
                                </a:xfrm>
                                <a:prstGeom prst="roundRect">
                                  <a:avLst/>
                                </a:prstGeom>
                                <a:solidFill>
                                  <a:srgbClr val="FFFF00"/>
                                </a:solidFill>
                                <a:ln w="12700" cap="flat" cmpd="sng">
                                  <a:solidFill>
                                    <a:srgbClr val="FF0000"/>
                                  </a:solidFill>
                                  <a:prstDash val="solid"/>
                                  <a:miter/>
                                  <a:headEnd type="none" w="med" len="med"/>
                                  <a:tailEnd type="none" w="med" len="med"/>
                                </a:ln>
                              </wps:spPr>
                              <wps:txbx>
                                <w:txbxContent>
                                  <w:p w:rsidR="00F54823" w:rsidRDefault="00F54823">
                                    <w:pPr>
                                      <w:spacing w:line="276" w:lineRule="auto"/>
                                      <w:jc w:val="center"/>
                                      <w:rPr>
                                        <w:color w:val="000000"/>
                                        <w:sz w:val="16"/>
                                        <w:szCs w:val="16"/>
                                        <w:lang w:val="en-US"/>
                                      </w:rPr>
                                    </w:pPr>
                                    <w:r>
                                      <w:rPr>
                                        <w:color w:val="000000"/>
                                        <w:sz w:val="16"/>
                                        <w:szCs w:val="16"/>
                                        <w:lang w:val="en-US"/>
                                      </w:rPr>
                                      <w:t>Audit Committee Female Member</w:t>
                                    </w:r>
                                  </w:p>
                                  <w:p w:rsidR="00F54823" w:rsidRDefault="00F54823">
                                    <w:pPr>
                                      <w:jc w:val="center"/>
                                      <w:rPr>
                                        <w:color w:val="000000"/>
                                      </w:rPr>
                                    </w:pPr>
                                  </w:p>
                                </w:txbxContent>
                              </wps:txbx>
                              <wps:bodyPr vert="horz" wrap="square" lIns="91440" tIns="45720" rIns="91440" bIns="45720" anchor="ctr">
                                <a:prstTxWarp prst="textNoShape">
                                  <a:avLst/>
                                </a:prstTxWarp>
                                <a:noAutofit/>
                              </wps:bodyPr>
                            </wps:wsp>
                            <wps:wsp>
                              <wps:cNvPr id="21" name="Rounded Rectangle 21"/>
                              <wps:cNvSpPr/>
                              <wps:spPr>
                                <a:xfrm>
                                  <a:off x="5041912" y="1645669"/>
                                  <a:ext cx="564605" cy="473887"/>
                                </a:xfrm>
                                <a:prstGeom prst="roundRect">
                                  <a:avLst/>
                                </a:prstGeom>
                                <a:solidFill>
                                  <a:srgbClr val="FFFF00"/>
                                </a:solidFill>
                                <a:ln w="12700" cap="flat" cmpd="sng">
                                  <a:solidFill>
                                    <a:srgbClr val="FF0000"/>
                                  </a:solidFill>
                                  <a:prstDash val="solid"/>
                                  <a:miter/>
                                  <a:headEnd type="none" w="med" len="med"/>
                                  <a:tailEnd type="none" w="med" len="med"/>
                                </a:ln>
                              </wps:spPr>
                              <wps:txbx>
                                <w:txbxContent>
                                  <w:p w:rsidR="00F54823" w:rsidRDefault="00F54823">
                                    <w:pPr>
                                      <w:spacing w:line="276" w:lineRule="auto"/>
                                      <w:jc w:val="center"/>
                                      <w:rPr>
                                        <w:color w:val="000000"/>
                                        <w:sz w:val="16"/>
                                        <w:szCs w:val="16"/>
                                        <w:lang w:val="en-US"/>
                                      </w:rPr>
                                    </w:pPr>
                                    <w:r>
                                      <w:rPr>
                                        <w:color w:val="000000"/>
                                        <w:sz w:val="16"/>
                                        <w:szCs w:val="16"/>
                                        <w:lang w:val="en-US"/>
                                      </w:rPr>
                                      <w:t>Firm Age</w:t>
                                    </w:r>
                                  </w:p>
                                </w:txbxContent>
                              </wps:txbx>
                              <wps:bodyPr vert="horz" wrap="square" lIns="91440" tIns="45720" rIns="91440" bIns="45720" anchor="ctr">
                                <a:prstTxWarp prst="textNoShape">
                                  <a:avLst/>
                                </a:prstTxWarp>
                                <a:noAutofit/>
                              </wps:bodyPr>
                            </wps:wsp>
                            <wps:wsp>
                              <wps:cNvPr id="22" name="Left Arrow 22"/>
                              <wps:cNvSpPr/>
                              <wps:spPr>
                                <a:xfrm>
                                  <a:off x="3336587" y="2451370"/>
                                  <a:ext cx="260093" cy="58366"/>
                                </a:xfrm>
                                <a:prstGeom prst="leftArrow">
                                  <a:avLst/>
                                </a:prstGeom>
                                <a:solidFill>
                                  <a:srgbClr val="5B9BD5"/>
                                </a:solidFill>
                                <a:ln w="12700" cap="flat" cmpd="sng">
                                  <a:solidFill>
                                    <a:srgbClr val="42719B"/>
                                  </a:solidFill>
                                  <a:prstDash val="solid"/>
                                  <a:miter/>
                                  <a:headEnd type="none" w="med" len="med"/>
                                  <a:tailEnd type="none" w="med" len="med"/>
                                </a:ln>
                              </wps:spPr>
                              <wps:bodyPr>
                                <a:prstTxWarp prst="textNoShape">
                                  <a:avLst/>
                                </a:prstTxWarp>
                              </wps:bodyPr>
                            </wps:wsp>
                            <wps:wsp>
                              <wps:cNvPr id="23" name="Rounded Rectangle 23"/>
                              <wps:cNvSpPr/>
                              <wps:spPr>
                                <a:xfrm>
                                  <a:off x="5030585" y="2556053"/>
                                  <a:ext cx="596295" cy="426223"/>
                                </a:xfrm>
                                <a:prstGeom prst="roundRect">
                                  <a:avLst>
                                    <a:gd name="adj" fmla="val 5841"/>
                                  </a:avLst>
                                </a:prstGeom>
                                <a:solidFill>
                                  <a:srgbClr val="FFFF00"/>
                                </a:solidFill>
                                <a:ln w="12700" cap="flat" cmpd="sng">
                                  <a:solidFill>
                                    <a:srgbClr val="FF0000"/>
                                  </a:solidFill>
                                  <a:prstDash val="solid"/>
                                  <a:miter/>
                                  <a:headEnd type="none" w="med" len="med"/>
                                  <a:tailEnd type="none" w="med" len="med"/>
                                </a:ln>
                              </wps:spPr>
                              <wps:txbx>
                                <w:txbxContent>
                                  <w:p w:rsidR="00F54823" w:rsidRDefault="00F54823">
                                    <w:pPr>
                                      <w:spacing w:line="276" w:lineRule="auto"/>
                                      <w:jc w:val="center"/>
                                      <w:rPr>
                                        <w:color w:val="000000"/>
                                        <w:sz w:val="16"/>
                                        <w:szCs w:val="16"/>
                                        <w:lang w:val="en-US"/>
                                      </w:rPr>
                                    </w:pPr>
                                    <w:r>
                                      <w:rPr>
                                        <w:color w:val="000000"/>
                                        <w:sz w:val="16"/>
                                        <w:szCs w:val="16"/>
                                        <w:lang w:val="en-US"/>
                                      </w:rPr>
                                      <w:t>Firm Size</w:t>
                                    </w:r>
                                  </w:p>
                                </w:txbxContent>
                              </wps:txbx>
                              <wps:bodyPr vert="horz" wrap="square" lIns="91440" tIns="45720" rIns="91440" bIns="45720" anchor="ctr">
                                <a:prstTxWarp prst="textNoShape">
                                  <a:avLst/>
                                </a:prstTxWarp>
                                <a:noAutofit/>
                              </wps:bodyPr>
                            </wps:wsp>
                            <wps:wsp>
                              <wps:cNvPr id="24" name="Straight Arrow Connector 24"/>
                              <wps:cNvCnPr/>
                              <wps:spPr>
                                <a:xfrm>
                                  <a:off x="1617924" y="154222"/>
                                  <a:ext cx="1209674" cy="458621"/>
                                </a:xfrm>
                                <a:prstGeom prst="straightConnector1">
                                  <a:avLst/>
                                </a:prstGeom>
                                <a:ln w="6350" cap="flat" cmpd="sng">
                                  <a:solidFill>
                                    <a:srgbClr val="5B9BD5"/>
                                  </a:solidFill>
                                  <a:prstDash val="solid"/>
                                  <a:miter/>
                                  <a:headEnd type="none" w="med" len="med"/>
                                  <a:tailEnd type="triangle" w="med" len="med"/>
                                </a:ln>
                              </wps:spPr>
                              <wps:bodyPr/>
                            </wps:wsp>
                            <wps:wsp>
                              <wps:cNvPr id="25" name="Straight Arrow Connector 25"/>
                              <wps:cNvCnPr/>
                              <wps:spPr>
                                <a:xfrm>
                                  <a:off x="2199951" y="154166"/>
                                  <a:ext cx="627677" cy="458615"/>
                                </a:xfrm>
                                <a:prstGeom prst="straightConnector1">
                                  <a:avLst/>
                                </a:prstGeom>
                                <a:ln w="6350" cap="flat" cmpd="sng">
                                  <a:solidFill>
                                    <a:srgbClr val="5B9BD5"/>
                                  </a:solidFill>
                                  <a:prstDash val="solid"/>
                                  <a:miter/>
                                  <a:headEnd type="none" w="med" len="med"/>
                                  <a:tailEnd type="triangle" w="med" len="med"/>
                                </a:ln>
                              </wps:spPr>
                              <wps:bodyPr/>
                            </wps:wsp>
                            <wps:wsp>
                              <wps:cNvPr id="26" name="Straight Arrow Connector 26"/>
                              <wps:cNvCnPr/>
                              <wps:spPr>
                                <a:xfrm flipH="1">
                                  <a:off x="2827598" y="170101"/>
                                  <a:ext cx="427463" cy="442742"/>
                                </a:xfrm>
                                <a:prstGeom prst="straightConnector1">
                                  <a:avLst/>
                                </a:prstGeom>
                                <a:ln w="6350" cap="flat" cmpd="sng">
                                  <a:solidFill>
                                    <a:srgbClr val="5B9BD5"/>
                                  </a:solidFill>
                                  <a:prstDash val="solid"/>
                                  <a:miter/>
                                  <a:headEnd type="none" w="med" len="med"/>
                                  <a:tailEnd type="triangle" w="med" len="med"/>
                                </a:ln>
                              </wps:spPr>
                              <wps:bodyPr/>
                            </wps:wsp>
                            <wps:wsp>
                              <wps:cNvPr id="27" name="Straight Arrow Connector 27"/>
                              <wps:cNvCnPr/>
                              <wps:spPr>
                                <a:xfrm flipH="1">
                                  <a:off x="2827598" y="170101"/>
                                  <a:ext cx="1095689" cy="442742"/>
                                </a:xfrm>
                                <a:prstGeom prst="straightConnector1">
                                  <a:avLst/>
                                </a:prstGeom>
                                <a:ln w="6350" cap="flat" cmpd="sng">
                                  <a:solidFill>
                                    <a:srgbClr val="5B9BD5"/>
                                  </a:solidFill>
                                  <a:prstDash val="solid"/>
                                  <a:miter/>
                                  <a:headEnd type="none" w="med" len="med"/>
                                  <a:tailEnd type="triangle" w="med" len="med"/>
                                </a:ln>
                              </wps:spPr>
                              <wps:bodyPr/>
                            </wps:wsp>
                            <wps:wsp>
                              <wps:cNvPr id="28" name="Straight Arrow Connector 28"/>
                              <wps:cNvCnPr/>
                              <wps:spPr>
                                <a:xfrm>
                                  <a:off x="3033503" y="4173072"/>
                                  <a:ext cx="341380" cy="206567"/>
                                </a:xfrm>
                                <a:prstGeom prst="straightConnector1">
                                  <a:avLst/>
                                </a:prstGeom>
                                <a:ln w="6350" cap="flat" cmpd="sng">
                                  <a:solidFill>
                                    <a:srgbClr val="5B9BD5"/>
                                  </a:solidFill>
                                  <a:prstDash val="solid"/>
                                  <a:miter/>
                                  <a:headEnd type="none" w="med" len="med"/>
                                  <a:tailEnd type="triangle" w="med" len="med"/>
                                </a:ln>
                              </wps:spPr>
                              <wps:bodyPr/>
                            </wps:wsp>
                            <wps:wsp>
                              <wps:cNvPr id="29" name="Straight Arrow Connector 29"/>
                              <wps:cNvCnPr/>
                              <wps:spPr>
                                <a:xfrm>
                                  <a:off x="3302025" y="3876831"/>
                                  <a:ext cx="1082346" cy="502808"/>
                                </a:xfrm>
                                <a:prstGeom prst="straightConnector1">
                                  <a:avLst/>
                                </a:prstGeom>
                                <a:ln w="6350" cap="flat" cmpd="sng">
                                  <a:solidFill>
                                    <a:srgbClr val="5B9BD5"/>
                                  </a:solidFill>
                                  <a:prstDash val="solid"/>
                                  <a:miter/>
                                  <a:headEnd type="none" w="med" len="med"/>
                                  <a:tailEnd type="triangle" w="med" len="med"/>
                                </a:ln>
                              </wps:spPr>
                              <wps:bodyPr/>
                            </wps:wsp>
                            <wps:wsp>
                              <wps:cNvPr id="30" name="Straight Arrow Connector 30"/>
                              <wps:cNvCnPr/>
                              <wps:spPr>
                                <a:xfrm flipH="1">
                                  <a:off x="1577040" y="3734965"/>
                                  <a:ext cx="1007525" cy="668556"/>
                                </a:xfrm>
                                <a:prstGeom prst="straightConnector1">
                                  <a:avLst/>
                                </a:prstGeom>
                                <a:ln w="6350" cap="flat" cmpd="sng">
                                  <a:solidFill>
                                    <a:srgbClr val="5B9BD5"/>
                                  </a:solidFill>
                                  <a:prstDash val="solid"/>
                                  <a:miter/>
                                  <a:headEnd type="none" w="med" len="med"/>
                                  <a:tailEnd type="triangle" w="med" len="med"/>
                                </a:ln>
                              </wps:spPr>
                              <wps:bodyPr/>
                            </wps:wsp>
                            <wps:wsp>
                              <wps:cNvPr id="31" name="Straight Arrow Connector 31"/>
                              <wps:cNvCnPr/>
                              <wps:spPr>
                                <a:xfrm>
                                  <a:off x="541964" y="1997840"/>
                                  <a:ext cx="462228" cy="376452"/>
                                </a:xfrm>
                                <a:prstGeom prst="straightConnector1">
                                  <a:avLst/>
                                </a:prstGeom>
                                <a:ln w="6350" cap="flat" cmpd="sng">
                                  <a:solidFill>
                                    <a:srgbClr val="5B9BD5"/>
                                  </a:solidFill>
                                  <a:prstDash val="solid"/>
                                  <a:miter/>
                                  <a:headEnd type="none" w="med" len="med"/>
                                  <a:tailEnd type="triangle" w="med" len="med"/>
                                </a:ln>
                              </wps:spPr>
                              <wps:bodyPr/>
                            </wps:wsp>
                            <wps:wsp>
                              <wps:cNvPr id="1024" name="Straight Arrow Connector 1024"/>
                              <wps:cNvCnPr/>
                              <wps:spPr>
                                <a:xfrm flipH="1">
                                  <a:off x="4622288" y="1882613"/>
                                  <a:ext cx="419624" cy="398325"/>
                                </a:xfrm>
                                <a:prstGeom prst="straightConnector1">
                                  <a:avLst/>
                                </a:prstGeom>
                                <a:ln w="6350" cap="flat" cmpd="sng">
                                  <a:solidFill>
                                    <a:srgbClr val="5B9BD5"/>
                                  </a:solidFill>
                                  <a:prstDash val="solid"/>
                                  <a:miter/>
                                  <a:headEnd type="none" w="med" len="med"/>
                                  <a:tailEnd type="triangle" w="med" len="med"/>
                                </a:ln>
                              </wps:spPr>
                              <wps:bodyPr/>
                            </wps:wsp>
                            <wps:wsp>
                              <wps:cNvPr id="1025" name="Straight Arrow Connector 1025"/>
                              <wps:cNvCnPr/>
                              <wps:spPr>
                                <a:xfrm flipH="1" flipV="1">
                                  <a:off x="4685198" y="2474697"/>
                                  <a:ext cx="328695" cy="154686"/>
                                </a:xfrm>
                                <a:prstGeom prst="straightConnector1">
                                  <a:avLst/>
                                </a:prstGeom>
                                <a:ln w="6350" cap="flat" cmpd="sng">
                                  <a:solidFill>
                                    <a:srgbClr val="5B9BD5"/>
                                  </a:solidFill>
                                  <a:prstDash val="solid"/>
                                  <a:miter/>
                                  <a:headEnd type="none" w="med" len="med"/>
                                  <a:tailEnd type="triangle" w="med" len="med"/>
                                </a:ln>
                              </wps:spPr>
                              <wps:bodyPr/>
                            </wps:wsp>
                          </wpg:grpSp>
                          <wps:wsp>
                            <wps:cNvPr id="1028" name="Rounded Rectangle 1028"/>
                            <wps:cNvSpPr/>
                            <wps:spPr>
                              <a:xfrm>
                                <a:off x="-40193" y="1426867"/>
                                <a:ext cx="935603" cy="522514"/>
                              </a:xfrm>
                              <a:prstGeom prst="roundRect">
                                <a:avLst/>
                              </a:prstGeom>
                              <a:solidFill>
                                <a:srgbClr val="FFFF00"/>
                              </a:solidFill>
                              <a:ln w="12700" cap="flat" cmpd="sng">
                                <a:solidFill>
                                  <a:srgbClr val="FF0000"/>
                                </a:solidFill>
                                <a:prstDash val="solid"/>
                                <a:miter/>
                                <a:headEnd type="none" w="med" len="med"/>
                                <a:tailEnd type="none" w="med" len="med"/>
                              </a:ln>
                            </wps:spPr>
                            <wps:txbx>
                              <w:txbxContent>
                                <w:p w:rsidR="00F54823" w:rsidRDefault="00F54823">
                                  <w:pPr>
                                    <w:spacing w:line="276" w:lineRule="auto"/>
                                    <w:jc w:val="center"/>
                                    <w:rPr>
                                      <w:color w:val="000000"/>
                                      <w:sz w:val="16"/>
                                      <w:szCs w:val="16"/>
                                      <w:lang w:val="en-US"/>
                                    </w:rPr>
                                  </w:pPr>
                                  <w:r>
                                    <w:rPr>
                                      <w:color w:val="000000"/>
                                      <w:sz w:val="16"/>
                                      <w:szCs w:val="16"/>
                                      <w:lang w:val="en-US"/>
                                    </w:rPr>
                                    <w:t>StakeholdershipModel</w:t>
                                  </w:r>
                                </w:p>
                              </w:txbxContent>
                            </wps:txbx>
                            <wps:bodyPr vert="horz" wrap="square" lIns="91440" tIns="45720" rIns="91440" bIns="45720" anchor="ctr">
                              <a:prstTxWarp prst="textNoShape">
                                <a:avLst/>
                              </a:prstTxWarp>
                              <a:noAutofit/>
                            </wps:bodyPr>
                          </wps:wsp>
                          <wps:wsp>
                            <wps:cNvPr id="1029" name="Rounded Rectangle 1029"/>
                            <wps:cNvSpPr/>
                            <wps:spPr>
                              <a:xfrm>
                                <a:off x="10042" y="1989574"/>
                                <a:ext cx="875365" cy="542611"/>
                              </a:xfrm>
                              <a:prstGeom prst="roundRect">
                                <a:avLst>
                                  <a:gd name="adj" fmla="val 0"/>
                                </a:avLst>
                              </a:prstGeom>
                              <a:solidFill>
                                <a:srgbClr val="FFFF00"/>
                              </a:solidFill>
                              <a:ln w="12700" cap="flat" cmpd="sng">
                                <a:solidFill>
                                  <a:srgbClr val="FF0000"/>
                                </a:solidFill>
                                <a:prstDash val="solid"/>
                                <a:miter/>
                                <a:headEnd type="none" w="med" len="med"/>
                                <a:tailEnd type="none" w="med" len="med"/>
                              </a:ln>
                            </wps:spPr>
                            <wps:txbx>
                              <w:txbxContent>
                                <w:p w:rsidR="00F54823" w:rsidRDefault="00F54823">
                                  <w:pPr>
                                    <w:spacing w:line="360" w:lineRule="auto"/>
                                    <w:jc w:val="center"/>
                                    <w:rPr>
                                      <w:color w:val="000000"/>
                                      <w:sz w:val="16"/>
                                      <w:szCs w:val="16"/>
                                      <w:lang w:val="en-US"/>
                                    </w:rPr>
                                  </w:pPr>
                                  <w:r>
                                    <w:rPr>
                                      <w:color w:val="000000"/>
                                      <w:sz w:val="16"/>
                                      <w:szCs w:val="16"/>
                                      <w:lang w:val="en-US"/>
                                    </w:rPr>
                                    <w:t>ShareholdershipModel</w:t>
                                  </w:r>
                                </w:p>
                              </w:txbxContent>
                            </wps:txbx>
                            <wps:bodyPr vert="horz" wrap="square" lIns="91440" tIns="45720" rIns="91440" bIns="45720" anchor="ctr">
                              <a:prstTxWarp prst="textNoShape">
                                <a:avLst/>
                              </a:prstTxWarp>
                              <a:noAutofit/>
                            </wps:bodyPr>
                          </wps:wsp>
                          <wps:wsp>
                            <wps:cNvPr id="1030" name="Rounded Rectangle 1030"/>
                            <wps:cNvSpPr/>
                            <wps:spPr>
                              <a:xfrm>
                                <a:off x="20078" y="2600991"/>
                                <a:ext cx="865317" cy="554192"/>
                              </a:xfrm>
                              <a:prstGeom prst="roundRect">
                                <a:avLst/>
                              </a:prstGeom>
                              <a:solidFill>
                                <a:srgbClr val="FFFF00"/>
                              </a:solidFill>
                              <a:ln w="12700" cap="flat" cmpd="sng">
                                <a:solidFill>
                                  <a:srgbClr val="FF0000"/>
                                </a:solidFill>
                                <a:prstDash val="solid"/>
                                <a:miter/>
                                <a:headEnd type="none" w="med" len="med"/>
                                <a:tailEnd type="none" w="med" len="med"/>
                              </a:ln>
                            </wps:spPr>
                            <wps:txbx>
                              <w:txbxContent>
                                <w:p w:rsidR="00F54823" w:rsidRDefault="00F54823">
                                  <w:pPr>
                                    <w:spacing w:line="276" w:lineRule="auto"/>
                                    <w:jc w:val="center"/>
                                    <w:rPr>
                                      <w:color w:val="000000"/>
                                      <w:sz w:val="16"/>
                                      <w:szCs w:val="16"/>
                                      <w:lang w:val="en-US"/>
                                    </w:rPr>
                                  </w:pPr>
                                  <w:r>
                                    <w:rPr>
                                      <w:color w:val="000000"/>
                                      <w:sz w:val="16"/>
                                      <w:szCs w:val="16"/>
                                      <w:lang w:val="en-US"/>
                                    </w:rPr>
                                    <w:t xml:space="preserve">Resource Dependency </w:t>
                                  </w:r>
                                </w:p>
                                <w:p w:rsidR="00F54823" w:rsidRDefault="00F54823">
                                  <w:pPr>
                                    <w:spacing w:line="276" w:lineRule="auto"/>
                                    <w:jc w:val="center"/>
                                    <w:rPr>
                                      <w:color w:val="000000"/>
                                      <w:sz w:val="16"/>
                                      <w:szCs w:val="16"/>
                                      <w:lang w:val="en-US"/>
                                    </w:rPr>
                                  </w:pPr>
                                  <w:r>
                                    <w:rPr>
                                      <w:color w:val="000000"/>
                                      <w:sz w:val="16"/>
                                      <w:szCs w:val="16"/>
                                      <w:lang w:val="en-US"/>
                                    </w:rPr>
                                    <w:t xml:space="preserve"> Model</w:t>
                                  </w:r>
                                </w:p>
                              </w:txbxContent>
                            </wps:txbx>
                            <wps:bodyPr vert="horz" wrap="square" lIns="91440" tIns="45720" rIns="91440" bIns="45720" anchor="ctr">
                              <a:prstTxWarp prst="textNoShape">
                                <a:avLst/>
                              </a:prstTxWarp>
                              <a:noAutofit/>
                            </wps:bodyPr>
                          </wps:wsp>
                          <wps:wsp>
                            <wps:cNvPr id="1031" name="Straight Arrow Connector 1031"/>
                            <wps:cNvCnPr/>
                            <wps:spPr>
                              <a:xfrm>
                                <a:off x="884255" y="2210638"/>
                                <a:ext cx="461868" cy="45719"/>
                              </a:xfrm>
                              <a:prstGeom prst="straightConnector1">
                                <a:avLst/>
                              </a:prstGeom>
                              <a:ln w="6350" cap="flat" cmpd="sng">
                                <a:solidFill>
                                  <a:srgbClr val="5B9BD5"/>
                                </a:solidFill>
                                <a:prstDash val="solid"/>
                                <a:miter/>
                                <a:headEnd type="none" w="med" len="med"/>
                                <a:tailEnd type="triangle" w="med" len="med"/>
                              </a:ln>
                            </wps:spPr>
                            <wps:bodyPr/>
                          </wps:wsp>
                          <wps:wsp>
                            <wps:cNvPr id="1032" name="Straight Arrow Connector 1032"/>
                            <wps:cNvCnPr/>
                            <wps:spPr>
                              <a:xfrm flipV="1">
                                <a:off x="884255" y="2280976"/>
                                <a:ext cx="442127" cy="356280"/>
                              </a:xfrm>
                              <a:prstGeom prst="straightConnector1">
                                <a:avLst/>
                              </a:prstGeom>
                              <a:ln w="6350" cap="flat" cmpd="sng">
                                <a:solidFill>
                                  <a:srgbClr val="5B9BD5"/>
                                </a:solidFill>
                                <a:prstDash val="solid"/>
                                <a:miter/>
                                <a:headEnd type="none" w="med" len="med"/>
                                <a:tailEnd type="triangle" w="med" len="med"/>
                              </a:ln>
                            </wps:spPr>
                            <wps:bodyPr/>
                          </wps:wsp>
                        </wpg:grpSp>
                      </wpg:grpSp>
                    </wpg:wgp>
                  </a:graphicData>
                </a:graphic>
                <wp14:sizeRelH relativeFrom="margin">
                  <wp14:pctWidth>0</wp14:pctWidth>
                </wp14:sizeRelH>
              </wp:anchor>
            </w:drawing>
          </mc:Choice>
          <mc:Fallback>
            <w:pict>
              <v:group id="Group 34" o:spid="_x0000_s1026" style="position:absolute;left:0;text-align:left;margin-left:-23.75pt;margin-top:4.9pt;width:498pt;height:338.6pt;z-index:3;mso-wrap-distance-left:0;mso-wrap-distance-right:0;mso-width-relative:margin" coordorigin="-401" coordsize="60088,4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 o:spid="_x0000_s1027" type="#_x0000_t66" style="position:absolute;left:23513;top:22106;width:2597;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LY8AA&#10;AADaAAAADwAAAGRycy9kb3ducmV2LnhtbERPS2vCQBC+F/wPywje6sYeUkldQwkEvdiHCl6H7DQb&#10;mp0Nu1uN/74bKPQ0fHzP2ZSj7cWVfOgcK1gtMxDEjdMdtwrOp/pxDSJEZI29Y1JwpwDldvawwUK7&#10;G3/S9RhbkUI4FKjAxDgUUobGkMWwdANx4r6ctxgT9K3UHm8p3PbyKctyabHj1GBwoMpQ8338sQp0&#10;7/xHfTjnu7eTqd7ryyjXz0apxXx8fQERaYz/4j/3Xqf5ML0yXb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TLY8AAAADaAAAADwAAAAAAAAAAAAAAAACYAgAAZHJzL2Rvd25y&#10;ZXYueG1sUEsFBgAAAAAEAAQA9QAAAIUDAAAAAA==&#10;" adj="2007" fillcolor="#5b9bd5" strokecolor="#42719b" strokeweight="1pt"/>
                <v:oval id="Oval 2" o:spid="_x0000_s1028" style="position:absolute;left:13464;top:18890;width:9944;height:6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FJ8EA&#10;AADaAAAADwAAAGRycy9kb3ducmV2LnhtbESPwWrDMBBE74H+g9hCL6GRY2hjnCjGTQj02sT0vFgb&#10;y9RaGUlO3L+vCoUeh5l5w+yq2Q7iRj70jhWsVxkI4tbpnjsFzeX0XIAIEVnj4JgUfFOAav+w2GGp&#10;3Z0/6HaOnUgQDiUqMDGOpZShNWQxrNxInLyr8xZjkr6T2uM9we0g8yx7lRZ7TgsGRzoYar/Ok1Xw&#10;KU3Nxxec5vqtOZ6WtvUbLJR6epzrLYhIc/wP/7XftYIcfq+kG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KRSfBAAAA2gAAAA8AAAAAAAAAAAAAAAAAmAIAAGRycy9kb3du&#10;cmV2LnhtbFBLBQYAAAAABAAEAPUAAACGAwAAAAA=&#10;" fillcolor="#5b9bd5" strokecolor="red" strokeweight="1pt">
                  <v:stroke joinstyle="miter"/>
                  <v:textbox>
                    <w:txbxContent>
                      <w:p w:rsidR="00F54823" w:rsidRDefault="00F54823">
                        <w:pPr>
                          <w:jc w:val="center"/>
                          <w:rPr>
                            <w:sz w:val="16"/>
                            <w:szCs w:val="16"/>
                            <w:lang w:val="en-US"/>
                          </w:rPr>
                        </w:pPr>
                        <w:r>
                          <w:rPr>
                            <w:sz w:val="16"/>
                            <w:szCs w:val="16"/>
                            <w:lang w:val="en-US"/>
                          </w:rPr>
                          <w:t>Theories</w:t>
                        </w:r>
                      </w:p>
                    </w:txbxContent>
                  </v:textbox>
                </v:oval>
                <v:group id="Group 3" o:spid="_x0000_s1029" style="position:absolute;left:-401;width:60088;height:43002" coordorigin="-401" coordsize="60088,4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32" coordsize="21600,21600" o:spt="32" o:oned="t" path="m,l21600,21600e" filled="f">
                    <v:path arrowok="t" fillok="f" o:connecttype="none"/>
                    <o:lock v:ext="edit" shapetype="t"/>
                  </v:shapetype>
                  <v:shape id="Straight Arrow Connector 4" o:spid="_x0000_s1030" type="#_x0000_t32" style="position:absolute;left:27833;top:36375;width:3465;height:23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v0lcAAAADaAAAADwAAAGRycy9kb3ducmV2LnhtbESPT4vCMBTE74LfITxhb5oqi2jXKEVc&#10;2IsH/7HXR/Nsis1LTaLWb28WFjwOM/MbZrHqbCPu5EPtWMF4lIEgLp2uuVJwPHwPZyBCRNbYOCYF&#10;TwqwWvZ7C8y1e/CO7vtYiQThkKMCE2ObSxlKQxbDyLXEyTs7bzEm6SupPT4S3DZykmVTabHmtGCw&#10;pbWh8rK/WQW0KcYe6Tqfmd3xQvPfQm5PhVIfg674AhGpi+/wf/tHK/iEvyvpBs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b9JXAAAAA2gAAAA8AAAAAAAAAAAAAAAAA&#10;oQIAAGRycy9kb3ducmV2LnhtbFBLBQYAAAAABAAEAPkAAACOAwAAAAA=&#10;" strokecolor="#5b9bd5" strokeweight=".5pt">
                    <v:stroke endarrow="block" joinstyle="miter"/>
                  </v:shape>
                  <v:group id="Group 5" o:spid="_x0000_s1031" style="position:absolute;left:-401;width:60088;height:43002" coordorigin="-401" coordsize="60088,4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2" style="position:absolute;left:8842;width:50845;height:43002" coordorigin="5419,-3106" coordsize="50849,5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7" o:spid="_x0000_s1033" style="position:absolute;left:22665;top:20231;width:10544;height:8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mv8EA&#10;AADaAAAADwAAAGRycy9kb3ducmV2LnhtbESPwWrDMBBE74H+g9hCL6GRW2htnCjGbQj02sTkvFhb&#10;y8RaGUlx3L+vCoEch5l5w2yq2Q5iIh96xwpeVhkI4tbpnjsFzXH/XIAIEVnj4JgU/FKAavuw2GCp&#10;3ZW/aTrETiQIhxIVmBjHUsrQGrIYVm4kTt6P8xZjkr6T2uM1we0gX7PsXVrsOS0YHOnTUHs+XKyC&#10;kzQ1797wMtcfzW6/tK3PsVDq6XGu1yAizfEevrW/tIIc/q+kG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95r/BAAAA2gAAAA8AAAAAAAAAAAAAAAAAmAIAAGRycy9kb3du&#10;cmV2LnhtbFBLBQYAAAAABAAEAPUAAACGAwAAAAA=&#10;" fillcolor="#5b9bd5" strokecolor="red" strokeweight="1pt">
                        <v:stroke joinstyle="miter"/>
                        <v:textbox>
                          <w:txbxContent>
                            <w:p w:rsidR="00F54823" w:rsidRDefault="00F54823">
                              <w:pPr>
                                <w:spacing w:line="276" w:lineRule="auto"/>
                                <w:jc w:val="center"/>
                                <w:rPr>
                                  <w:sz w:val="16"/>
                                  <w:szCs w:val="16"/>
                                  <w:lang w:val="en-US"/>
                                </w:rPr>
                              </w:pPr>
                              <w:r>
                                <w:rPr>
                                  <w:sz w:val="16"/>
                                  <w:szCs w:val="16"/>
                                  <w:lang w:val="en-US"/>
                                </w:rPr>
                                <w:t>Financial Reporting Quality</w:t>
                              </w:r>
                            </w:p>
                          </w:txbxContent>
                        </v:textbox>
                      </v:oval>
                      <v:oval id="Oval 8" o:spid="_x0000_s1034" style="position:absolute;left:23540;top:33268;width:9625;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yzb4A&#10;AADaAAAADwAAAGRycy9kb3ducmV2LnhtbERPz0vDMBS+D/wfwhN2GS7dQB216agrBa/W4fnRPJti&#10;81KSbO3+++UgePz4fhfHxY7iSj4MjhXsthkI4s7pgXsF56/m6QAiRGSNo2NScKMAx/JhVWCu3cyf&#10;dG1jL1IIhxwVmBinXMrQGbIYtm4iTtyP8xZjgr6X2uOcwu0o91n2Ii0OnBoMTnQy1P22F6vgW5qK&#10;62e8LNX7uW42tvOveFBq/bhUbyAiLfFf/Of+0ArS1nQl3QBZ3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ics2+AAAA2gAAAA8AAAAAAAAAAAAAAAAAmAIAAGRycy9kb3ducmV2&#10;LnhtbFBLBQYAAAAABAAEAPUAAACDAwAAAAA=&#10;" fillcolor="#5b9bd5" strokecolor="red" strokeweight="1pt">
                        <v:stroke joinstyle="miter"/>
                        <v:textbox>
                          <w:txbxContent>
                            <w:p w:rsidR="00F54823" w:rsidRDefault="00F54823">
                              <w:pPr>
                                <w:jc w:val="center"/>
                                <w:rPr>
                                  <w:sz w:val="16"/>
                                  <w:szCs w:val="16"/>
                                  <w:lang w:val="en-US"/>
                                </w:rPr>
                              </w:pPr>
                              <w:r>
                                <w:rPr>
                                  <w:sz w:val="16"/>
                                  <w:szCs w:val="16"/>
                                  <w:lang w:val="en-US"/>
                                </w:rPr>
                                <w:t>Audit Committee</w:t>
                              </w:r>
                            </w:p>
                          </w:txbxContent>
                        </v:textbox>
                      </v:oval>
                      <v:oval id="Oval 9" o:spid="_x0000_s1035" style="position:absolute;left:23540;top:6128;width:9474;height:8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XVsAA&#10;AADaAAAADwAAAGRycy9kb3ducmV2LnhtbESPS4sCMRCE78L+h9ALexHN7IKv0SizK4JXH3huJu1k&#10;cNIZkqiz/94Igseiqr6iFqvONuJGPtSOFXwPMxDEpdM1VwqOh81gCiJEZI2NY1LwTwFWy4/eAnPt&#10;7ryj2z5WIkE45KjAxNjmUobSkMUwdC1x8s7OW4xJ+kpqj/cEt438ybKxtFhzWjDY0p+h8rK/WgUn&#10;aQpej/DaFb/H9aZvSz/BqVJfn10xBxGpi+/wq73VCmbwvJJu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7XVsAAAADaAAAADwAAAAAAAAAAAAAAAACYAgAAZHJzL2Rvd25y&#10;ZXYueG1sUEsFBgAAAAAEAAQA9QAAAIUDAAAAAA==&#10;" fillcolor="#5b9bd5" strokecolor="red" strokeweight="1pt">
                        <v:stroke joinstyle="miter"/>
                        <v:textbox>
                          <w:txbxContent>
                            <w:p w:rsidR="00F54823" w:rsidRDefault="00F54823">
                              <w:pPr>
                                <w:spacing w:line="240" w:lineRule="auto"/>
                                <w:jc w:val="center"/>
                                <w:rPr>
                                  <w:sz w:val="16"/>
                                  <w:szCs w:val="16"/>
                                  <w:lang w:val="en-US"/>
                                </w:rPr>
                              </w:pPr>
                              <w:r>
                                <w:rPr>
                                  <w:sz w:val="16"/>
                                  <w:szCs w:val="16"/>
                                  <w:lang w:val="en-US"/>
                                </w:rPr>
                                <w:t>Internal Control Component</w:t>
                              </w:r>
                            </w:p>
                          </w:txbxContent>
                        </v:textbox>
                      </v:oval>
                      <v:oval id="Oval 10" o:spid="_x0000_s1036" style="position:absolute;left:35985;top:20622;width:10866;height:8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jBcEA&#10;AADbAAAADwAAAGRycy9kb3ducmV2LnhtbESPQWsCMRCF74X+hzCCl1KzFWplNcq2IvSqlZ6HzbhZ&#10;3EyWJOr6752D4G2G9+a9b5brwXfqQjG1gQ18TApQxHWwLTcGDn/b9zmolJEtdoHJwI0SrFevL0ss&#10;bbjyji773CgJ4VSiAZdzX2qdakce0yT0xKIdQ/SYZY2NthGvEu47PS2KmfbYsjQ47OnHUX3an72B&#10;f+0q3nzieai+D5vtm6/jF86NGY+GagEq05Cf5sf1rxV8oZdfZAC9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gYwXBAAAA2wAAAA8AAAAAAAAAAAAAAAAAmAIAAGRycy9kb3du&#10;cmV2LnhtbFBLBQYAAAAABAAEAPUAAACGAwAAAAA=&#10;" fillcolor="#5b9bd5" strokecolor="red" strokeweight="1pt">
                        <v:stroke joinstyle="miter"/>
                        <v:textbox>
                          <w:txbxContent>
                            <w:p w:rsidR="00F54823" w:rsidRDefault="00F54823">
                              <w:pPr>
                                <w:spacing w:line="276" w:lineRule="auto"/>
                                <w:jc w:val="center"/>
                                <w:rPr>
                                  <w:sz w:val="16"/>
                                  <w:szCs w:val="16"/>
                                  <w:lang w:val="en-US"/>
                                </w:rPr>
                              </w:pPr>
                              <w:r>
                                <w:rPr>
                                  <w:sz w:val="16"/>
                                  <w:szCs w:val="16"/>
                                  <w:lang w:val="en-US"/>
                                </w:rPr>
                                <w:t>Firm Characteristics</w:t>
                              </w:r>
                            </w:p>
                          </w:txbxContent>
                        </v:textbox>
                      </v:oval>
                      <v:roundrect id="Rounded Rectangle 11" o:spid="_x0000_s1037" style="position:absolute;left:12353;top:-3106;width:7653;height:4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tscAA&#10;AADbAAAADwAAAGRycy9kb3ducmV2LnhtbESPzQrCMBCE74LvEFbwIpqqKFKNIoKgIPiL56VZ22Kz&#10;KU3U+vZGELztMvPNzs4WtSnEkyqXW1bQ70UgiBOrc04VXM7r7gSE88gaC8uk4E0OFvNmY4axti8+&#10;0vPkUxFC2MWoIPO+jKV0SUYGXc+WxEG72cqgD2uVSl3hK4SbQg6iaCwN5hwuZFjSKqPkfnqYUCO9&#10;DDv1UJr9bnIdveV4exgdt0q1W/VyCsJT7f/mH73RgevD95cw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ctscAAAADbAAAADwAAAAAAAAAAAAAAAACYAgAAZHJzL2Rvd25y&#10;ZXYueG1sUEsFBgAAAAAEAAQA9QAAAIUDAAAAAA==&#10;" fillcolor="yellow" strokecolor="red" strokeweight="1pt">
                        <v:stroke joinstyle="miter"/>
                        <v:textbox>
                          <w:txbxContent>
                            <w:p w:rsidR="00F54823" w:rsidRDefault="00F54823">
                              <w:pPr>
                                <w:spacing w:line="276" w:lineRule="auto"/>
                                <w:jc w:val="center"/>
                                <w:rPr>
                                  <w:color w:val="000000"/>
                                  <w:sz w:val="16"/>
                                  <w:szCs w:val="16"/>
                                  <w:lang w:val="en-US"/>
                                </w:rPr>
                              </w:pPr>
                              <w:r>
                                <w:rPr>
                                  <w:color w:val="000000"/>
                                  <w:sz w:val="16"/>
                                  <w:szCs w:val="16"/>
                                  <w:lang w:val="en-US"/>
                                </w:rPr>
                                <w:t>Control Activities</w:t>
                              </w:r>
                            </w:p>
                          </w:txbxContent>
                        </v:textbox>
                      </v:roundrect>
                      <v:roundrect id="Rounded Rectangle 12" o:spid="_x0000_s1038" style="position:absolute;left:20006;top:-3106;width:7220;height:4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zxsAA&#10;AADbAAAADwAAAGRycy9kb3ducmV2LnhtbESPzQrCMBCE74LvEFbwIpqqKFKNIoKgIPiL56VZ22Kz&#10;KU3U+vZGELztMvPNzs4WtSnEkyqXW1bQ70UgiBOrc04VXM7r7gSE88gaC8uk4E0OFvNmY4axti8+&#10;0vPkUxFC2MWoIPO+jKV0SUYGXc+WxEG72cqgD2uVSl3hK4SbQg6iaCwN5hwuZFjSKqPkfnqYUCO9&#10;DDv1UJr9bnIdveV4exgdt0q1W/VyCsJT7f/mH73RgRvA95cw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WzxsAAAADbAAAADwAAAAAAAAAAAAAAAACYAgAAZHJzL2Rvd25y&#10;ZXYueG1sUEsFBgAAAAAEAAQA9QAAAIUDAAAAAA==&#10;" fillcolor="yellow" strokecolor="red" strokeweight="1pt">
                        <v:stroke joinstyle="miter"/>
                        <v:textbox>
                          <w:txbxContent>
                            <w:p w:rsidR="00F54823" w:rsidRDefault="00F54823">
                              <w:pPr>
                                <w:spacing w:line="276" w:lineRule="auto"/>
                                <w:jc w:val="center"/>
                                <w:rPr>
                                  <w:color w:val="000000"/>
                                  <w:sz w:val="16"/>
                                  <w:szCs w:val="16"/>
                                  <w:lang w:val="en-US"/>
                                </w:rPr>
                              </w:pPr>
                              <w:r>
                                <w:rPr>
                                  <w:color w:val="000000"/>
                                  <w:sz w:val="16"/>
                                  <w:szCs w:val="16"/>
                                  <w:lang w:val="en-US"/>
                                </w:rPr>
                                <w:t>Risk Assessment</w:t>
                              </w:r>
                            </w:p>
                            <w:p w:rsidR="00F54823" w:rsidRDefault="00F54823">
                              <w:pPr>
                                <w:jc w:val="center"/>
                              </w:pPr>
                            </w:p>
                          </w:txbxContent>
                        </v:textbox>
                      </v:roundrect>
                      <v:roundrect id="Rounded Rectangle 13" o:spid="_x0000_s1039" style="position:absolute;left:27425;top:-3106;width:7135;height:4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XcMA&#10;AADbAAAADwAAAGRycy9kb3ducmV2LnhtbESP3YrCMBCF7xd8hzCCN4tNtShSG0UEQUHY9Qevh2Zs&#10;i82kNFHr2xthYe9mOOc7cyZbdqYWD2pdZVnBKIpBEOdWV1woOJ82wxkI55E11pZJwYscLBe9rwxT&#10;bZ98oMfRFyKEsEtRQel9k0rp8pIMusg2xEG72tagD2tbSN3iM4SbWo7jeCoNVhwulNjQuqT8dryb&#10;UKM4J99dIs3PfnaZvOR09zs57JQa9LvVHISnzv+b/+itDlwCn1/CA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WXcMAAADbAAAADwAAAAAAAAAAAAAAAACYAgAAZHJzL2Rv&#10;d25yZXYueG1sUEsFBgAAAAAEAAQA9QAAAIgDAAAAAA==&#10;" fillcolor="yellow" strokecolor="red" strokeweight="1pt">
                        <v:stroke joinstyle="miter"/>
                        <v:textbox>
                          <w:txbxContent>
                            <w:p w:rsidR="00F54823" w:rsidRDefault="00F54823">
                              <w:pPr>
                                <w:spacing w:line="276" w:lineRule="auto"/>
                                <w:jc w:val="center"/>
                                <w:rPr>
                                  <w:color w:val="000000"/>
                                  <w:sz w:val="16"/>
                                  <w:szCs w:val="16"/>
                                  <w:lang w:val="en-US"/>
                                </w:rPr>
                              </w:pPr>
                              <w:r>
                                <w:rPr>
                                  <w:color w:val="000000"/>
                                  <w:sz w:val="16"/>
                                  <w:szCs w:val="16"/>
                                  <w:lang w:val="en-US"/>
                                </w:rPr>
                                <w:t>Monitoring Activities</w:t>
                              </w:r>
                            </w:p>
                            <w:p w:rsidR="00F54823" w:rsidRDefault="00F54823">
                              <w:pPr>
                                <w:jc w:val="center"/>
                              </w:pPr>
                            </w:p>
                          </w:txbxContent>
                        </v:textbox>
                      </v:roundrect>
                      <v:roundrect id="Rounded Rectangle 14" o:spid="_x0000_s1040" style="position:absolute;left:34562;top:-2984;width:9346;height:46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OKcUA&#10;AADbAAAADwAAAGRycy9kb3ducmV2LnhtbESPQWvCQBCF7wX/wzJCL8VsNDVIdA1SECoUWqN4HrJj&#10;EszOhuw2xn/fLRR6m+G9782bTT6aVgzUu8aygnkUgyAurW64UnA+7WcrEM4ja2wtk4IHOci3k6cN&#10;Ztre+UhD4SsRQthlqKD2vsukdGVNBl1kO+KgXW1v0Ie1r6Tu8R7CTSsXcZxKgw2HCzV29FZTeSu+&#10;TahRnZOXMZHm82N1WT5kevhaHg9KPU/H3RqEp9H/m//odx24V/j9JQ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I4pxQAAANsAAAAPAAAAAAAAAAAAAAAAAJgCAABkcnMv&#10;ZG93bnJldi54bWxQSwUGAAAAAAQABAD1AAAAigMAAAAA&#10;" fillcolor="yellow" strokecolor="red" strokeweight="1pt">
                        <v:stroke joinstyle="miter"/>
                        <v:textbox>
                          <w:txbxContent>
                            <w:p w:rsidR="00F54823" w:rsidRDefault="00F54823">
                              <w:pPr>
                                <w:spacing w:line="276" w:lineRule="auto"/>
                                <w:jc w:val="center"/>
                                <w:rPr>
                                  <w:color w:val="000000"/>
                                </w:rPr>
                              </w:pPr>
                              <w:r>
                                <w:rPr>
                                  <w:color w:val="000000"/>
                                  <w:sz w:val="16"/>
                                  <w:szCs w:val="16"/>
                                  <w:lang w:val="en-US"/>
                                </w:rPr>
                                <w:t>Information and Communication</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41" type="#_x0000_t67" style="position:absolute;left:27918;top:15272;width:45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EsIA&#10;AADbAAAADwAAAGRycy9kb3ducmV2LnhtbERPTWsCMRC9C/6HMEJvNatikdUoVdvao66leBw2093F&#10;zWRNoq7++qZQ8DaP9zmzRWtqcSHnK8sKBv0EBHFudcWFgq/9+/MEhA/IGmvLpOBGHhbzbmeGqbZX&#10;3tElC4WIIexTVFCG0KRS+rwkg75vG+LI/VhnMEToCqkdXmO4qeUwSV6kwYpjQ4kNrUrKj9nZKHjb&#10;ajva4HrgRtnhfjqelx/fy1app177OgURqA0P8b/7U8f5Y/j7JR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HsSwgAAANsAAAAPAAAAAAAAAAAAAAAAAJgCAABkcnMvZG93&#10;bnJldi54bWxQSwUGAAAAAAQABAD1AAAAhwMAAAAA&#10;" adj="20520" fillcolor="#5b9bd5" strokecolor="#42719b"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6" o:spid="_x0000_s1042" type="#_x0000_t68" style="position:absolute;left:27918;top:28502;width:457;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Ws8EA&#10;AADbAAAADwAAAGRycy9kb3ducmV2LnhtbERPTWuDQBC9B/oflin0Epq1hYpYNyEEUoSSQ6zgdXCn&#10;KnFnZXcb7b/vBgq5zeN9TrFbzCiu5PxgWcHLJgFB3Fo9cKeg/jo+ZyB8QNY4WiYFv+Rht31YFZhr&#10;O/OZrlXoRAxhn6OCPoQpl9K3PRn0GzsRR+7bOoMhQtdJ7XCO4WaUr0mSSoMDx4YeJzr01F6qH6Pg&#10;7bhOPk+yzHwTHDUf9QHLulLq6XHZv4MItIS7+N9d6jg/hdsv8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FrPBAAAA2wAAAA8AAAAAAAAAAAAAAAAAmAIAAGRycy9kb3du&#10;cmV2LnhtbFBLBQYAAAAABAAEAPUAAACGAwAAAAA=&#10;" adj="1080" fillcolor="#5b9bd5" strokecolor="#42719b" strokeweight="1pt"/>
                      <v:roundrect id="Rounded Rectangle 17" o:spid="_x0000_s1043" style="position:absolute;left:19784;top:43796;width:9048;height:4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QXsUA&#10;AADbAAAADwAAAGRycy9kb3ducmV2LnhtbESP3WrCQBCF7wXfYRnBG6mbKv6QuooUBAOFagy9HrLT&#10;JJidDdlVk7d3CwXvZjjnO3Nms+tMLe7UusqygvdpBII4t7riQkF2ObytQTiPrLG2TAp6crDbDgcb&#10;jLV98JnuqS9ECGEXo4LS+yaW0uUlGXRT2xAH7de2Bn1Y20LqFh8h3NRyFkVLabDicKHEhj5Lyq/p&#10;zYQaRTafdHNpvr/WP4teLpPT4pwoNR51+w8Qnjr/Mv/TRx24Ffz9Ega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hBexQAAANsAAAAPAAAAAAAAAAAAAAAAAJgCAABkcnMv&#10;ZG93bnJldi54bWxQSwUGAAAAAAQABAD1AAAAigMAAAAA&#10;" fillcolor="yellow" strokecolor="red" strokeweight="1pt">
                        <v:stroke joinstyle="miter"/>
                        <v:textbox>
                          <w:txbxContent>
                            <w:p w:rsidR="00F54823" w:rsidRDefault="00F54823">
                              <w:pPr>
                                <w:spacing w:line="276" w:lineRule="auto"/>
                                <w:jc w:val="center"/>
                                <w:rPr>
                                  <w:color w:val="000000"/>
                                  <w:sz w:val="16"/>
                                  <w:szCs w:val="16"/>
                                  <w:lang w:val="en-US"/>
                                </w:rPr>
                              </w:pPr>
                              <w:r>
                                <w:rPr>
                                  <w:color w:val="000000"/>
                                  <w:sz w:val="16"/>
                                  <w:szCs w:val="16"/>
                                  <w:lang w:val="en-US"/>
                                </w:rPr>
                                <w:t>Audit Committee Size</w:t>
                              </w:r>
                            </w:p>
                          </w:txbxContent>
                        </v:textbox>
                      </v:roundrect>
                      <v:roundrect id="Rounded Rectangle 18" o:spid="_x0000_s1044" style="position:absolute;left:28824;top:43796;width:9849;height:4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2ELMMA&#10;AADbAAAADwAAAGRycy9kb3ducmV2LnhtbESPQYvCQAyF74L/YYiwF9GpK4p0HUUEYQXBrcqeQye2&#10;xU6mdGa1/ntzEPaWR9738rJcd65Wd2pD5dnAZJyAIs69rbgwcDnvRgtQISJbrD2TgScFWK/6vSWm&#10;1j84o/spFkpCOKRooIyxSbUOeUkOw9g3xLK7+tZhFNkW2rb4kHBX688kmWuHFcuFEhvalpTfTn9O&#10;ahSX6bCbanc8LH5nTz3f/8yyvTEfg27zBSpSF//Nb/rbCidl5RcZQK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2ELMMAAADbAAAADwAAAAAAAAAAAAAAAACYAgAAZHJzL2Rv&#10;d25yZXYueG1sUEsFBgAAAAAEAAQA9QAAAIgDAAAAAA==&#10;" fillcolor="yellow" strokecolor="red" strokeweight="1pt">
                        <v:stroke joinstyle="miter"/>
                        <v:textbox>
                          <w:txbxContent>
                            <w:p w:rsidR="00F54823" w:rsidRDefault="00F54823">
                              <w:pPr>
                                <w:spacing w:line="276" w:lineRule="auto"/>
                                <w:jc w:val="center"/>
                                <w:rPr>
                                  <w:color w:val="000000"/>
                                  <w:sz w:val="16"/>
                                  <w:szCs w:val="16"/>
                                  <w:lang w:val="en-US"/>
                                </w:rPr>
                              </w:pPr>
                              <w:r>
                                <w:rPr>
                                  <w:color w:val="000000"/>
                                  <w:sz w:val="16"/>
                                  <w:szCs w:val="16"/>
                                  <w:lang w:val="en-US"/>
                                </w:rPr>
                                <w:t>Audit Committee Meeting</w:t>
                              </w:r>
                            </w:p>
                            <w:p w:rsidR="00F54823" w:rsidRDefault="00F54823">
                              <w:pPr>
                                <w:jc w:val="center"/>
                              </w:pPr>
                            </w:p>
                          </w:txbxContent>
                        </v:textbox>
                      </v:roundrect>
                      <v:roundrect id="Rounded Rectangle 19" o:spid="_x0000_s1045" style="position:absolute;left:38769;top:43796;width:10149;height:50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ht8UA&#10;AADbAAAADwAAAGRycy9kb3ducmV2LnhtbESPQWvCQBCF7wX/wzJCL0U3rSgxuhEpCA0UWqN4HrJj&#10;EszOhuxqkn/fLRR6m+G9782b7W4wjXhQ52rLCl7nEQjiwuqaSwXn02EWg3AeWWNjmRSM5GCXTp62&#10;mGjb85EeuS9FCGGXoILK+zaR0hUVGXRz2xIH7Wo7gz6sXSl1h30IN418i6KVNFhzuFBhS+8VFbf8&#10;bkKN8rx4GRbSfH3Gl+UoV9n38pgp9Twd9hsQngb/b/6jP3Tg1vD7Sxh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G3xQAAANsAAAAPAAAAAAAAAAAAAAAAAJgCAABkcnMv&#10;ZG93bnJldi54bWxQSwUGAAAAAAQABAD1AAAAigMAAAAA&#10;" fillcolor="yellow" strokecolor="red" strokeweight="1pt">
                        <v:stroke joinstyle="miter"/>
                        <v:textbox>
                          <w:txbxContent>
                            <w:p w:rsidR="00F54823" w:rsidRDefault="00F54823">
                              <w:pPr>
                                <w:spacing w:line="276" w:lineRule="auto"/>
                                <w:jc w:val="center"/>
                                <w:rPr>
                                  <w:color w:val="000000"/>
                                  <w:sz w:val="16"/>
                                  <w:szCs w:val="16"/>
                                  <w:lang w:val="en-US"/>
                                </w:rPr>
                              </w:pPr>
                              <w:r>
                                <w:rPr>
                                  <w:color w:val="000000"/>
                                  <w:sz w:val="16"/>
                                  <w:szCs w:val="16"/>
                                  <w:lang w:val="en-US"/>
                                </w:rPr>
                                <w:t>Audit Committee Composition</w:t>
                              </w:r>
                            </w:p>
                            <w:p w:rsidR="00F54823" w:rsidRDefault="00F54823">
                              <w:pPr>
                                <w:jc w:val="center"/>
                              </w:pPr>
                            </w:p>
                          </w:txbxContent>
                        </v:textbox>
                      </v:roundrect>
                      <v:roundrect id="Rounded Rectangle 20" o:spid="_x0000_s1046" style="position:absolute;left:9237;top:44035;width:10548;height:45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Cl8MA&#10;AADbAAAADwAAAGRycy9kb3ducmV2LnhtbESPwYrCQAyG78K+wxBhL7JOVRSpjrIIwgqCW5U9h05s&#10;i51M6Yxa394chD2GP/+XL8t152p1pzZUng2Mhgko4tzbigsD59P2aw4qRGSLtWcy8KQA69VHb4mp&#10;9Q/O6H6MhRIIhxQNlDE2qdYhL8lhGPqGWLKLbx1GGdtC2xYfAne1HifJTDusWC6U2NCmpPx6vDnR&#10;KM6TQTfR7rCf/02ferb7nWY7Yz773fcCVKQu/i+/2z/WwFjs5RcBgF6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dCl8MAAADbAAAADwAAAAAAAAAAAAAAAACYAgAAZHJzL2Rv&#10;d25yZXYueG1sUEsFBgAAAAAEAAQA9QAAAIgDAAAAAA==&#10;" fillcolor="yellow" strokecolor="red" strokeweight="1pt">
                        <v:stroke joinstyle="miter"/>
                        <v:textbox>
                          <w:txbxContent>
                            <w:p w:rsidR="00F54823" w:rsidRDefault="00F54823">
                              <w:pPr>
                                <w:spacing w:line="276" w:lineRule="auto"/>
                                <w:jc w:val="center"/>
                                <w:rPr>
                                  <w:color w:val="000000"/>
                                  <w:sz w:val="16"/>
                                  <w:szCs w:val="16"/>
                                  <w:lang w:val="en-US"/>
                                </w:rPr>
                              </w:pPr>
                              <w:r>
                                <w:rPr>
                                  <w:color w:val="000000"/>
                                  <w:sz w:val="16"/>
                                  <w:szCs w:val="16"/>
                                  <w:lang w:val="en-US"/>
                                </w:rPr>
                                <w:t>Audit Committee Female Member</w:t>
                              </w:r>
                            </w:p>
                            <w:p w:rsidR="00F54823" w:rsidRDefault="00F54823">
                              <w:pPr>
                                <w:jc w:val="center"/>
                                <w:rPr>
                                  <w:color w:val="000000"/>
                                </w:rPr>
                              </w:pPr>
                            </w:p>
                          </w:txbxContent>
                        </v:textbox>
                      </v:roundrect>
                      <v:roundrect id="Rounded Rectangle 21" o:spid="_x0000_s1047" style="position:absolute;left:50419;top:16456;width:5646;height:47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nDMAA&#10;AADbAAAADwAAAGRycy9kb3ducmV2LnhtbESPzQrCMBCE74LvEFbwIpqqKFKNIoKgIPiL56VZ22Kz&#10;KU3U+vZGEDwOs/PNzmxRm0I8qXK5ZQX9XgSCOLE651TB5bzuTkA4j6yxsEwK3uRgMW82Zhhr++Ij&#10;PU8+FQHCLkYFmfdlLKVLMjLoerYkDt7NVgZ9kFUqdYWvADeFHETRWBrMOTRkWNIqo+R+epjwRnoZ&#10;duqhNPvd5Dp6y/H2MDpulWq36uUUhKfa/49/6Y1WMOjDd0sA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vnDMAAAADbAAAADwAAAAAAAAAAAAAAAACYAgAAZHJzL2Rvd25y&#10;ZXYueG1sUEsFBgAAAAAEAAQA9QAAAIUDAAAAAA==&#10;" fillcolor="yellow" strokecolor="red" strokeweight="1pt">
                        <v:stroke joinstyle="miter"/>
                        <v:textbox>
                          <w:txbxContent>
                            <w:p w:rsidR="00F54823" w:rsidRDefault="00F54823">
                              <w:pPr>
                                <w:spacing w:line="276" w:lineRule="auto"/>
                                <w:jc w:val="center"/>
                                <w:rPr>
                                  <w:color w:val="000000"/>
                                  <w:sz w:val="16"/>
                                  <w:szCs w:val="16"/>
                                  <w:lang w:val="en-US"/>
                                </w:rPr>
                              </w:pPr>
                              <w:r>
                                <w:rPr>
                                  <w:color w:val="000000"/>
                                  <w:sz w:val="16"/>
                                  <w:szCs w:val="16"/>
                                  <w:lang w:val="en-US"/>
                                </w:rPr>
                                <w:t>Firm Age</w:t>
                              </w:r>
                            </w:p>
                          </w:txbxContent>
                        </v:textbox>
                      </v:roundrect>
                      <v:shape id="Left Arrow 22" o:spid="_x0000_s1048" type="#_x0000_t66" style="position:absolute;left:33365;top:24513;width:2601;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yxcEA&#10;AADbAAAADwAAAGRycy9kb3ducmV2LnhtbESPQYvCMBSE74L/ITzBm6b2IEvXKCIoqydXu/dH82yL&#10;zUtNstr6683CgsdhZr5hFqvONOJOzteWFcymCQjiwuqaSwX5eTv5AOEDssbGMinoycNqORwsMNP2&#10;wd90P4VSRAj7DBVUIbSZlL6oyKCf2pY4ehfrDIYoXSm1w0eEm0amSTKXBmuOCxW2tKmouJ5+jQLr&#10;kvp53P3s93lOuexv8yf1B6XGo279CSJQF97h//aXVpCm8Pcl/g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pMsXBAAAA2wAAAA8AAAAAAAAAAAAAAAAAmAIAAGRycy9kb3du&#10;cmV2LnhtbFBLBQYAAAAABAAEAPUAAACGAwAAAAA=&#10;" adj="2424" fillcolor="#5b9bd5" strokecolor="#42719b" strokeweight="1pt"/>
                      <v:roundrect id="Rounded Rectangle 23" o:spid="_x0000_s1049" style="position:absolute;left:50305;top:25560;width:5963;height:4262;visibility:visible;mso-wrap-style:square;v-text-anchor:middle" arcsize="382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xVMQA&#10;AADbAAAADwAAAGRycy9kb3ducmV2LnhtbESPT2vCQBTE7wW/w/IEb3UTpUWiq0isWGgv/rl4e2Sf&#10;2WD2bchuY/TTdwsFj8PM/IZZrHpbi45aXzlWkI4TEMSF0xWXCk7H7esMhA/IGmvHpOBOHlbLwcsC&#10;M+1uvKfuEEoRIewzVGBCaDIpfWHIoh+7hjh6F9daDFG2pdQt3iLc1nKSJO/SYsVxwWBDuaHievix&#10;CvK021O6yx+7oM1285Z+fJ+/TkqNhv16DiJQH57h//anVjCZwt+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GcVTEAAAA2wAAAA8AAAAAAAAAAAAAAAAAmAIAAGRycy9k&#10;b3ducmV2LnhtbFBLBQYAAAAABAAEAPUAAACJAwAAAAA=&#10;" fillcolor="yellow" strokecolor="red" strokeweight="1pt">
                        <v:stroke joinstyle="miter"/>
                        <v:textbox>
                          <w:txbxContent>
                            <w:p w:rsidR="00F54823" w:rsidRDefault="00F54823">
                              <w:pPr>
                                <w:spacing w:line="276" w:lineRule="auto"/>
                                <w:jc w:val="center"/>
                                <w:rPr>
                                  <w:color w:val="000000"/>
                                  <w:sz w:val="16"/>
                                  <w:szCs w:val="16"/>
                                  <w:lang w:val="en-US"/>
                                </w:rPr>
                              </w:pPr>
                              <w:r>
                                <w:rPr>
                                  <w:color w:val="000000"/>
                                  <w:sz w:val="16"/>
                                  <w:szCs w:val="16"/>
                                  <w:lang w:val="en-US"/>
                                </w:rPr>
                                <w:t>Firm Size</w:t>
                              </w:r>
                            </w:p>
                          </w:txbxContent>
                        </v:textbox>
                      </v:roundrect>
                      <v:shape id="Straight Arrow Connector 24" o:spid="_x0000_s1050" type="#_x0000_t32" style="position:absolute;left:16179;top:1542;width:12096;height:4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1CN8QAAADbAAAADwAAAGRycy9kb3ducmV2LnhtbESPQWsCMRSE7wX/Q3iCt5pVpMjWKKVY&#10;0IPFqkiPz+S5u7h5WZJ0Xf+9EQoeh5n5hpktOluLlnyoHCsYDTMQxNqZigsFh/3X6xREiMgGa8ek&#10;4EYBFvPeywxz4678Q+0uFiJBOOSooIyxyaUMuiSLYega4uSdnbcYk/SFNB6vCW5rOc6yN2mx4rRQ&#10;YkOfJenL7s8q2Hzr7XbaXlbdOtvo4+/Bu9PSKzXodx/vICJ18Rn+b6+MgvEEHl/S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UI3xAAAANsAAAAPAAAAAAAAAAAA&#10;AAAAAKECAABkcnMvZG93bnJldi54bWxQSwUGAAAAAAQABAD5AAAAkgMAAAAA&#10;" strokecolor="#5b9bd5" strokeweight=".5pt">
                        <v:stroke endarrow="block" joinstyle="miter"/>
                      </v:shape>
                      <v:shape id="Straight Arrow Connector 25" o:spid="_x0000_s1051" type="#_x0000_t32" style="position:absolute;left:21999;top:1541;width:6277;height:4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nrMQAAADbAAAADwAAAGRycy9kb3ducmV2LnhtbESPQWsCMRSE7wX/Q3iCt5pVsMjWKKVY&#10;0IPFqkiPz+S5u7h5WZJ0Xf+9EQoeh5n5hpktOluLlnyoHCsYDTMQxNqZigsFh/3X6xREiMgGa8ek&#10;4EYBFvPeywxz4678Q+0uFiJBOOSooIyxyaUMuiSLYega4uSdnbcYk/SFNB6vCW5rOc6yN2mx4rRQ&#10;YkOfJenL7s8q2Hzr7XbaXlbdOtvo4+/Bu9PSKzXodx/vICJ18Rn+b6+MgvEEHl/S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eesxAAAANsAAAAPAAAAAAAAAAAA&#10;AAAAAKECAABkcnMvZG93bnJldi54bWxQSwUGAAAAAAQABAD5AAAAkgMAAAAA&#10;" strokecolor="#5b9bd5" strokeweight=".5pt">
                        <v:stroke endarrow="block" joinstyle="miter"/>
                      </v:shape>
                      <v:shape id="Straight Arrow Connector 26" o:spid="_x0000_s1052" type="#_x0000_t32" style="position:absolute;left:28275;top:1701;width:4275;height:44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ca0cEAAADbAAAADwAAAGRycy9kb3ducmV2LnhtbESPT4vCMBTE78J+h/CEvdlUD6JdoxRR&#10;2Mse/IfXR/O2KTYv3SSr9dsbQfA4zMxvmMWqt624kg+NYwXjLAdBXDndcK3geNiOZiBCRNbYOiYF&#10;dwqwWn4MFlhod+MdXfexFgnCoUAFJsaukDJUhiyGzHXEyft13mJM0tdSe7wluG3lJM+n0mLDacFg&#10;R2tD1WX/bxXQphx7pL/5zOyOF5qfS/lzKpX6HPblF4hIfXyHX+1vrWAyheeX9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dxrRwQAAANsAAAAPAAAAAAAAAAAAAAAA&#10;AKECAABkcnMvZG93bnJldi54bWxQSwUGAAAAAAQABAD5AAAAjwMAAAAA&#10;" strokecolor="#5b9bd5" strokeweight=".5pt">
                        <v:stroke endarrow="block" joinstyle="miter"/>
                      </v:shape>
                      <v:shape id="Straight Arrow Connector 27" o:spid="_x0000_s1053" type="#_x0000_t32" style="position:absolute;left:28275;top:1701;width:10957;height:44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u/SsEAAADbAAAADwAAAGRycy9kb3ducmV2LnhtbESPT4vCMBTE7wv7HcJb2Nua6mHVrlGK&#10;KHjx4D+8Ppq3TbF5qUnU+u2NIHgcZuY3zGTW2UZcyYfasYJ+LwNBXDpdc6Vgv1v+jECEiKyxcUwK&#10;7hRgNv38mGCu3Y03dN3GSiQIhxwVmBjbXMpQGrIYeq4lTt6/8xZjkr6S2uMtwW0jB1n2Ky3WnBYM&#10;tjQ3VJ62F6uAFkXfI53HI7PZn2h8LOT6UCj1/dUVfyAidfEdfrVXWsFgCM8v6Q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O79KwQAAANsAAAAPAAAAAAAAAAAAAAAA&#10;AKECAABkcnMvZG93bnJldi54bWxQSwUGAAAAAAQABAD5AAAAjwMAAAAA&#10;" strokecolor="#5b9bd5" strokeweight=".5pt">
                        <v:stroke endarrow="block" joinstyle="miter"/>
                      </v:shape>
                      <v:shape id="Straight Arrow Connector 28" o:spid="_x0000_s1054" type="#_x0000_t32" style="position:absolute;left:30335;top:41730;width:3413;height:20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BIMsIAAADbAAAADwAAAGRycy9kb3ducmV2LnhtbERPz2vCMBS+D/Y/hDfYbabrYZTOKDI2&#10;qAelUxken8mzLTYvJYm1/vfLYbDjx/d7vpxsL0byoXOs4HWWgSDWznTcKDjsv14KECEiG+wdk4I7&#10;BVguHh/mWBp3428ad7ERKYRDiQraGIdSyqBbshhmbiBO3Nl5izFB30jj8ZbCbS/zLHuTFjtODS0O&#10;9NGSvuyuVsFmq+u6GC/VtM42+ud48O706ZV6fppW7yAiTfFf/OeujII8jU1f0g+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BIMsIAAADbAAAADwAAAAAAAAAAAAAA&#10;AAChAgAAZHJzL2Rvd25yZXYueG1sUEsFBgAAAAAEAAQA+QAAAJADAAAAAA==&#10;" strokecolor="#5b9bd5" strokeweight=".5pt">
                        <v:stroke endarrow="block" joinstyle="miter"/>
                      </v:shape>
                      <v:shape id="Straight Arrow Connector 29" o:spid="_x0000_s1055" type="#_x0000_t32" style="position:absolute;left:33020;top:38768;width:10823;height:50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ztqcQAAADbAAAADwAAAGRycy9kb3ducmV2LnhtbESPQWsCMRSE74L/ITyhN83qodjVKCIW&#10;7MFiVcTjM3nuLm5eliRdt/++KRQ8DjPzDTNfdrYWLflQOVYwHmUgiLUzFRcKTsf34RREiMgGa8ek&#10;4IcCLBf93hxz4x78Re0hFiJBOOSooIyxyaUMuiSLYeQa4uTdnLcYk/SFNB4fCW5rOcmyV2mx4rRQ&#10;YkPrkvT98G0V7D71fj9t79vuI9vp8+Xk3XXjlXoZdKsZiEhdfIb/21ujYPIGf1/S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O2pxAAAANsAAAAPAAAAAAAAAAAA&#10;AAAAAKECAABkcnMvZG93bnJldi54bWxQSwUGAAAAAAQABAD5AAAAkgMAAAAA&#10;" strokecolor="#5b9bd5" strokeweight=".5pt">
                        <v:stroke endarrow="block" joinstyle="miter"/>
                      </v:shape>
                      <v:shape id="Straight Arrow Connector 30" o:spid="_x0000_s1056" type="#_x0000_t32" style="position:absolute;left:15770;top:37349;width:10075;height:66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ux474AAADbAAAADwAAAGRycy9kb3ducmV2LnhtbERPy4rCMBTdD/gP4QruxlQF0WqUIgpu&#10;ZuFjmO2luTbF5qYmUevfTxaCy8N5L9edbcSDfKgdKxgNMxDEpdM1VwrOp933DESIyBobx6TgRQHW&#10;q97XEnPtnnygxzFWIoVwyFGBibHNpQylIYth6FrixF2ctxgT9JXUHp8p3DZynGVTabHm1GCwpY2h&#10;8nq8WwW0LUYe6TafmcP5SvO/Qv78FkoN+l2xABGpix/x273XCiZpffqSfoBc/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C7HjvgAAANsAAAAPAAAAAAAAAAAAAAAAAKEC&#10;AABkcnMvZG93bnJldi54bWxQSwUGAAAAAAQABAD5AAAAjAMAAAAA&#10;" strokecolor="#5b9bd5" strokeweight=".5pt">
                        <v:stroke endarrow="block" joinstyle="miter"/>
                      </v:shape>
                      <v:shape id="Straight Arrow Connector 31" o:spid="_x0000_s1057" type="#_x0000_t32" style="position:absolute;left:5419;top:19978;width:4622;height:3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N3csQAAADbAAAADwAAAGRycy9kb3ducmV2LnhtbESPQWsCMRSE74L/ITyhN81qochqFBEF&#10;e7BYK8XjM3nuLm5eliSu23/fFAoeh5n5hpkvO1uLlnyoHCsYjzIQxNqZigsFp6/tcAoiRGSDtWNS&#10;8EMBlot+b465cQ/+pPYYC5EgHHJUUMbY5FIGXZLFMHINcfKuzluMSfpCGo+PBLe1nGTZm7RYcVoo&#10;saF1Sfp2vFsF+w99OEzb2657z/b6+3zy7rLxSr0MutUMRKQuPsP/7Z1R8DqGvy/p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3dyxAAAANsAAAAPAAAAAAAAAAAA&#10;AAAAAKECAABkcnMvZG93bnJldi54bWxQSwUGAAAAAAQABAD5AAAAkgMAAAAA&#10;" strokecolor="#5b9bd5" strokeweight=".5pt">
                        <v:stroke endarrow="block" joinstyle="miter"/>
                      </v:shape>
                      <v:shape id="Straight Arrow Connector 1024" o:spid="_x0000_s1058" type="#_x0000_t32" style="position:absolute;left:46222;top:18826;width:4197;height:39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Qr9MAAAADdAAAADwAAAGRycy9kb3ducmV2LnhtbERPS4vCMBC+L+x/CLOwtzVVFtGuUYoo&#10;ePHgC69DM9sUm0lNotZ/bwTB23x8z5nMOtuIK/lQO1bQ72UgiEuna64U7HfLnxGIEJE1No5JwZ0C&#10;zKafHxPMtbvxhq7bWIkUwiFHBSbGNpcylIYshp5riRP377zFmKCvpPZ4S+G2kYMsG0qLNacGgy3N&#10;DZWn7cUqoEXR90jn8chs9icaHwu5PhRKfX91xR+ISF18i1/ulU7zs8EvPL9JJ8jp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0K/TAAAAA3QAAAA8AAAAAAAAAAAAAAAAA&#10;oQIAAGRycy9kb3ducmV2LnhtbFBLBQYAAAAABAAEAPkAAACOAwAAAAA=&#10;" strokecolor="#5b9bd5" strokeweight=".5pt">
                        <v:stroke endarrow="block" joinstyle="miter"/>
                      </v:shape>
                      <v:shape id="Straight Arrow Connector 1025" o:spid="_x0000_s1059" type="#_x0000_t32" style="position:absolute;left:46851;top:24746;width:3287;height:15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FCU8MAAADdAAAADwAAAGRycy9kb3ducmV2LnhtbERPTWvCQBC9F/wPywi9FN00YJHoKipU&#10;hULB6MHjkB2T4O5syK4x+ffdQqG3ebzPWa57a0RHra8dK3ifJiCIC6drLhVczp+TOQgfkDUax6Rg&#10;IA/r1ehliZl2Tz5Rl4dSxBD2GSqoQmgyKX1RkUU/dQ1x5G6utRgibEupW3zGcGtkmiQf0mLNsaHC&#10;hnYVFff8YRV8Xw4+H97M9pCfutuVzH4ov1KlXsf9ZgEiUB/+xX/uo47zk3QG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BQlPDAAAA3QAAAA8AAAAAAAAAAAAA&#10;AAAAoQIAAGRycy9kb3ducmV2LnhtbFBLBQYAAAAABAAEAPkAAACRAwAAAAA=&#10;" strokecolor="#5b9bd5" strokeweight=".5pt">
                        <v:stroke endarrow="block" joinstyle="miter"/>
                      </v:shape>
                    </v:group>
                    <v:roundrect id="Rounded Rectangle 1028" o:spid="_x0000_s1060" style="position:absolute;left:-401;top:14268;width:9355;height:52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VLsYA&#10;AADdAAAADwAAAGRycy9kb3ducmV2LnhtbESPQWvCQBCF7wX/wzIFL0U3NRgkdRUpFBQK1Sieh+w0&#10;Cc3OhuxWk3/fORS8zWPe9+bNeju4Vt2oD41nA6/zBBRx6W3DlYHL+WO2AhUissXWMxkYKcB2M3la&#10;Y279nU90K2KlJIRDjgbqGLtc61DW5DDMfUcsu2/fO4wi+0rbHu8S7lq9SJJMO2xYLtTY0XtN5U/x&#10;66RGdUlfhlS7r8/VdTnq7HBcng7GTJ+H3RuoSEN8mP/pvRUuWUhd+UZG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EVLsYAAADdAAAADwAAAAAAAAAAAAAAAACYAgAAZHJz&#10;L2Rvd25yZXYueG1sUEsFBgAAAAAEAAQA9QAAAIsDAAAAAA==&#10;" fillcolor="yellow" strokecolor="red" strokeweight="1pt">
                      <v:stroke joinstyle="miter"/>
                      <v:textbox>
                        <w:txbxContent>
                          <w:p w:rsidR="00F54823" w:rsidRDefault="00F54823">
                            <w:pPr>
                              <w:spacing w:line="276" w:lineRule="auto"/>
                              <w:jc w:val="center"/>
                              <w:rPr>
                                <w:color w:val="000000"/>
                                <w:sz w:val="16"/>
                                <w:szCs w:val="16"/>
                                <w:lang w:val="en-US"/>
                              </w:rPr>
                            </w:pPr>
                            <w:r>
                              <w:rPr>
                                <w:color w:val="000000"/>
                                <w:sz w:val="16"/>
                                <w:szCs w:val="16"/>
                                <w:lang w:val="en-US"/>
                              </w:rPr>
                              <w:t>StakeholdershipModel</w:t>
                            </w:r>
                          </w:p>
                        </w:txbxContent>
                      </v:textbox>
                    </v:roundrect>
                    <v:roundrect id="Rounded Rectangle 1029" o:spid="_x0000_s1061" style="position:absolute;left:100;top:19895;width:8754;height:5426;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wtcYA&#10;AADdAAAADwAAAGRycy9kb3ducmV2LnhtbESPQWvCQBCF74L/YRmhF6kbI0qMWYMUCgqF1lR6HrLT&#10;JDQ7G7JbE/+9Wyh4m+G9782bLB9NK67Uu8ayguUiAkFcWt1wpeDy+fqcgHAeWWNrmRTcyEG+n04y&#10;TLUd+EzXwlcihLBLUUHtfZdK6cqaDLqF7YiD9m17gz6sfSV1j0MIN62Mo2gjDTYcLtTY0UtN5U/x&#10;a0KN6rKajytp3t+Sr/VNbk4f6/NJqafZeNiB8DT6h/mfPurARfEW/r4JI8j9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2wtcYAAADdAAAADwAAAAAAAAAAAAAAAACYAgAAZHJz&#10;L2Rvd25yZXYueG1sUEsFBgAAAAAEAAQA9QAAAIsDAAAAAA==&#10;" fillcolor="yellow" strokecolor="red" strokeweight="1pt">
                      <v:stroke joinstyle="miter"/>
                      <v:textbox>
                        <w:txbxContent>
                          <w:p w:rsidR="00F54823" w:rsidRDefault="00F54823">
                            <w:pPr>
                              <w:spacing w:line="360" w:lineRule="auto"/>
                              <w:jc w:val="center"/>
                              <w:rPr>
                                <w:color w:val="000000"/>
                                <w:sz w:val="16"/>
                                <w:szCs w:val="16"/>
                                <w:lang w:val="en-US"/>
                              </w:rPr>
                            </w:pPr>
                            <w:r>
                              <w:rPr>
                                <w:color w:val="000000"/>
                                <w:sz w:val="16"/>
                                <w:szCs w:val="16"/>
                                <w:lang w:val="en-US"/>
                              </w:rPr>
                              <w:t>ShareholdershipModel</w:t>
                            </w:r>
                          </w:p>
                        </w:txbxContent>
                      </v:textbox>
                    </v:roundrect>
                    <v:roundrect id="Rounded Rectangle 1030" o:spid="_x0000_s1062" style="position:absolute;left:200;top:26009;width:8653;height:55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6P9cYA&#10;AADdAAAADwAAAGRycy9kb3ducmV2LnhtbESPQWvCQBCF7wX/wzKCl1I3NUQkdRURCgqFNqn0PGSn&#10;SWh2NmRXTf5951DobR7zvjdvtvvRdepGQ2g9G3heJqCIK29brg1cPl+fNqBCRLbYeSYDEwXY72YP&#10;W8ytv3NBtzLWSkI45GigibHPtQ5VQw7D0vfEsvv2g8Mocqi1HfAu4a7TqyRZa4cty4UGezo2VP2U&#10;Vyc16kv6OKbavb9tvrJJr88fWXE2ZjEfDy+gIo3x3/xHn6xwSSr9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6P9cYAAADdAAAADwAAAAAAAAAAAAAAAACYAgAAZHJz&#10;L2Rvd25yZXYueG1sUEsFBgAAAAAEAAQA9QAAAIsDAAAAAA==&#10;" fillcolor="yellow" strokecolor="red" strokeweight="1pt">
                      <v:stroke joinstyle="miter"/>
                      <v:textbox>
                        <w:txbxContent>
                          <w:p w:rsidR="00F54823" w:rsidRDefault="00F54823">
                            <w:pPr>
                              <w:spacing w:line="276" w:lineRule="auto"/>
                              <w:jc w:val="center"/>
                              <w:rPr>
                                <w:color w:val="000000"/>
                                <w:sz w:val="16"/>
                                <w:szCs w:val="16"/>
                                <w:lang w:val="en-US"/>
                              </w:rPr>
                            </w:pPr>
                            <w:r>
                              <w:rPr>
                                <w:color w:val="000000"/>
                                <w:sz w:val="16"/>
                                <w:szCs w:val="16"/>
                                <w:lang w:val="en-US"/>
                              </w:rPr>
                              <w:t xml:space="preserve">Resource Dependency </w:t>
                            </w:r>
                          </w:p>
                          <w:p w:rsidR="00F54823" w:rsidRDefault="00F54823">
                            <w:pPr>
                              <w:spacing w:line="276" w:lineRule="auto"/>
                              <w:jc w:val="center"/>
                              <w:rPr>
                                <w:color w:val="000000"/>
                                <w:sz w:val="16"/>
                                <w:szCs w:val="16"/>
                                <w:lang w:val="en-US"/>
                              </w:rPr>
                            </w:pPr>
                            <w:r>
                              <w:rPr>
                                <w:color w:val="000000"/>
                                <w:sz w:val="16"/>
                                <w:szCs w:val="16"/>
                                <w:lang w:val="en-US"/>
                              </w:rPr>
                              <w:t xml:space="preserve"> Model</w:t>
                            </w:r>
                          </w:p>
                        </w:txbxContent>
                      </v:textbox>
                    </v:roundrect>
                    <v:shape id="Straight Arrow Connector 1031" o:spid="_x0000_s1063" type="#_x0000_t32" style="position:absolute;left:8842;top:22106;width:4619;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F+cMAAADdAAAADwAAAGRycy9kb3ducmV2LnhtbERPTWsCMRC9F/wPYYTeamILIlujlKJg&#10;D4pVkR7HZNxd3EyWJF23/74pFLzN433ObNG7RnQUYu1Zw3ikQBAbb2suNRwPq6cpiJiQLTaeScMP&#10;RVjMBw8zLKy/8Sd1+1SKHMKxQA1VSm0hZTQVOYwj3xJn7uKDw5RhKKUNeMvhrpHPSk2kw5pzQ4Ut&#10;vVdkrvtvp2GzNbvdtLuu+w+1MaevY/DnZdD6cdi/vYJI1Ke7+N+9tnm+ehnD3zf5B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aBfnDAAAA3QAAAA8AAAAAAAAAAAAA&#10;AAAAoQIAAGRycy9kb3ducmV2LnhtbFBLBQYAAAAABAAEAPkAAACRAwAAAAA=&#10;" strokecolor="#5b9bd5" strokeweight=".5pt">
                      <v:stroke endarrow="block" joinstyle="miter"/>
                    </v:shape>
                    <v:shape id="Straight Arrow Connector 1032" o:spid="_x0000_s1064" type="#_x0000_t32" style="position:absolute;left:8842;top:22809;width:4421;height:35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iAxsAAAADdAAAADwAAAGRycy9kb3ducmV2LnhtbERPS4vCMBC+L+x/CLOwtzXVBdGuUYoo&#10;ePHgC69DM9sUm0lNotZ/bwTB23x8z5nMOtuIK/lQO1bQ72UgiEuna64U7HfLnxGIEJE1No5JwZ0C&#10;zKafHxPMtbvxhq7bWIkUwiFHBSbGNpcylIYshp5riRP377zFmKCvpPZ4S+G2kYMsG0qLNacGgy3N&#10;DZWn7cUqoEXR90jn8chs9icaHwu5PhRKfX91xR+ISF18i1/ulU7zs98BPL9JJ8jp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IgMbAAAAA3QAAAA8AAAAAAAAAAAAAAAAA&#10;oQIAAGRycy9kb3ducmV2LnhtbFBLBQYAAAAABAAEAPkAAACOAwAAAAA=&#10;" strokecolor="#5b9bd5" strokeweight=".5pt">
                      <v:stroke endarrow="block" joinstyle="miter"/>
                    </v:shape>
                  </v:group>
                </v:group>
              </v:group>
            </w:pict>
          </mc:Fallback>
        </mc:AlternateContent>
      </w:r>
    </w:p>
    <w:p w:rsidR="00FA1AC4" w:rsidRDefault="00FA1AC4"/>
    <w:p w:rsidR="00FA1AC4" w:rsidRDefault="00B11CCA">
      <w:pPr>
        <w:autoSpaceDE w:val="0"/>
        <w:autoSpaceDN w:val="0"/>
        <w:adjustRightInd w:val="0"/>
        <w:spacing w:after="240"/>
        <w:rPr>
          <w:b/>
          <w:bCs/>
          <w:sz w:val="28"/>
          <w:szCs w:val="28"/>
        </w:rPr>
      </w:pPr>
      <w:r>
        <w:rPr>
          <w:noProof/>
          <w:lang w:val="en-US"/>
        </w:rPr>
        <mc:AlternateContent>
          <mc:Choice Requires="wps">
            <w:drawing>
              <wp:anchor distT="0" distB="0" distL="0" distR="0" simplePos="0" relativeHeight="2" behindDoc="0" locked="0" layoutInCell="1" allowOverlap="1">
                <wp:simplePos x="0" y="0"/>
                <wp:positionH relativeFrom="column">
                  <wp:posOffset>2753248</wp:posOffset>
                </wp:positionH>
                <wp:positionV relativeFrom="paragraph">
                  <wp:posOffset>373994</wp:posOffset>
                </wp:positionV>
                <wp:extent cx="0" cy="0"/>
                <wp:effectExtent l="0" t="0" r="0" b="0"/>
                <wp:wrapNone/>
                <wp:docPr id="1066"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w="6350" cap="flat" cmpd="sng">
                          <a:solidFill>
                            <a:srgbClr val="5B9BD5"/>
                          </a:solidFill>
                          <a:prstDash val="solid"/>
                          <a:miter/>
                          <a:headEnd type="none" w="med" len="med"/>
                          <a:tailEnd type="triangle" w="med" len="med"/>
                        </a:ln>
                      </wps:spPr>
                      <wps:bodyPr/>
                    </wps:wsp>
                  </a:graphicData>
                </a:graphic>
              </wp:anchor>
            </w:drawing>
          </mc:Choice>
          <mc:Fallback>
            <w:pict>
              <v:shape w14:anchorId="143E5E99" id="Straight Arrow Connector 17" o:spid="_x0000_s1026" type="#_x0000_t32" style="position:absolute;margin-left:216.8pt;margin-top:29.45pt;width:0;height:0;z-index: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" strokecolor="#5b9bd5" strokeweight=".5pt">
                <v:stroke endarrow="block" joinstyle="miter"/>
                <o:lock v:ext="edit" shapetype="f"/>
              </v:shape>
            </w:pict>
          </mc:Fallback>
        </mc:AlternateContent>
      </w:r>
    </w:p>
    <w:p w:rsidR="00FA1AC4" w:rsidRDefault="00FA1AC4">
      <w:pPr>
        <w:rPr>
          <w:b/>
          <w:bCs/>
          <w:sz w:val="28"/>
          <w:szCs w:val="28"/>
        </w:rPr>
      </w:pPr>
    </w:p>
    <w:p w:rsidR="00FA1AC4" w:rsidRDefault="00FA1AC4">
      <w:pPr>
        <w:rPr>
          <w:b/>
          <w:bCs/>
          <w:sz w:val="28"/>
          <w:szCs w:val="28"/>
        </w:rPr>
      </w:pPr>
    </w:p>
    <w:p w:rsidR="00FA1AC4" w:rsidRDefault="00FA1AC4">
      <w:pPr>
        <w:rPr>
          <w:b/>
          <w:bCs/>
          <w:sz w:val="28"/>
          <w:szCs w:val="28"/>
        </w:rPr>
      </w:pPr>
    </w:p>
    <w:p w:rsidR="00FA1AC4" w:rsidRDefault="00FA1AC4">
      <w:pPr>
        <w:rPr>
          <w:b/>
          <w:bCs/>
          <w:sz w:val="28"/>
          <w:szCs w:val="28"/>
        </w:rPr>
      </w:pPr>
    </w:p>
    <w:p w:rsidR="00FA1AC4" w:rsidRDefault="00FA1AC4">
      <w:pPr>
        <w:rPr>
          <w:b/>
          <w:bCs/>
          <w:sz w:val="28"/>
          <w:szCs w:val="28"/>
        </w:rPr>
      </w:pPr>
    </w:p>
    <w:p w:rsidR="00FA1AC4" w:rsidRDefault="00FA1AC4">
      <w:pPr>
        <w:rPr>
          <w:b/>
          <w:bCs/>
          <w:sz w:val="28"/>
          <w:szCs w:val="28"/>
        </w:rPr>
      </w:pPr>
    </w:p>
    <w:p w:rsidR="00FA1AC4" w:rsidRDefault="00FA1AC4">
      <w:pPr>
        <w:rPr>
          <w:b/>
          <w:bCs/>
          <w:sz w:val="28"/>
          <w:szCs w:val="28"/>
        </w:rPr>
      </w:pPr>
    </w:p>
    <w:p w:rsidR="00FA1AC4" w:rsidRDefault="00FA1AC4">
      <w:pPr>
        <w:jc w:val="center"/>
        <w:rPr>
          <w:b/>
          <w:bCs/>
        </w:rPr>
      </w:pPr>
    </w:p>
    <w:p w:rsidR="00FA1AC4" w:rsidRDefault="00B11CCA">
      <w:pPr>
        <w:jc w:val="center"/>
        <w:rPr>
          <w:bCs/>
        </w:rPr>
      </w:pPr>
      <w:r>
        <w:rPr>
          <w:b/>
          <w:bCs/>
        </w:rPr>
        <w:t xml:space="preserve">Figure 2.1: </w:t>
      </w:r>
      <w:r>
        <w:rPr>
          <w:bCs/>
        </w:rPr>
        <w:t>Conceptual Framework</w:t>
      </w:r>
    </w:p>
    <w:p w:rsidR="00FA1AC4" w:rsidRDefault="00B11CCA">
      <w:pPr>
        <w:pStyle w:val="Heading2"/>
        <w:numPr>
          <w:ilvl w:val="1"/>
          <w:numId w:val="13"/>
        </w:numPr>
        <w:rPr>
          <w:color w:val="FF0000"/>
        </w:rPr>
      </w:pPr>
      <w:bookmarkStart w:id="27" w:name="_Toc112342344"/>
      <w:r>
        <w:lastRenderedPageBreak/>
        <w:t>. Internal Control System</w:t>
      </w:r>
      <w:bookmarkEnd w:id="27"/>
    </w:p>
    <w:p w:rsidR="00FA1AC4" w:rsidRDefault="00B11CCA">
      <w:pPr>
        <w:autoSpaceDE w:val="0"/>
        <w:autoSpaceDN w:val="0"/>
        <w:adjustRightInd w:val="0"/>
        <w:spacing w:after="240"/>
      </w:pPr>
      <w:r>
        <w:t xml:space="preserve">The conceptual framework deal with </w:t>
      </w:r>
      <w:r>
        <w:rPr>
          <w:sz w:val="22"/>
          <w:szCs w:val="22"/>
        </w:rPr>
        <w:t>internal</w:t>
      </w:r>
      <w:r>
        <w:t xml:space="preserve"> control which was defined by </w:t>
      </w:r>
      <w:r>
        <w:fldChar w:fldCharType="begin"/>
      </w:r>
      <w:r>
        <w:instrText>ADDIN CSL_CITATION {"citationItems":[{"id":"ITEM-1","itemData":{"author":[{"dropping-particle":"","family":"Liu","given":"Wu-po","non-dropping-particle":"","parse-names":false,"suffix":""},{"dropping-particle":"","family":"Huang","given":"Hua-wei","non-dropping-particle":"","parse-names":false,"suffix":""}],"container-title":"International Business Review","id":"ITEM-1","issued":{"date-parts":[["2020"]]},"title":"Auditor realignment, voluntary SOX 404 adoption, and internal control material weakness remediation: Further evidence from U.S.-listed foreign firms","type":"article-journal","volume":"29"},"uris":["http://www.mendeley.com/documents/?uuid=3b78fc7a-a504-47f7-94d1-618316b3acd1"]}],"mendeley":{"formattedCitation":"(Liu &amp; Huang, 2020)","manualFormatting":"(Liu and Huang, 2020)","plainTextFormattedCitation":"(Liu &amp; Huang, 2020)","previouslyFormattedCitation":"(Liu &amp; Huang, 2020)"},"properties":{"noteIndex":0},"schema":"https://github.com/citation-style-language/schema/raw/master/csl-citation.json"}</w:instrText>
      </w:r>
      <w:r>
        <w:fldChar w:fldCharType="separate"/>
      </w:r>
      <w:r>
        <w:rPr>
          <w:noProof/>
        </w:rPr>
        <w:t>Liu and Huang, (2020)</w:t>
      </w:r>
      <w:r>
        <w:fldChar w:fldCharType="end"/>
      </w:r>
      <w:r>
        <w:t xml:space="preserve"> as a policy or practice that ensures operational efficiency, accurate financial reporting, and regulatory compliance in business operations. The internal control structure of the organization (also known as the internal control system) includes rules and processes that give relative assurance of accomplishing organizational objectives. According to </w:t>
      </w:r>
      <w:r>
        <w:fldChar w:fldCharType="begin"/>
      </w:r>
      <w:r>
        <w:instrText>ADDIN CSL_CITATION {"citationItems":[{"id":"ITEM-1","itemData":{"DOI":"10.1016/S2212-5671(15)01095-3","author":[{"dropping-particle":"","family":"Mohd","given":"Zuraidah","non-dropping-particle":"","parse-names":false,"suffix":""},{"dropping-particle":"","family":"Juhaida","given":"Razana","non-dropping-particle":"","parse-names":false,"suffix":""},{"dropping-particle":"","family":"Said","given":"Jamaliah","non-dropping-particle":"","parse-names":false,"suffix":""},{"dropping-particle":"","family":"Iskandar","given":"Takiah","non-dropping-particle":"","parse-names":false,"suffix":""}],"id":"ITEM-1","issue":"April","issued":{"date-parts":[["2015"]]},"page":"156-162","title":"The Effects of Internal Control System , Financial Management and Accountability of NPOs : The Perspective of Mosques in Malaysia","type":"article-journal","volume":"28"},"uris":["http://www.mendeley.com/documents/?uuid=27d133f6-4852-4b0e-a34e-29235679447b"]}],"mendeley":{"formattedCitation":"(Mohd et al., 2015)","manualFormatting":"Mohd, Juhaida, Said and Iskandar, (2015)","plainTextFormattedCitation":"(Mohd et al., 2015)","previouslyFormattedCitation":"(Mohd et al., 2015)"},"properties":{"noteIndex":0},"schema":"https://github.com/citation-style-language/schema/raw/master/csl-citation.json"}</w:instrText>
      </w:r>
      <w:r>
        <w:fldChar w:fldCharType="separate"/>
      </w:r>
      <w:r>
        <w:rPr>
          <w:noProof/>
        </w:rPr>
        <w:t>Mohd, Juhaida, Said and Iskandar, (2015)</w:t>
      </w:r>
      <w:r>
        <w:fldChar w:fldCharType="end"/>
      </w:r>
      <w:r>
        <w:t xml:space="preserve"> internal control system is the policies and processes put in place to ensure the protection of an organization's assets and the accuracy of financial reporting. Internal control can only give a company's goals a "reasonable assurance," not a "absolute certainty," that they will be achieved </w:t>
      </w:r>
      <w:r>
        <w:fldChar w:fldCharType="begin"/>
      </w:r>
      <w:r>
        <w:instrText>ADDIN CSL_CITATION {"citationItems":[{"id":"ITEM-1","itemData":{"author":[{"dropping-particle":"","family":"Li","given":"Zhe","non-dropping-particle":"","parse-names":false,"suffix":""},{"dropping-particle":"","family":"Wang","given":"Bo","non-dropping-particle":"","parse-names":false,"suffix":""},{"dropping-particle":"","family":"Wu","given":"Tianlong","non-dropping-particle":"","parse-names":false,"suffix":""},{"dropping-particle":"","family":"Zhou","given":"Dan","non-dropping-particle":"","parse-names":false,"suffix":""}],"container-title":"International Review of Financial Analysis","id":"ITEM-1","issued":{"date-parts":[["2021"]]},"title":"International Review of Financial Analysis The influence of qualified foreign institutional investors on internal control quality : Evidence from China","type":"article-journal","volume":"78"},"uris":["http://www.mendeley.com/documents/?uuid=5c9c0512-71af-40db-a570-7e34d0fa6e02"]}],"mendeley":{"formattedCitation":"(Li et al., 2021)","manualFormatting":"(Li, Wang, Wu and Zhou, 2021)","plainTextFormattedCitation":"(Li et al., 2021)","previouslyFormattedCitation":"(Li et al., 2021)"},"properties":{"noteIndex":0},"schema":"https://github.com/citation-style-language/schema/raw/master/csl-citation.json"}</w:instrText>
      </w:r>
      <w:r>
        <w:fldChar w:fldCharType="separate"/>
      </w:r>
      <w:r>
        <w:rPr>
          <w:noProof/>
        </w:rPr>
        <w:t>(Li, Wang, Wu and Zhou, 2021)</w:t>
      </w:r>
      <w:r>
        <w:fldChar w:fldCharType="end"/>
      </w:r>
      <w:r>
        <w:t>.</w:t>
      </w:r>
    </w:p>
    <w:p w:rsidR="00FA1AC4" w:rsidRDefault="00B11CCA">
      <w:pPr>
        <w:autoSpaceDE w:val="0"/>
        <w:autoSpaceDN w:val="0"/>
        <w:adjustRightInd w:val="0"/>
        <w:spacing w:after="240"/>
      </w:pPr>
      <w:r>
        <w:t xml:space="preserve">Implementing a proper system will assist the organization in becoming more successful and efficient in its operations. Internal control systems, as defined by </w:t>
      </w:r>
      <w:r>
        <w:fldChar w:fldCharType="begin"/>
      </w:r>
      <w:r>
        <w:instrText>ADDIN CSL_CITATION {"citationItems":[{"id":"ITEM-1","itemData":{"DOI":"10.11648/j.jfa.20200805.12","ISSN":"2330-7331","abstract":"In recent years many organizations have realized the importance of the role of directors, audit committee, internal auditors and external auditors in preparing and presenting quality financial reports to all stakeholders. In Nigeria, the performance and the quality of financial reports of companies in the insurance industry is dependent on the efficiency and effectiveness of the internal control system. This paper studied the impact of internal control systems and the quality of financial reporting in insurance industry in Nigeria. The research employed a survey research design. The study administered 100 questionnaires randomly to respondents, 98 questionnaires were returned and analysed. The data collected were analysed using descriptive and inferential statistics. The research hypothesis were analysed using regression analysis using Statistical Product and Service Solutions (SPSS 26). The results of the findings revealed that control environment, risk assessment, control activities, information and communication and monitoring has a statistical significant positive effect on quality of financial reporting of insurance industry in Nigeria. The study concluded that effective and efficient internal control system can affect the quality of financial reports of insurance industry in Nigeria.","author":[{"dropping-particle":"","family":"Ajao","given":"Owolabi Sunday","non-dropping-particle":"","parse-names":false,"suffix":""},{"dropping-particle":"","family":"Amosun","given":"Olayemi Oluwadamilola","non-dropping-particle":"","parse-names":false,"suffix":""}],"container-title":"Journal of Finance and Accounting","id":"ITEM-1","issue":"5","issued":{"date-parts":[["2020"]]},"page":"218","title":"Internal Control Systems and Quality of Financial Reporting in Insurance Industry in Nigeria","type":"article-journal","volume":"8"},"uris":["http://www.mendeley.com/documents/?uuid=7d317932-be2b-4e7d-800b-946840c4fe7c"]}],"mendeley":{"formattedCitation":"(Ajao &amp; Amosun, 2020)","manualFormatting":"(Ajao and Amosun, 2020)","plainTextFormattedCitation":"(Ajao &amp; Amosun, 2020)","previouslyFormattedCitation":"(Ajao &amp; Amosun, 2020)"},"properties":{"noteIndex":0},"schema":"https://github.com/citation-style-language/schema/raw/master/csl-citation.json"}</w:instrText>
      </w:r>
      <w:r>
        <w:fldChar w:fldCharType="separate"/>
      </w:r>
      <w:r>
        <w:rPr>
          <w:noProof/>
        </w:rPr>
        <w:t>(Ajao and Amosun, 2020)</w:t>
      </w:r>
      <w:r>
        <w:fldChar w:fldCharType="end"/>
      </w:r>
      <w:r>
        <w:t xml:space="preserve">, are the combined methods, strategies, and processes that secure a firm's assets, improve financial and operational performance, and foster adherence to specified regulations. Effective administration of a company's internal control system necessitates the use of judgment. To evaluate how much control is enough in the organization, management and the board of directors utilize their judgment. Daily, management and other people utilize their judgment to pick, develop, and apply controls across the firm. When it comes to monitoring, assessing, and testing the efficacy of the internal control system, management and internal auditors use their judgment. The SEC defines internal control as "a process used by a board of directors, management, and other individuals to </w:t>
      </w:r>
      <w:r>
        <w:lastRenderedPageBreak/>
        <w:t>provide reasonable assurance over the accuracy of financial reporting for a company" (</w:t>
      </w:r>
      <w:r>
        <w:fldChar w:fldCharType="begin"/>
      </w:r>
      <w:r>
        <w:instrText>ADDIN CSL_CITATION {"citationItems":[{"id":"ITEM-1","itemData":{"DOI":"10.1016/j.jacceco.2006.10.003","author":[{"dropping-particle":"","family":"Doyle","given":"Jeffrey","non-dropping-particle":"","parse-names":false,"suffix":""},{"dropping-particle":"","family":"Ge","given":"Weili","non-dropping-particle":"","parse-names":false,"suffix":""},{"dropping-particle":"","family":"Mcvay","given":"Sarah","non-dropping-particle":"","parse-names":false,"suffix":""}],"id":"ITEM-1","issued":{"date-parts":[["2007"]]},"page":"193-223","title":"Determinants of weaknesses in internal control over financial reporting","type":"article-journal","volume":"44"},"uris":["http://www.mendeley.com/documents/?uuid=c2f05372-cd87-4291-aca1-2f602617dfdb"]}],"mendeley":{"formattedCitation":"(Doyle et al., 2007)","manualFormatting":"Doyle, Ge and Mcvay, 2007)","plainTextFormattedCitation":"(Doyle et al., 2007)","previouslyFormattedCitation":"(Doyle et al., 2007)"},"properties":{"noteIndex":0},"schema":"https://github.com/citation-style-language/schema/raw/master/csl-citation.json"}</w:instrText>
      </w:r>
      <w:r>
        <w:fldChar w:fldCharType="separate"/>
      </w:r>
      <w:r>
        <w:rPr>
          <w:noProof/>
        </w:rPr>
        <w:t>Doyle, Ge and Mcvay, 2007)</w:t>
      </w:r>
      <w:r>
        <w:fldChar w:fldCharType="end"/>
      </w:r>
      <w:r>
        <w:t xml:space="preserve">. To safeguard investors against insider trading, securities authorities around the world are increasingly relying on oversight of corporations' internal controls over financial reporting which bring about specific rules in Sarbanes-Oxley Act of 2002 (SOX) and the Dodd-Frank Wall Street Reform and Consumer Protection Act 2010 </w:t>
      </w:r>
      <w:r>
        <w:fldChar w:fldCharType="begin"/>
      </w:r>
      <w:r>
        <w:instrText>ADDIN CSL_CITATION {"citationItems":[{"id":"ITEM-1","itemData":{"author":[{"dropping-particle":"","family":"Schantl","given":"Stefan F","non-dropping-particle":"","parse-names":false,"suffix":""},{"dropping-particle":"","family":"Wagenhofer","given":"Alfred","non-dropping-particle":"","parse-names":false,"suffix":""}],"container-title":"accounting and Public Policy","id":"ITEM-1","issued":{"date-parts":[["2021"]]},"title":"Public Policy Optimal internal control regulation : Standards , penalties , and leniency in enforcement","type":"article-journal","volume":"40"},"uris":["http://www.mendeley.com/documents/?uuid=49913659-7c27-4b76-aacc-02585350f067"]}],"mendeley":{"formattedCitation":"(Schantl &amp; Wagenhofer, 2021)","manualFormatting":"(Schantl and Wagenhofer, 2021)","plainTextFormattedCitation":"(Schantl &amp; Wagenhofer, 2021)","previouslyFormattedCitation":"(Schantl &amp; Wagenhofer, 2021)"},"properties":{"noteIndex":0},"schema":"https://github.com/citation-style-language/schema/raw/master/csl-citation.json"}</w:instrText>
      </w:r>
      <w:r>
        <w:fldChar w:fldCharType="separate"/>
      </w:r>
      <w:r>
        <w:rPr>
          <w:noProof/>
        </w:rPr>
        <w:t>(Schantl and Wagenhofer, 2021)</w:t>
      </w:r>
      <w:r>
        <w:fldChar w:fldCharType="end"/>
      </w:r>
      <w:r>
        <w:t>.</w:t>
      </w:r>
    </w:p>
    <w:p w:rsidR="00FA1AC4" w:rsidRDefault="00B11CCA">
      <w:pPr>
        <w:pStyle w:val="Heading3"/>
      </w:pPr>
      <w:bookmarkStart w:id="28" w:name="_Toc112342345"/>
      <w:r>
        <w:t>2.2.1.</w:t>
      </w:r>
      <w:r>
        <w:tab/>
        <w:t>Control Activities</w:t>
      </w:r>
      <w:bookmarkEnd w:id="28"/>
    </w:p>
    <w:p w:rsidR="00FA1AC4" w:rsidRDefault="00B11CCA">
      <w:pPr>
        <w:autoSpaceDE w:val="0"/>
        <w:autoSpaceDN w:val="0"/>
        <w:adjustRightInd w:val="0"/>
        <w:spacing w:after="240"/>
      </w:pPr>
      <w:r>
        <w:t>Control activities are procedures and policies that assist in putting management directives into action. One of the most crucial control jobs is the segregation of duties. It is best to assign various personnel the tasks of authorizing and recording transactions, keeping custody of assets, and conducting comparisons and reconciliations. Small firms could find it challenging to divide responsibilities effectively, but organizations should make every effort to do so. Effective management monitoring should be offered in situations when segregation is not feasible to make sure that any mistakes or anomalies are found as soon as possible. Controls can be used at different organizational and functional levels and have a variety of aims.</w:t>
      </w:r>
    </w:p>
    <w:p w:rsidR="00FA1AC4" w:rsidRDefault="00B11CCA">
      <w:pPr>
        <w:autoSpaceDE w:val="0"/>
        <w:autoSpaceDN w:val="0"/>
        <w:adjustRightInd w:val="0"/>
      </w:pPr>
      <w:r>
        <w:t>Generally, control can be in two categories: Preventive and corrective controls. Preventive controls concentrate on avoiding mistakes or irregularities. Here, the detective keeps their attention on determining when a mistake or irregularity has happened.  Corrective controls concentrate on overcoming, mending the harm caused by, or reducing the expense of an error or irregularity.</w:t>
      </w:r>
    </w:p>
    <w:p w:rsidR="00FA1AC4" w:rsidRDefault="00FA1AC4">
      <w:pPr>
        <w:autoSpaceDE w:val="0"/>
        <w:autoSpaceDN w:val="0"/>
        <w:adjustRightInd w:val="0"/>
      </w:pPr>
    </w:p>
    <w:p w:rsidR="00FA1AC4" w:rsidRDefault="00B11CCA">
      <w:pPr>
        <w:pStyle w:val="Heading3"/>
      </w:pPr>
      <w:bookmarkStart w:id="29" w:name="_Toc112342346"/>
      <w:r>
        <w:lastRenderedPageBreak/>
        <w:t>2.2.2.</w:t>
      </w:r>
      <w:r>
        <w:tab/>
        <w:t>Risk Assessment</w:t>
      </w:r>
      <w:bookmarkEnd w:id="29"/>
      <w:r>
        <w:t xml:space="preserve"> </w:t>
      </w:r>
    </w:p>
    <w:p w:rsidR="00FA1AC4" w:rsidRDefault="00B11CCA">
      <w:pPr>
        <w:autoSpaceDE w:val="0"/>
        <w:autoSpaceDN w:val="0"/>
        <w:adjustRightInd w:val="0"/>
      </w:pPr>
      <w:r>
        <w:t>Risk assessment is the process of locating and analyzing dangers that can prevent an organization from achieving its objectives. Management will be able to decide how to mitigate and manage risks if it can identify them correctly. Risk factors from the inside and outside are also conceivable. As changes in an organization's risk assessment, such as staffing, new policies, new software applications, new legislation, and so forth, can all have an influence, management should regularly analyze risk. Control activities are procedures and policies that assist in putting management directives into action. One of the most crucial control jobs is the segregation of duties. It is best to assign various personnel the tasks of authorizing and recording transactions, keeping custody of assets, and conducting comparisons and reconciliations. It may be challenging for small businesses to divide responsibilities effectively, but organizations should make every effort to do so. Effective management monitoring should be offered in situations when segregation is not feasible to make sure that any mistakes or anomalies are found as soon as possible. Controls can be used at different organizational and functional levels and have a variety of aims such as:</w:t>
      </w:r>
    </w:p>
    <w:p w:rsidR="00FA1AC4" w:rsidRDefault="00B11CCA">
      <w:pPr>
        <w:pStyle w:val="ListParagraph"/>
        <w:numPr>
          <w:ilvl w:val="0"/>
          <w:numId w:val="4"/>
        </w:numPr>
        <w:tabs>
          <w:tab w:val="left" w:pos="450"/>
        </w:tabs>
        <w:autoSpaceDE w:val="0"/>
        <w:autoSpaceDN w:val="0"/>
        <w:adjustRightInd w:val="0"/>
        <w:ind w:left="426"/>
      </w:pPr>
      <w:r>
        <w:t xml:space="preserve">Principle of Separation: Financial and accounting processes need to be kept apart, thus different people should handle cash and record its movements. </w:t>
      </w:r>
    </w:p>
    <w:p w:rsidR="00FA1AC4" w:rsidRDefault="00B11CCA">
      <w:pPr>
        <w:pStyle w:val="ListParagraph"/>
        <w:numPr>
          <w:ilvl w:val="0"/>
          <w:numId w:val="4"/>
        </w:numPr>
        <w:tabs>
          <w:tab w:val="left" w:pos="450"/>
        </w:tabs>
        <w:autoSpaceDE w:val="0"/>
        <w:autoSpaceDN w:val="0"/>
        <w:adjustRightInd w:val="0"/>
        <w:ind w:left="426"/>
      </w:pPr>
      <w:r>
        <w:t xml:space="preserve">Responsibility: It is important to establish responsibility up front so that there is no opportunity for uncertainty or doubt in the future. </w:t>
      </w:r>
    </w:p>
    <w:p w:rsidR="00FA1AC4" w:rsidRDefault="00B11CCA">
      <w:pPr>
        <w:pStyle w:val="ListParagraph"/>
        <w:numPr>
          <w:ilvl w:val="0"/>
          <w:numId w:val="4"/>
        </w:numPr>
        <w:tabs>
          <w:tab w:val="left" w:pos="450"/>
        </w:tabs>
        <w:autoSpaceDE w:val="0"/>
        <w:autoSpaceDN w:val="0"/>
        <w:adjustRightInd w:val="0"/>
        <w:spacing w:after="240"/>
        <w:ind w:left="432"/>
      </w:pPr>
      <w:r>
        <w:t xml:space="preserve">Principle of Scepticism: Don't place too much faith in any one person. Nearly all frauds have been carried out by dependable employees or officials. The rigid governing concept should be the rotation principle, which deals with the transition of </w:t>
      </w:r>
      <w:r>
        <w:lastRenderedPageBreak/>
        <w:t>an employee from one job to another. Work should be set up so that it is immediately checked by another independent employee after being completed by one person.</w:t>
      </w:r>
    </w:p>
    <w:p w:rsidR="00FA1AC4" w:rsidRDefault="00B11CCA">
      <w:pPr>
        <w:pStyle w:val="Heading3"/>
        <w:spacing w:after="120"/>
      </w:pPr>
      <w:bookmarkStart w:id="30" w:name="_Toc112342347"/>
      <w:r>
        <w:t>2.2.3.</w:t>
      </w:r>
      <w:r>
        <w:tab/>
        <w:t>Information and Communication</w:t>
      </w:r>
      <w:bookmarkEnd w:id="30"/>
      <w:r>
        <w:t xml:space="preserve"> </w:t>
      </w:r>
    </w:p>
    <w:p w:rsidR="00FA1AC4" w:rsidRDefault="00B11CCA">
      <w:pPr>
        <w:autoSpaceDE w:val="0"/>
        <w:autoSpaceDN w:val="0"/>
        <w:adjustRightInd w:val="0"/>
        <w:spacing w:after="240"/>
      </w:pPr>
      <w:r>
        <w:t>Information and communication make up the fourth element of internal control. In order for staff to perform their jobs, it is necessary to quickly identify and transfer the information they need. For instance, timely financial reporting can assist management in identifying operational abnormalities like diminishing margins and huge reserves. The procedures and documents used to document, preserve, and report an entity's occurrences as well as to retain accountability for the associated assets, liabilities, and equity makes up the information system. The dissemination of knowledge about individual duties and responsibilities in relation to internal controls is the focus of this component's communication element. People should be aware of how their actions relate to other people's work and how to report exceptions to higher levels of management. Open lines of communication make it easier to make sure that anomalies are reported and addressed. The policy manuals, accounting manuals, and financial reporting manuals are all part of communication.</w:t>
      </w:r>
    </w:p>
    <w:p w:rsidR="00FA1AC4" w:rsidRDefault="00B11CCA">
      <w:pPr>
        <w:pStyle w:val="Heading3"/>
      </w:pPr>
      <w:bookmarkStart w:id="31" w:name="_Toc112342348"/>
      <w:r>
        <w:t>2.2.4.</w:t>
      </w:r>
      <w:r>
        <w:tab/>
        <w:t>Monitoring Activities</w:t>
      </w:r>
      <w:bookmarkEnd w:id="31"/>
      <w:r>
        <w:t xml:space="preserve"> </w:t>
      </w:r>
    </w:p>
    <w:p w:rsidR="00FA1AC4" w:rsidRDefault="00B11CCA">
      <w:pPr>
        <w:autoSpaceDE w:val="0"/>
        <w:autoSpaceDN w:val="0"/>
        <w:adjustRightInd w:val="0"/>
        <w:rPr>
          <w:bCs/>
        </w:rPr>
      </w:pPr>
      <w:r>
        <w:rPr>
          <w:bCs/>
        </w:rPr>
        <w:t xml:space="preserve">Monitoring is a crucial part of management when it comes to internal control. All controls are monitored and evaluated to see if they are operating as intended by top management. Management must make the appropriate adjustments if controls aren't operating effectively. Internal control or quality assurance departments are regularly employed to monitor. (Babalola, 2020) advised managers to develop internal controls while pursuing integrity </w:t>
      </w:r>
      <w:r>
        <w:rPr>
          <w:bCs/>
        </w:rPr>
        <w:lastRenderedPageBreak/>
        <w:t>and transparency, setting clear goals, cultivating connections for organizational buy-in, following through on commitments, educating others, outlining consequences, and rewarding improvement. Monitoring is the procedure used to gauge how well internal controls have performed over time. It entails promptly evaluating the controls' design and functionality and implementing any necessary corrective measures.</w:t>
      </w:r>
    </w:p>
    <w:p w:rsidR="00FA1AC4" w:rsidRDefault="00B11CCA">
      <w:pPr>
        <w:autoSpaceDE w:val="0"/>
        <w:autoSpaceDN w:val="0"/>
        <w:adjustRightInd w:val="0"/>
        <w:spacing w:before="240"/>
      </w:pPr>
      <w:r>
        <w:t>Management conducts continual monitoring actions to complete this process because their operational knowledge is very different from their own. Continuous assessments, independent evaluations, or a combination of the two are used to assess whether each of the five components of internal control, including controls to alter the principles within each component, is present and functional. Current data is provided by ongoing evaluations, which are integrated into business processes at all levels of the organization. The scope and frequency of separate periodic evaluations will vary based on the risk assessment, the success of existing evaluations, and other management considerations. Any shortcomings are communicated to management and the board of directors after findings are compared to standards established by regulators, reputable standard-setting organizations, or management (</w:t>
      </w:r>
      <w:r>
        <w:rPr>
          <w:rFonts w:eastAsia="Times New Roman"/>
          <w:lang w:eastAsia="en-GB"/>
        </w:rPr>
        <w:t>COSO, 2013).</w:t>
      </w:r>
    </w:p>
    <w:p w:rsidR="00FA1AC4" w:rsidRDefault="00B11CCA">
      <w:pPr>
        <w:autoSpaceDE w:val="0"/>
        <w:autoSpaceDN w:val="0"/>
        <w:adjustRightInd w:val="0"/>
        <w:spacing w:before="240"/>
      </w:pPr>
      <w:r>
        <w:t xml:space="preserve">According to </w:t>
      </w:r>
      <w:r>
        <w:fldChar w:fldCharType="begin"/>
      </w:r>
      <w:r>
        <w:instrText>ADDIN CSL_CITATION {"citationItems":[{"id":"ITEM-1","itemData":{"author":[{"dropping-particle":"","family":"Vu","given":"Quang","non-dropping-particle":"","parse-names":false,"suffix":""},{"dropping-particle":"","family":"Thi","given":"Nguyen","non-dropping-particle":"","parse-names":false,"suffix":""},{"dropping-particle":"","family":"Nga","given":"Thuy","non-dropping-particle":"","parse-names":false,"suffix":""}],"container-title":"Finance Research Letters journal","id":"ITEM-1","issue":"December 2020","issued":{"date-parts":[["2021"]]},"title":"Does the implementation of internal controls promote firm profitability ? Evidence from private Vietnamese small- and medium-sized enterprises ( SMEs )","type":"article-journal"},"uris":["http://www.mendeley.com/documents/?uuid=9f5ca38a-f2bc-403e-b722-a64edeb8756a"]}],"mendeley":{"formattedCitation":"(Vu et al., 2021)","manualFormatting":"(Vu, Thi and Nga, 2021)","plainTextFormattedCitation":"(Vu et al., 2021)","previouslyFormattedCitation":"(Vu et al., 2021)"},"properties":{"noteIndex":0},"schema":"https://github.com/citation-style-language/schema/raw/master/csl-citation.json"}</w:instrText>
      </w:r>
      <w:r>
        <w:fldChar w:fldCharType="separate"/>
      </w:r>
      <w:r>
        <w:rPr>
          <w:noProof/>
        </w:rPr>
        <w:t>(Vu, Thi and Nga, 2021)</w:t>
      </w:r>
      <w:r>
        <w:fldChar w:fldCharType="end"/>
      </w:r>
      <w:r>
        <w:t xml:space="preserve">, Internal control systems, according to the COSO, play an essential role in company management, particularly in managerial decision-making that encompasses the five tasks of management: setting goals, planning, organizing, implementing, and controlling. </w:t>
      </w:r>
      <w:r>
        <w:fldChar w:fldCharType="begin"/>
      </w:r>
      <w:r>
        <w:instrText>ADDIN CSL_CITATION {"citationItems":[{"id":"ITEM-1","itemData":{"author":[{"dropping-particle":"","family":"Chang","given":"Yu-tzu","non-dropping-particle":"","parse-names":false,"suffix":""},{"dropping-particle":"","family":"Chen","given":"Hanchung","non-dropping-particle":"","parse-names":false,"suffix":""},{"dropping-particle":"","family":"Cheng","given":"Rainbow K","non-dropping-particle":"","parse-names":false,"suffix":""},{"dropping-particle":"","family":"Chi","given":"Wuchun","non-dropping-particle":"","parse-names":false,"suffix":""}],"container-title":"Journal of Contemporary Accounting &amp; Economics","id":"ITEM-1","issue":"November 2018","issued":{"date-parts":[["2019"]]},"page":"1-19","title":"The impact of internal audit attributes on the effectiveness of internal control over operations and compliance","type":"article-journal","volume":"15"},"uris":["http://www.mendeley.com/documents/?uuid=33878dd3-069b-442e-bb6f-2f0ac72bcf4b"]}],"mendeley":{"formattedCitation":"(Chang et al., 2019)","manualFormatting":"(Chang et al., 2019","plainTextFormattedCitation":"(Chang et al., 2019)","previouslyFormattedCitation":"(Chang et al., 2019)"},"properties":{"noteIndex":0},"schema":"https://github.com/citation-style-language/schema/raw/master/csl-citation.json"}</w:instrText>
      </w:r>
      <w:r>
        <w:fldChar w:fldCharType="separate"/>
      </w:r>
      <w:r>
        <w:rPr>
          <w:noProof/>
        </w:rPr>
        <w:t xml:space="preserve">Chang </w:t>
      </w:r>
      <w:r>
        <w:rPr>
          <w:i/>
          <w:noProof/>
        </w:rPr>
        <w:t>et al</w:t>
      </w:r>
      <w:r>
        <w:rPr>
          <w:noProof/>
        </w:rPr>
        <w:t>., (2019</w:t>
      </w:r>
      <w:r>
        <w:fldChar w:fldCharType="end"/>
      </w:r>
      <w:r>
        <w:t xml:space="preserve">) and  </w:t>
      </w:r>
      <w:r>
        <w:fldChar w:fldCharType="begin"/>
      </w:r>
      <w:r>
        <w:instrText>ADDIN CSL_CITATION {"citationItems":[{"id":"ITEM-1","itemData":{"DOI":"10.1016/j.jacceco.2006.10.003","author":[{"dropping-particle":"","family":"Doyle","given":"Jeffrey","non-dropping-particle":"","parse-names":false,"suffix":""},{"dropping-particle":"","family":"Ge","given":"Weili","non-dropping-particle":"","parse-names":false,"suffix":""},{"dropping-particle":"","family":"Mcvay","given":"Sarah","non-dropping-particle":"","parse-names":false,"suffix":""}],"id":"ITEM-1","issued":{"date-parts":[["2007"]]},"page":"193-223","title":"Determinants of weaknesses in internal control over financial reporting","type":"article-journal","volume":"44"},"uris":["http://www.mendeley.com/documents/?uuid=c2f05372-cd87-4291-aca1-2f602617dfdb"]}],"mendeley":{"formattedCitation":"(Doyle et al., 2007)","manualFormatting":"Doyle et al., 2007)","plainTextFormattedCitation":"(Doyle et al., 2007)","previouslyFormattedCitation":"(Doyle et al., 2007)"},"properties":{"noteIndex":0},"schema":"https://github.com/citation-style-language/schema/raw/master/csl-citation.json"}</w:instrText>
      </w:r>
      <w:r>
        <w:fldChar w:fldCharType="separate"/>
      </w:r>
      <w:r>
        <w:rPr>
          <w:noProof/>
        </w:rPr>
        <w:t xml:space="preserve">Doyle </w:t>
      </w:r>
      <w:r>
        <w:rPr>
          <w:i/>
          <w:noProof/>
        </w:rPr>
        <w:t>et al</w:t>
      </w:r>
      <w:r>
        <w:rPr>
          <w:noProof/>
        </w:rPr>
        <w:t>.,  (2007)</w:t>
      </w:r>
      <w:r>
        <w:fldChar w:fldCharType="end"/>
      </w:r>
      <w:r>
        <w:t xml:space="preserve"> emphasized that the internal control requirements provide that internal control should offer a reasonable </w:t>
      </w:r>
      <w:r>
        <w:lastRenderedPageBreak/>
        <w:t>level of certainty regarding the accomplishment of the three primary goals in the following categories:</w:t>
      </w:r>
    </w:p>
    <w:p w:rsidR="00FA1AC4" w:rsidRDefault="00B11CCA">
      <w:pPr>
        <w:pStyle w:val="ListParagraph"/>
        <w:numPr>
          <w:ilvl w:val="0"/>
          <w:numId w:val="6"/>
        </w:numPr>
        <w:autoSpaceDE w:val="0"/>
        <w:autoSpaceDN w:val="0"/>
        <w:adjustRightInd w:val="0"/>
      </w:pPr>
      <w:r>
        <w:t>Effectiveness and efficiency of operations: These goals concern the accomplishment of a department's primary mission(s) as well as the effectiveness and efficiency of its operations, including maintaining performance standards and protecting assets from theft.</w:t>
      </w:r>
    </w:p>
    <w:p w:rsidR="00FA1AC4" w:rsidRDefault="00B11CCA">
      <w:pPr>
        <w:pStyle w:val="ListParagraph"/>
        <w:numPr>
          <w:ilvl w:val="0"/>
          <w:numId w:val="6"/>
        </w:numPr>
        <w:autoSpaceDE w:val="0"/>
        <w:autoSpaceDN w:val="0"/>
        <w:adjustRightInd w:val="0"/>
        <w:spacing w:before="240" w:line="360" w:lineRule="auto"/>
        <w:rPr>
          <w:bCs/>
          <w:iCs/>
        </w:rPr>
      </w:pPr>
      <w:r>
        <w:t xml:space="preserve">Financial reporting reliability, timeliness, and transparency objectives: These goals are related to the compilation of trustworthy financial reports, including the avoidance of fraudulent public financial reporting: financial reporting reliability, timeliness, and transparency objectives; </w:t>
      </w:r>
    </w:p>
    <w:p w:rsidR="00FA1AC4" w:rsidRDefault="00B11CCA">
      <w:pPr>
        <w:autoSpaceDE w:val="0"/>
        <w:autoSpaceDN w:val="0"/>
        <w:adjustRightInd w:val="0"/>
        <w:spacing w:before="240" w:line="360" w:lineRule="auto"/>
        <w:rPr>
          <w:bCs/>
          <w:iCs/>
        </w:rPr>
      </w:pPr>
      <w:r>
        <w:rPr>
          <w:bCs/>
          <w:iCs/>
        </w:rPr>
        <w:t>Table 2.1: Biggest Threats to the Internal Control Structure</w:t>
      </w:r>
    </w:p>
    <w:tbl>
      <w:tblPr>
        <w:tblStyle w:val="TableGrid"/>
        <w:tblW w:w="0" w:type="auto"/>
        <w:tblLook w:val="04A0" w:firstRow="1" w:lastRow="0" w:firstColumn="1" w:lastColumn="0" w:noHBand="0" w:noVBand="1"/>
      </w:tblPr>
      <w:tblGrid>
        <w:gridCol w:w="687"/>
        <w:gridCol w:w="2865"/>
        <w:gridCol w:w="5474"/>
      </w:tblGrid>
      <w:tr w:rsidR="00FA1AC4">
        <w:tc>
          <w:tcPr>
            <w:tcW w:w="704" w:type="dxa"/>
          </w:tcPr>
          <w:p w:rsidR="00FA1AC4" w:rsidRDefault="00B11CCA">
            <w:pPr>
              <w:autoSpaceDE w:val="0"/>
              <w:autoSpaceDN w:val="0"/>
              <w:adjustRightInd w:val="0"/>
              <w:spacing w:line="360" w:lineRule="auto"/>
            </w:pPr>
            <w:r>
              <w:t>1.</w:t>
            </w:r>
          </w:p>
        </w:tc>
        <w:tc>
          <w:tcPr>
            <w:tcW w:w="2948" w:type="dxa"/>
          </w:tcPr>
          <w:p w:rsidR="00FA1AC4" w:rsidRDefault="00B11CCA">
            <w:pPr>
              <w:autoSpaceDE w:val="0"/>
              <w:autoSpaceDN w:val="0"/>
              <w:adjustRightInd w:val="0"/>
              <w:spacing w:line="360" w:lineRule="auto"/>
            </w:pPr>
            <w:r>
              <w:t>Management Override</w:t>
            </w:r>
          </w:p>
        </w:tc>
        <w:tc>
          <w:tcPr>
            <w:tcW w:w="5698" w:type="dxa"/>
          </w:tcPr>
          <w:p w:rsidR="00FA1AC4" w:rsidRDefault="00B11CCA">
            <w:pPr>
              <w:autoSpaceDE w:val="0"/>
              <w:autoSpaceDN w:val="0"/>
              <w:adjustRightInd w:val="0"/>
              <w:spacing w:line="360" w:lineRule="auto"/>
            </w:pPr>
            <w:r>
              <w:t>If ignored at management's choice, a well-designed control mechanism may provide as much danger as none at all.</w:t>
            </w:r>
          </w:p>
        </w:tc>
      </w:tr>
      <w:tr w:rsidR="00FA1AC4">
        <w:tc>
          <w:tcPr>
            <w:tcW w:w="704" w:type="dxa"/>
          </w:tcPr>
          <w:p w:rsidR="00FA1AC4" w:rsidRDefault="00B11CCA">
            <w:pPr>
              <w:autoSpaceDE w:val="0"/>
              <w:autoSpaceDN w:val="0"/>
              <w:adjustRightInd w:val="0"/>
              <w:spacing w:line="360" w:lineRule="auto"/>
            </w:pPr>
            <w:r>
              <w:t>2.</w:t>
            </w:r>
          </w:p>
        </w:tc>
        <w:tc>
          <w:tcPr>
            <w:tcW w:w="2948" w:type="dxa"/>
          </w:tcPr>
          <w:p w:rsidR="00FA1AC4" w:rsidRDefault="00B11CCA">
            <w:pPr>
              <w:autoSpaceDE w:val="0"/>
              <w:autoSpaceDN w:val="0"/>
              <w:adjustRightInd w:val="0"/>
              <w:spacing w:line="360" w:lineRule="auto"/>
            </w:pPr>
            <w:r>
              <w:t>Access to Assets</w:t>
            </w:r>
          </w:p>
        </w:tc>
        <w:tc>
          <w:tcPr>
            <w:tcW w:w="5698" w:type="dxa"/>
          </w:tcPr>
          <w:p w:rsidR="00FA1AC4" w:rsidRDefault="00B11CCA">
            <w:pPr>
              <w:autoSpaceDE w:val="0"/>
              <w:autoSpaceDN w:val="0"/>
              <w:adjustRightInd w:val="0"/>
              <w:spacing w:line="360" w:lineRule="auto"/>
            </w:pPr>
            <w:r>
              <w:t>Controlling access to assets is the greatest method to protect them.</w:t>
            </w:r>
          </w:p>
        </w:tc>
      </w:tr>
      <w:tr w:rsidR="00FA1AC4">
        <w:tc>
          <w:tcPr>
            <w:tcW w:w="704" w:type="dxa"/>
          </w:tcPr>
          <w:p w:rsidR="00FA1AC4" w:rsidRDefault="00B11CCA">
            <w:pPr>
              <w:autoSpaceDE w:val="0"/>
              <w:autoSpaceDN w:val="0"/>
              <w:adjustRightInd w:val="0"/>
              <w:spacing w:line="360" w:lineRule="auto"/>
            </w:pPr>
            <w:r>
              <w:t>3.</w:t>
            </w:r>
          </w:p>
        </w:tc>
        <w:tc>
          <w:tcPr>
            <w:tcW w:w="2948" w:type="dxa"/>
          </w:tcPr>
          <w:p w:rsidR="00FA1AC4" w:rsidRDefault="00B11CCA">
            <w:pPr>
              <w:autoSpaceDE w:val="0"/>
              <w:autoSpaceDN w:val="0"/>
              <w:adjustRightInd w:val="0"/>
              <w:spacing w:line="360" w:lineRule="auto"/>
            </w:pPr>
            <w:r>
              <w:t>Substance over form</w:t>
            </w:r>
          </w:p>
        </w:tc>
        <w:tc>
          <w:tcPr>
            <w:tcW w:w="5698" w:type="dxa"/>
          </w:tcPr>
          <w:p w:rsidR="00FA1AC4" w:rsidRDefault="00B11CCA">
            <w:pPr>
              <w:autoSpaceDE w:val="0"/>
              <w:autoSpaceDN w:val="0"/>
              <w:adjustRightInd w:val="0"/>
              <w:spacing w:line="360" w:lineRule="auto"/>
            </w:pPr>
            <w:r>
              <w:t>Even if control seems well-designed, it might not be.</w:t>
            </w:r>
          </w:p>
        </w:tc>
      </w:tr>
      <w:tr w:rsidR="00FA1AC4">
        <w:tc>
          <w:tcPr>
            <w:tcW w:w="704" w:type="dxa"/>
          </w:tcPr>
          <w:p w:rsidR="00FA1AC4" w:rsidRDefault="00B11CCA">
            <w:pPr>
              <w:autoSpaceDE w:val="0"/>
              <w:autoSpaceDN w:val="0"/>
              <w:adjustRightInd w:val="0"/>
              <w:spacing w:line="360" w:lineRule="auto"/>
            </w:pPr>
            <w:r>
              <w:t>4.</w:t>
            </w:r>
          </w:p>
        </w:tc>
        <w:tc>
          <w:tcPr>
            <w:tcW w:w="2948" w:type="dxa"/>
          </w:tcPr>
          <w:p w:rsidR="00FA1AC4" w:rsidRDefault="00B11CCA">
            <w:pPr>
              <w:autoSpaceDE w:val="0"/>
              <w:autoSpaceDN w:val="0"/>
              <w:adjustRightInd w:val="0"/>
              <w:spacing w:line="360" w:lineRule="auto"/>
            </w:pPr>
            <w:r>
              <w:t>Conflicts of Interest</w:t>
            </w:r>
          </w:p>
        </w:tc>
        <w:tc>
          <w:tcPr>
            <w:tcW w:w="5698" w:type="dxa"/>
          </w:tcPr>
          <w:p w:rsidR="00FA1AC4" w:rsidRDefault="00B11CCA">
            <w:pPr>
              <w:autoSpaceDE w:val="0"/>
              <w:autoSpaceDN w:val="0"/>
              <w:adjustRightInd w:val="0"/>
              <w:spacing w:line="360" w:lineRule="auto"/>
            </w:pPr>
            <w:r>
              <w:t>When an employee's loyalties are conflicted, there is a real possibility that they will make a decision that is bad for the company.</w:t>
            </w:r>
          </w:p>
        </w:tc>
      </w:tr>
      <w:tr w:rsidR="00FA1AC4">
        <w:tc>
          <w:tcPr>
            <w:tcW w:w="704" w:type="dxa"/>
          </w:tcPr>
          <w:p w:rsidR="00FA1AC4" w:rsidRDefault="00B11CCA">
            <w:pPr>
              <w:autoSpaceDE w:val="0"/>
              <w:autoSpaceDN w:val="0"/>
              <w:adjustRightInd w:val="0"/>
              <w:spacing w:line="360" w:lineRule="auto"/>
            </w:pPr>
            <w:r>
              <w:t>5.</w:t>
            </w:r>
          </w:p>
        </w:tc>
        <w:tc>
          <w:tcPr>
            <w:tcW w:w="2948" w:type="dxa"/>
          </w:tcPr>
          <w:p w:rsidR="00FA1AC4" w:rsidRDefault="00B11CCA">
            <w:pPr>
              <w:autoSpaceDE w:val="0"/>
              <w:autoSpaceDN w:val="0"/>
              <w:adjustRightInd w:val="0"/>
              <w:spacing w:line="360" w:lineRule="auto"/>
            </w:pPr>
            <w:r>
              <w:t>Failure to Anticipate Certain Risks</w:t>
            </w:r>
          </w:p>
        </w:tc>
        <w:tc>
          <w:tcPr>
            <w:tcW w:w="5698" w:type="dxa"/>
          </w:tcPr>
          <w:p w:rsidR="00FA1AC4" w:rsidRDefault="00B11CCA">
            <w:pPr>
              <w:autoSpaceDE w:val="0"/>
              <w:autoSpaceDN w:val="0"/>
              <w:adjustRightInd w:val="0"/>
              <w:spacing w:line="360" w:lineRule="auto"/>
            </w:pPr>
            <w:r>
              <w:t>Certain hazards may go unanticipated by management, which could prevent the design and implementation of effective controls.</w:t>
            </w:r>
          </w:p>
        </w:tc>
      </w:tr>
      <w:tr w:rsidR="00FA1AC4">
        <w:tc>
          <w:tcPr>
            <w:tcW w:w="704" w:type="dxa"/>
          </w:tcPr>
          <w:p w:rsidR="00FA1AC4" w:rsidRDefault="00B11CCA">
            <w:pPr>
              <w:autoSpaceDE w:val="0"/>
              <w:autoSpaceDN w:val="0"/>
              <w:adjustRightInd w:val="0"/>
              <w:spacing w:line="360" w:lineRule="auto"/>
            </w:pPr>
            <w:r>
              <w:t>6.</w:t>
            </w:r>
          </w:p>
        </w:tc>
        <w:tc>
          <w:tcPr>
            <w:tcW w:w="2948" w:type="dxa"/>
          </w:tcPr>
          <w:p w:rsidR="00FA1AC4" w:rsidRDefault="00B11CCA">
            <w:pPr>
              <w:autoSpaceDE w:val="0"/>
              <w:autoSpaceDN w:val="0"/>
              <w:adjustRightInd w:val="0"/>
              <w:spacing w:line="360" w:lineRule="auto"/>
            </w:pPr>
            <w:r>
              <w:t>Collusion</w:t>
            </w:r>
          </w:p>
        </w:tc>
        <w:tc>
          <w:tcPr>
            <w:tcW w:w="5698" w:type="dxa"/>
          </w:tcPr>
          <w:p w:rsidR="00FA1AC4" w:rsidRDefault="00B11CCA">
            <w:pPr>
              <w:autoSpaceDE w:val="0"/>
              <w:autoSpaceDN w:val="0"/>
              <w:adjustRightInd w:val="0"/>
              <w:spacing w:line="360" w:lineRule="auto"/>
            </w:pPr>
            <w:r>
              <w:t>Internal controls may be overridden with the consent of two or more personnel.</w:t>
            </w:r>
          </w:p>
        </w:tc>
      </w:tr>
    </w:tbl>
    <w:p w:rsidR="00FA1AC4" w:rsidRDefault="00FA1AC4">
      <w:pPr>
        <w:spacing w:after="240"/>
      </w:pPr>
    </w:p>
    <w:p w:rsidR="00FA1AC4" w:rsidRDefault="00B11CCA">
      <w:pPr>
        <w:pStyle w:val="Heading2"/>
        <w:numPr>
          <w:ilvl w:val="1"/>
          <w:numId w:val="12"/>
        </w:numPr>
        <w:ind w:left="709"/>
      </w:pPr>
      <w:bookmarkStart w:id="32" w:name="_Toc112342349"/>
      <w:r>
        <w:lastRenderedPageBreak/>
        <w:t>Audit Committee</w:t>
      </w:r>
      <w:bookmarkEnd w:id="32"/>
      <w:r>
        <w:t xml:space="preserve"> </w:t>
      </w:r>
    </w:p>
    <w:p w:rsidR="00FA1AC4" w:rsidRDefault="00B11CCA">
      <w:r>
        <w:t xml:space="preserve">Numerous recommendations for increased audit committee effectiveness have been made in response to accounting scandals and worries about the reliability of financial statements. Therefore, having a robust audit committee is one of the most crucial components of excellent corporate governance (Kusnadi, Leong, Suwardy and Wang, 2016; </w:t>
      </w:r>
      <w:r>
        <w:fldChar w:fldCharType="begin"/>
      </w:r>
      <w:r>
        <w:instrText>ADDIN CSL_CITATION {"citationItems":[{"id":"ITEM-1","itemData":{"DOI":"10.1016/j.najef.2018.11.008","ISSN":"10629408","abstract":"This paper examines the impact of corporate governance on corporate risk-management activities in S&amp;P 500 firms over the period 2004–2010 by measuring the characteristics of the board directors and audit committee. Our results show that the board of directors, especially the audit committee, plays an important role in the firm's hedging decisions, including whether to hedge and to what extent. Such evidence is even stronger in high-leveraged firms with large risk-shifting incentives. These results are robust to the consideration of endogenous concerns, a board corporate governance index, and industrial effects. Our study contributes to the literature by showing the influential role of the audit committee on corporate risk management.","author":[{"dropping-particle":"","family":"Tai","given":"Vivian W.","non-dropping-particle":"","parse-names":false,"suffix":""},{"dropping-particle":"","family":"Lai","given":"Yi-Hsun","non-dropping-particle":"","parse-names":false,"suffix":""},{"dropping-particle":"","family":"Yang","given":"Tung-Hsiao","non-dropping-particle":"","parse-names":false,"suffix":""}],"container-title":"The North American Journal of Economics and Finance","id":"ITEM-1","issue":"1","issued":{"date-parts":[["2020","11"]]},"page":"100879","title":"The role of the board and the audit committee in corporate risk management","type":"article-journal","volume":"54"},"uris":["http://www.mendeley.com/documents/?uuid=a9decbd9-14ec-424d-a915-0340b177e723"]}],"mendeley":{"formattedCitation":"(Tai et al., 2020)","manualFormatting":"Tai, Lai and Yang, 2020)","plainTextFormattedCitation":"(Tai et al., 2020)","previouslyFormattedCitation":"(Tai et al., 2020)"},"properties":{"noteIndex":0},"schema":"https://github.com/citation-style-language/schema/raw/master/csl-citation.json"}</w:instrText>
      </w:r>
      <w:r>
        <w:fldChar w:fldCharType="separate"/>
      </w:r>
      <w:r>
        <w:rPr>
          <w:noProof/>
        </w:rPr>
        <w:t>Tai, Lai and Yang, 2020)</w:t>
      </w:r>
      <w:r>
        <w:fldChar w:fldCharType="end"/>
      </w:r>
      <w:r>
        <w:t xml:space="preserve">. The audit committee, a subcommittee of the corporate governance board, is in charge of the financial reporting process, internal control framework, internal audit functions, and external audit operations </w:t>
      </w:r>
      <w:r>
        <w:fldChar w:fldCharType="begin"/>
      </w:r>
      <w:r>
        <w:instrText>ADDIN CSL_CITATION {"citationItems":[{"id":"ITEM-1","itemData":{"DOI":"10.1016/j.ism.2014.09.001","ISSN":"23067748","abstract":"The purpose of this paper is to detect the impact of audit committee characteristics on Lebanese financially distressed and non-distressed banks. Four characteristics of the audit committee are being examined; size, composition, frequency of meeting and financial expertise. The sample includes 54 ebanese banks with fiscal years-end between 2009 and 2011. The financially distressed and non-distressed banks have been identified from bank profitability. Our Results show that the financial distress of banks has a significant negative relation with the meeting frequency of the audit committee. Hence, the evidence suggests that the meeting frequency of audit committee members is an important factor as it helps the audit committee to hinder the financial distress of the bank. Meeting frequency plays an important role to ensure audit committee effectiveness. In other words, the audit committee with frequent meetings is able to help audit committee members to ensure the integrity of financial reporting, to provide better monitoring and to review effectively the operations. The establishment decision of audit committee was adopted in 2008 and was modified in 2010 in Lebanese banks. Then, this study examines an actuality subject. Consequently, this paper represented an added value to the corporate governance in Lebanese banks and shows the importance of the audit committee impact on financial performance. Future studies concentrate on the impact of managerial dominance over the board (board composition, CEO duality and management ownership) on the independence of audit committee which may have an influence on bank performance.","author":[{"dropping-particle":"","family":"Salloum","given":"Charbel","non-dropping-particle":"","parse-names":false,"suffix":""},{"dropping-particle":"","family":"Azzi","given":"Georges","non-dropping-particle":"","parse-names":false,"suffix":""},{"dropping-particle":"","family":"Gebrayel","given":"Elias","non-dropping-particle":"","parse-names":false,"suffix":""}],"container-title":"International Strategic Management Review","id":"ITEM-1","issue":"1","issued":{"date-parts":[["2014"]]},"page":"39-45","title":"Audit Committee and Financial Distress in the Middle East Context: Evidence of the Lebanese Financial Institutions","type":"article-journal","volume":"2"},"uris":["http://www.mendeley.com/documents/?uuid=be43eb10-9976-41b1-b453-4d3c2876d603"]}],"mendeley":{"formattedCitation":"(Salloum et al., 2014)","manualFormatting":"(Salloum, Azzi and Gebrayel, 2014","plainTextFormattedCitation":"(Salloum et al., 2014)","previouslyFormattedCitation":"(Salloum et al., 2014)"},"properties":{"noteIndex":0},"schema":"https://github.com/citation-style-language/schema/raw/master/csl-citation.json"}</w:instrText>
      </w:r>
      <w:r>
        <w:fldChar w:fldCharType="separate"/>
      </w:r>
      <w:r>
        <w:rPr>
          <w:noProof/>
        </w:rPr>
        <w:t>(Salloum, Azzi and Gebrayel, 2014</w:t>
      </w:r>
      <w:r>
        <w:fldChar w:fldCharType="end"/>
      </w:r>
      <w:r>
        <w:t xml:space="preserve">; </w:t>
      </w:r>
      <w:r>
        <w:fldChar w:fldCharType="begin"/>
      </w:r>
      <w:r>
        <w:instrText>ADDIN CSL_CITATION {"citationItems":[{"id":"ITEM-1","itemData":{"DOI":"10.1016/j.bir.2018.01.002","ISSN":"22148469","abstract":"The purpose of this study is to investigate the adequacy of the audit committees in Turkish Banking Sector. Considering national and international legislation, and best practices, audit committees' adequacy involves the issues regarding committees and the responsibilities of committees. Interviews and questionnaires in 6 deposit banks were carried out to investigate the adequacy of the audit committees. The data, collected through the interviews and questionnaires, were analyzed by frequency analyses, alfa test and t-tests. According to the results, a variety of deficiencies were determined in the audit committees' structure and responsibilities of internal control, risk management, accounting and financial reporting, independent auditing, valuation services, and rating bureaus. Although all the banks examined in the study were deposit banks, the adequacy of the audit committees varied according to the banks. Banks’ board of directors and the audit committees should update their approach in order to carry out their duties more efficiently.","author":[{"dropping-particle":"","family":"Kartal","given":"Mustafa Tevfik","non-dropping-particle":"","parse-names":false,"suffix":""},{"dropping-particle":"","family":"İbiş","given":"Cemal","non-dropping-particle":"","parse-names":false,"suffix":""},{"dropping-particle":"","family":"Çatıkkaş","given":"Özgür","non-dropping-particle":"","parse-names":false,"suffix":""}],"container-title":"Borsa Istanbul Review","id":"ITEM-1","issue":"2","issued":{"date-parts":[["2018"]]},"page":"150-165","title":"Adequacy of audit committees: A study of deposit banks in Turkey","type":"article-journal","volume":"18"},"uris":["http://www.mendeley.com/documents/?uuid=a20af09a-54b0-496e-9564-32ca64de3e0b"]}],"mendeley":{"formattedCitation":"(Kartal et al., 2018)","manualFormatting":"Kartal, Ibis and Catikkas, 2018","plainTextFormattedCitation":"(Kartal et al., 2018)","previouslyFormattedCitation":"(Kartal et al., 2018)"},"properties":{"noteIndex":0},"schema":"https://github.com/citation-style-language/schema/raw/master/csl-citation.json"}</w:instrText>
      </w:r>
      <w:r>
        <w:fldChar w:fldCharType="separate"/>
      </w:r>
      <w:r>
        <w:rPr>
          <w:noProof/>
        </w:rPr>
        <w:t>Kartal, Ibis and Catikkas, 2018</w:t>
      </w:r>
      <w:r>
        <w:fldChar w:fldCharType="end"/>
      </w:r>
      <w:r>
        <w:t xml:space="preserve">; </w:t>
      </w:r>
      <w:r>
        <w:fldChar w:fldCharType="begin"/>
      </w:r>
      <w:r>
        <w:instrText>ADDIN CSL_CITATION {"citationItems":[{"id":"ITEM-1","itemData":{"DOI":"10.1016/j.jaccpubpol.2004.06.001","ISSN":"02784254","abstract":"This paper investigates stock returns surrounding the appointment of directors to audit committees. We examine 136 voluntary appointment announcements over 1990-2001. Most of the announcements are issued after year 1999 and by small, NASDAQ firms. We find significantly positive stock price reaction when new members of audit committees have financial expertise. These results are robust to control for state of audit committees prior to director appointment and for an alternative definition of financial expertise. Our evidence suggests that market rewards firms that appoint financial experts to their audit committees. © 2004 Elsevier Inc. All rights reserved.","author":[{"dropping-particle":"","family":"Davidson","given":"Wallace N.","non-dropping-particle":"","parse-names":false,"suffix":""},{"dropping-particle":"","family":"Xie","given":"Biao","non-dropping-particle":"","parse-names":false,"suffix":""},{"dropping-particle":"","family":"Xu","given":"Weihong","non-dropping-particle":"","parse-names":false,"suffix":""}],"container-title":"Journal of Accounting and Public Policy","id":"ITEM-1","issue":"4","issued":{"date-parts":[["2004"]]},"page":"279-293","title":"Market reaction to voluntary announcements of audit committee appointments: The effect of financial expertise","type":"article-journal","volume":"23"},"uris":["http://www.mendeley.com/documents/?uuid=d2e2d260-5744-4976-aacc-0abceeee6de2"]}],"mendeley":{"formattedCitation":"(Davidson et al., 2004)","manualFormatting":"Davidson, Xie and Xu, 2004","plainTextFormattedCitation":"(Davidson et al., 2004)","previouslyFormattedCitation":"(Davidson et al., 2004)"},"properties":{"noteIndex":0},"schema":"https://github.com/citation-style-language/schema/raw/master/csl-citation.json"}</w:instrText>
      </w:r>
      <w:r>
        <w:fldChar w:fldCharType="separate"/>
      </w:r>
      <w:r>
        <w:rPr>
          <w:noProof/>
        </w:rPr>
        <w:t>Davidson, Xie and Xu, 2004</w:t>
      </w:r>
      <w:r>
        <w:fldChar w:fldCharType="end"/>
      </w:r>
      <w:r>
        <w:t xml:space="preserve">; </w:t>
      </w:r>
      <w:r>
        <w:fldChar w:fldCharType="begin"/>
      </w:r>
      <w:r>
        <w:instrText>ADDIN CSL_CITATION {"citationItems":[{"id":"ITEM-1","itemData":{"DOI":"10.1016/j.jbusres.2017.03.004","ISSN":"01482963","abstract":"This paper analyses the relationship between the presence of financial experts on audit committees and the levels of insolvency risk in the banking sector. The main contribution is the introduction of banking sector regulation and ethical policies as moderators of this relationship. By using a sample of 159 banks from different countries for the period 2004–2010, empirical results suggest that the presence of financial experts on audit committees is useful to reduce insolvency risk, supporting the monitoring advantage hypothesis of financial expertise. This relationship is stronger when banking sector regulation is weaker and also in banks with stronger policies against unethical practices. These findings suggest that financial expertise substitutes regulation and complements ethical policies in reducing insolvency risk.","author":[{"dropping-particle":"","family":"García-Sánchez","given":"Isabel María","non-dropping-particle":"","parse-names":false,"suffix":""},{"dropping-particle":"","family":"García-Meca","given":"Emma","non-dropping-particle":"","parse-names":false,"suffix":""},{"dropping-particle":"","family":"Cuadrado-Ballesteros","given":"Beatriz","non-dropping-particle":"","parse-names":false,"suffix":""}],"container-title":"Journal of Business Research","id":"ITEM-1","issued":{"date-parts":[["2017"]]},"page":"52-66","title":"Do financial experts on audit committees matter for bank insolvency risk-taking? The monitoring role of bank regulation and ethical policy","type":"article-journal","volume":"76"},"uris":["http://www.mendeley.com/documents/?uuid=5151668d-f1b2-49f4-a28c-fbb19259b7e4"]},{"id":"ITEM-2","itemData":{"DOI":"10.1016/j.irfa.2017.11.002","ISSN":"10575219","abstract":"The effectiveness of the presence of financial expertise on the audit committee (AC) in reducing earnings management has been the subject of many previous studies with mixed findings. This paper suggests that the mixed findings may be due to prior studies not distinguishing between the genders of the financial experts on the AC. We investigate how financial expertise affects earnings management taking into account the gender of the financial expert. We use the data of a sample of 5660 US firm-year observations from 2007 to 2013 which was analysed using least squares regressions clustering by firm. The results indicate that proportion of financial expertise on the AC and gender reduces earnings management. We then group the AC financial experts by gender, and examine whether the gender of the financial expert matters. The results show that the proportion of female financial experts on the AC is significantly associated with less earnings management while the proportion of male financial experts does not significantly affect earnings management; this suggests that previous studies indicating that the presence of a financial expert on the AC may have been influenced by gender of the female financial experts. Further, our findings may also partly explain the contradictory findings of prior studies on the effect of financial expertise on the ACs effectivness.","author":[{"dropping-particle":"","family":"Zalata","given":"Alaa Mansour","non-dropping-particle":"","parse-names":false,"suffix":""},{"dropping-particle":"","family":"Tauringanaa","given":"Venancio","non-dropping-particle":"","parse-names":false,"suffix":""},{"dropping-particle":"","family":"Tingbani","given":"Ishmael","non-dropping-particle":"","parse-names":false,"suffix":""}],"container-title":"Audit committee financial expertise, gender, and earnings management: Does gender of the financial expert matter?","id":"ITEM-2","issue":"October 2017","issued":{"date-parts":[["2018"]]},"page":"170-183","publisher":"Elsevier","title":"Audit committee financial expertise, gender, and earnings management: Does gender of the financial expert matter?","type":"article-journal","volume":"55"},"uris":["http://www.mendeley.com/documents/?uuid=f12ce1ce-c5ce-42c2-b61e-37ab32acc161"]}],"mendeley":{"formattedCitation":"(García-Sánchez et al., 2017; Zalata et al., 2018)","manualFormatting":"García-Sánchez, Garcia-Meca and Cuarado-Ballesteros, 2017;","plainTextFormattedCitation":"(García-Sánchez et al., 2017; Zalata et al., 2018)","previouslyFormattedCitation":"(García-Sánchez et al., 2017; Zalata et al., 2018)"},"properties":{"noteIndex":0},"schema":"https://github.com/citation-style-language/schema/raw/master/csl-citation.json"}</w:instrText>
      </w:r>
      <w:r>
        <w:fldChar w:fldCharType="separate"/>
      </w:r>
      <w:r>
        <w:rPr>
          <w:noProof/>
        </w:rPr>
        <w:t>García-Sánchez, Garcia-Meca and Cuarado-Ballesteros, 2017;</w:t>
      </w:r>
      <w:r>
        <w:fldChar w:fldCharType="end"/>
      </w:r>
      <w:r>
        <w:t xml:space="preserve">  </w:t>
      </w:r>
      <w:r>
        <w:fldChar w:fldCharType="begin"/>
      </w:r>
      <w:r>
        <w:instrText>ADDIN CSL_CITATION {"citationItems":[{"id":"ITEM-1","itemData":{"DOI":"10.1016/j.irfa.2017.11.002","ISSN":"10575219","abstract":"The effectiveness of the presence of financial expertise on the audit committee (AC) in reducing earnings management has been the subject of many previous studies with mixed findings. This paper suggests that the mixed findings may be due to prior studies not distinguishing between the genders of the financial experts on the AC. We investigate how financial expertise affects earnings management taking into account the gender of the financial expert. We use the data of a sample of 5660 US firm-year observations from 2007 to 2013 which was analysed using least squares regressions clustering by firm. The results indicate that proportion of financial expertise on the AC and gender reduces earnings management. We then group the AC financial experts by gender, and examine whether the gender of the financial expert matters. The results show that the proportion of female financial experts on the AC is significantly associated with less earnings management while the proportion of male financial experts does not significantly affect earnings management; this suggests that previous studies indicating that the presence of a financial expert on the AC may have been influenced by gender of the female financial experts. Further, our findings may also partly explain the contradictory findings of prior studies on the effect of financial expertise on the ACs effectivness.","author":[{"dropping-particle":"","family":"Zalata","given":"Alaa Mansour","non-dropping-particle":"","parse-names":false,"suffix":""},{"dropping-particle":"","family":"Tauringanaa","given":"Venancio","non-dropping-particle":"","parse-names":false,"suffix":""},{"dropping-particle":"","family":"Tingbani","given":"Ishmael","non-dropping-particle":"","parse-names":false,"suffix":""}],"container-title":"Audit committee financial expertise, gender, and earnings management: Does gender of the financial expert matter?","id":"ITEM-1","issue":"October 2017","issued":{"date-parts":[["2018"]]},"page":"170-183","publisher":"Elsevier","title":"Audit committee financial expertise, gender, and earnings management: Does gender of the financial expert matter?","type":"article-journal","volume":"55"},"uris":["http://www.mendeley.com/documents/?uuid=f12ce1ce-c5ce-42c2-b61e-37ab32acc161"]}],"mendeley":{"formattedCitation":"(Zalata et al., 2018)","manualFormatting":"Zalata, Tauringanaa and Tingbani, 2018","plainTextFormattedCitation":"(Zalata et al., 2018)","previouslyFormattedCitation":"(Zalata et al., 2018)"},"properties":{"noteIndex":0},"schema":"https://github.com/citation-style-language/schema/raw/master/csl-citation.json"}</w:instrText>
      </w:r>
      <w:r>
        <w:fldChar w:fldCharType="separate"/>
      </w:r>
      <w:r>
        <w:rPr>
          <w:noProof/>
        </w:rPr>
        <w:t>Zalata, Tauringanaa and Tingbani, 2018</w:t>
      </w:r>
      <w:r>
        <w:fldChar w:fldCharType="end"/>
      </w:r>
      <w:r>
        <w:t xml:space="preserve">; </w:t>
      </w:r>
      <w:r>
        <w:fldChar w:fldCharType="begin"/>
      </w:r>
      <w:r>
        <w:instrText>ADDIN CSL_CITATION {"citationItems":[{"id":"ITEM-1","itemData":{"DOI":"10.1016/j.aos.2021.101242","ISSN":"03613682","abstract":"We advance social identity theory in the context of corporate governance research by evaluating how experiences outside the audit committee (AC) relate to AC members’ (ACMs’) professional identities and how these identities then map into ACMs’ responsibilities, how ACMs perceive that they add value, and how ACMs aid in the resolution of difficult judgments and decisions. We identify and evaluate four non-exclusive ACM social identities: executive management, financial management, investment management, and audit partner. We find that prior experiences relate to the social identities with which ACMs identify, yet identities also develop without role-relevant experiences. Interpreting the interviews leads us to propose a novel theory – mediational activism – a hybrid perspective whereby the ACM acts in multiple seemingly incongruent modes as a monitor, collaborator, and/or advocate with the intent to organize collective understanding, action, and mutually equitable outcomes. We find that ACMs’ perceptions of their primary role-relevant responsibilities are consistent with agency theory and extensive mediational activism, while perceptions of value-add are more consistent with the theory of resource dependence and reflect the desire to leverage prior experiences. Finally, we provide evidence on a host of difficult judgments and decisions that ACMs oversee, and find that they sometimes use typical negotiation strategies such as contending and compromising, but rarely resort to offering concessions. Employing these strategies differs based on social identities, but regardless of their identities ACMs most commonly approach their oversight role in resolving difficult judgments and decisions by adopting a mediational activism perspective.","author":[{"dropping-particle":"","family":"Obermire","given":"Kara M.","non-dropping-particle":"","parse-names":false,"suffix":""},{"dropping-particle":"","family":"Cohen","given":"Jeffrey R.","non-dropping-particle":"","parse-names":false,"suffix":""},{"dropping-particle":"","family":"Zehms","given":"Karla M.","non-dropping-particle":"","parse-names":false,"suffix":""}],"container-title":"Accounting, Organizations and Society","id":"ITEM-1","issue":"january 20","issued":{"date-parts":[["2021"]]},"title":"Audit committee members’ professional identities: Evidence from the field","type":"article-journal","volume":"93"},"uris":["http://www.mendeley.com/documents/?uuid=8faa1926-36ce-466e-aba9-c6d88ed22c7d"]}],"mendeley":{"formattedCitation":"(Obermire et al., 2021)","manualFormatting":"Obermire, Cohen and Zehms, 2021)","plainTextFormattedCitation":"(Obermire et al., 2021)","previouslyFormattedCitation":"(Obermire et al., 2021)"},"properties":{"noteIndex":0},"schema":"https://github.com/citation-style-language/schema/raw/master/csl-citation.json"}</w:instrText>
      </w:r>
      <w:r>
        <w:fldChar w:fldCharType="separate"/>
      </w:r>
      <w:r>
        <w:rPr>
          <w:noProof/>
        </w:rPr>
        <w:t>Obermire, Cohen and Zehms, 2021)</w:t>
      </w:r>
      <w:r>
        <w:fldChar w:fldCharType="end"/>
      </w:r>
      <w:r>
        <w:t xml:space="preserve">. It can be considered an effective tool to ensure corporate governance in an organization because it is primarily made up of independent or non-executive directors. This committee seeks to strengthen the Board's capacity to carry out its legal obligations and to guarantee the impartiality and reliability of the financial reports </w:t>
      </w:r>
      <w:r>
        <w:fldChar w:fldCharType="begin"/>
      </w:r>
      <w:r>
        <w:instrText>ADDIN CSL_CITATION {"citationItems":[{"id":"ITEM-1","itemData":{"DOI":"10.1016/j.jcae.2017.05.006","ISSN":"18155669","abstract":"This study contributes to the policy debate about independent audit committees by examining the occurrence and consequences of CEO attendance-by-invitation at audit committee meetings. We investigate whether this is a way for powerful CEOs to exert their influence over audit committee matters or an informal channel for information sharing between management and audit committees. We find that CEO attendance-by-invitation at audit committee meetings is positively related to firm complexity and firm governance practices, and is associated with lower earnings opacity. These results are consistent with CEO attendance-by-invitation at audit committee meetings enhancing information sharing between firm management and audit committees. Thus, this study identifies significant benefits from allowing CEOs to act as informal advisors at audit committee meetings.","author":[{"dropping-particle":"","family":"Johnston","given":"Joseph","non-dropping-particle":"","parse-names":false,"suffix":""},{"dropping-particle":"","family":"Nowland","given":"John","non-dropping-particle":"","parse-names":false,"suffix":""}],"container-title":"Journal of Contemporary Accounting and Economics","id":"ITEM-1","issued":{"date-parts":[["2017"]]},"page":"108-118","title":"A research note: The informational benefits of CEO attendance-by-invitation at audit committee meetings","type":"article-journal","volume":"13"},"uris":["http://www.mendeley.com/documents/?uuid=15fda226-b870-42ba-ba4d-a7723194112c"]}],"mendeley":{"formattedCitation":"(Johnston &amp; Nowland, 2017)","manualFormatting":"(Johnston and Nowland, 2017","plainTextFormattedCitation":"(Johnston &amp; Nowland, 2017)","previouslyFormattedCitation":"(Johnston &amp; Nowland, 2017)"},"properties":{"noteIndex":0},"schema":"https://github.com/citation-style-language/schema/raw/master/csl-citation.json"}</w:instrText>
      </w:r>
      <w:r>
        <w:fldChar w:fldCharType="separate"/>
      </w:r>
      <w:r>
        <w:rPr>
          <w:noProof/>
        </w:rPr>
        <w:t>(Johnston and Nowland, 2017</w:t>
      </w:r>
      <w:r>
        <w:fldChar w:fldCharType="end"/>
      </w:r>
      <w:r>
        <w:t xml:space="preserve">; </w:t>
      </w:r>
      <w:r>
        <w:fldChar w:fldCharType="begin"/>
      </w:r>
      <w:r>
        <w:instrText>ADDIN CSL_CITATION {"citationItems":[{"id":"ITEM-1","itemData":{"author":[{"dropping-particle":"","family":"Nik-Salleh","given":"Nik-Mohamad Zaki","non-dropping-particle":"","parse-names":false,"suffix":""},{"dropping-particle":"","family":"Haat","given":"Mohd-Hassan Che","non-dropping-particle":"","parse-names":false,"suffix":""}],"container-title":"International Review of Management and Business Research","id":"ITEM-1","issue":"1","issued":{"date-parts":[["2016"]]},"title":"Audit committee and earnings management: Pre and Post MCCG","type":"article-journal","volume":"3"},"uris":["http://www.mendeley.com/documents/?uuid=f80b98f0-f00c-4e75-968a-e2de3140b1ec"]}],"mendeley":{"formattedCitation":"(Nik-Salleh &amp; Haat, 2016)","manualFormatting":"Nik-Salleh and Haat, 2016","plainTextFormattedCitation":"(Nik-Salleh &amp; Haat, 2016)","previouslyFormattedCitation":"(Nik-Salleh &amp; Haat, 2016)"},"properties":{"noteIndex":0},"schema":"https://github.com/citation-style-language/schema/raw/master/csl-citation.json"}</w:instrText>
      </w:r>
      <w:r>
        <w:fldChar w:fldCharType="separate"/>
      </w:r>
      <w:r>
        <w:rPr>
          <w:noProof/>
        </w:rPr>
        <w:t>Nik-Salleh and Haat, 2016</w:t>
      </w:r>
      <w:r>
        <w:fldChar w:fldCharType="end"/>
      </w:r>
      <w:r>
        <w:t xml:space="preserve">; </w:t>
      </w:r>
      <w:r>
        <w:fldChar w:fldCharType="begin"/>
      </w:r>
      <w:r>
        <w:instrText>ADDIN CSL_CITATION {"citationItems":[{"id":"ITEM-1","itemData":{"DOI":"10.1016/j.jaccpubpol.2009.06.001","ISSN":"02784254","abstract":"Accounting scandals and concerns about the quality of financial statements have led to many calls for improved audit committee effectiveness. Prior research indicates that audit committee independence is positively related to effective oversight of the financial reporting process. Unfortunately, prior research has not provided an answer as to how much independence on the audit committee is enough. This is an important unanswered question because while Section 301 of the Sarbanes-Oxley Act of 2002 (SOX) currently requires all listed companies to maintain an audit committee that is 100% independent there has been much debate regarding easing the SOX requirements for smaller and foreign companies. In this paper we examine whether the regulatory requirements of a completely independent audit committee are necessary to obtain the monitoring benefits related to audit committee independence that have been documented in prior literature. Our results suggest that the benefits of audit committee independence are consistently achieved only when the audit committee is completely independent. These results provide support for the SOX requirement of 100% independent audit committees. © 2009 Elsevier Inc. All rights reserved.","author":[{"dropping-particle":"","family":"Bronson","given":"Scott N.","non-dropping-particle":"","parse-names":false,"suffix":""},{"dropping-particle":"V.","family":"Carcello","given":"Joseph","non-dropping-particle":"","parse-names":false,"suffix":""},{"dropping-particle":"","family":"Hollingsworth","given":"Carl W.","non-dropping-particle":"","parse-names":false,"suffix":""},{"dropping-particle":"","family":"Neal","given":"Terry L.","non-dropping-particle":"","parse-names":false,"suffix":""}],"container-title":"Journal of Accounting and Public Policy","id":"ITEM-1","issue":"4","issued":{"date-parts":[["2009"]]},"page":"265-280","title":"Are fully independent audit committees really necessary?","type":"article-journal","volume":"28"},"uris":["http://www.mendeley.com/documents/?uuid=b83c7ca7-2bb9-40af-a41a-74981708cb4c"]}],"mendeley":{"formattedCitation":"(Bronson et al., 2009)","manualFormatting":"Bronson, Carcello, Hollingsworth and Neal, 2009)","plainTextFormattedCitation":"(Bronson et al., 2009)","previouslyFormattedCitation":"(Bronson et al., 2009)"},"properties":{"noteIndex":0},"schema":"https://github.com/citation-style-language/schema/raw/master/csl-citation.json"}</w:instrText>
      </w:r>
      <w:r>
        <w:fldChar w:fldCharType="separate"/>
      </w:r>
      <w:r>
        <w:rPr>
          <w:noProof/>
        </w:rPr>
        <w:t>Bronson, Carcello, Hollingsworth and Neal, 2009)</w:t>
      </w:r>
      <w:r>
        <w:fldChar w:fldCharType="end"/>
      </w:r>
      <w:r>
        <w:t xml:space="preserve">. They have regular meetings with the company's internal financial managers and external auditors to discuss the financial statements, audit procedure, and internal accounting controls </w:t>
      </w:r>
      <w:r>
        <w:fldChar w:fldCharType="begin"/>
      </w:r>
      <w:r>
        <w:instrText>ADDIN CSL_CITATION {"citationItems":[{"id":"ITEM-1","itemData":{"DOI":"10.1016/j.pacfin.2012.12.002","ISSN":"0927538X","abstract":"Policy makers around the world have focused on corporate governance reform since the Asian financial crisis and scandals in the United States such as the Enron debacle. In particular, policy makers have focused on the establishment of independent audit committees to improve investor confidence in reported accounting information. In a sample of East Asian companies, we find that the negative relation between concentrated control and earnings informativeness that was documented prior to the Asian financial crisis persists in a more recent period, even though many corporate governance reforms have been adopted since the crisis to improve financial disclosure. We do, however, find that earnings informativeness is strengthened by both fully independent audit committees and audit committees with a majority of independent directors with accounting financial or legal expertise. In addition, the increased reliability that is associated with these audit committee characteristics appears to more than offset the detrimental effect that is associated with concentrated control. The results in this paper suggest that an emphasis on audit committee independence alone may not be enough to enhance earnings informativeness. Instead, focusing on both complete independence and the financial or legal expertise of independent directors who are appointed to the audit committee may be a more fruitful way to increase investor confidence in accounting information, especially when ownership is concentrated. © 2012 Elsevier B.V.","author":[{"dropping-particle":"","family":"Woidtke","given":"Tracie","non-dropping-particle":"","parse-names":false,"suffix":""},{"dropping-particle":"","family":"Yeh","given":"Yin Hua","non-dropping-particle":"","parse-names":false,"suffix":""}],"container-title":"Pacific Basin Finance Journal","id":"ITEM-1","issued":{"date-parts":[["2013"]]},"page":"1-24","title":"The role of the audit committee and the informativeness of accounting earnings in East Asia","type":"article-journal","volume":"23"},"uris":["http://www.mendeley.com/documents/?uuid=fa97ad66-a2da-4c64-9245-39fc02a7ca18"]}],"mendeley":{"formattedCitation":"(Woidtke &amp; Yeh, 2013)","manualFormatting":"(Woidtke and Yeh, 2013)","plainTextFormattedCitation":"(Woidtke &amp; Yeh, 2013)","previouslyFormattedCitation":"(Woidtke &amp; Yeh, 2013)"},"properties":{"noteIndex":0},"schema":"https://github.com/citation-style-language/schema/raw/master/csl-citation.json"}</w:instrText>
      </w:r>
      <w:r>
        <w:fldChar w:fldCharType="separate"/>
      </w:r>
      <w:r>
        <w:rPr>
          <w:noProof/>
        </w:rPr>
        <w:t>(Woidtke and Yeh, 2013)</w:t>
      </w:r>
      <w:r>
        <w:fldChar w:fldCharType="end"/>
      </w:r>
      <w:r>
        <w:t xml:space="preserve">. </w:t>
      </w:r>
    </w:p>
    <w:p w:rsidR="00FA1AC4" w:rsidRDefault="00B11CCA">
      <w:pPr>
        <w:spacing w:before="240" w:after="240"/>
      </w:pPr>
      <w:r>
        <w:t xml:space="preserve">To guarantee high audit quality, the committee typically serves as a liaison between the internal auditor, external auditor, management, and board of directors. They may examine the nomination of auditors, the overall audit plan, the audit's findings, internal financial controls, and financial data for publishing, among other things. More specifically, they are </w:t>
      </w:r>
      <w:r>
        <w:lastRenderedPageBreak/>
        <w:t xml:space="preserve">in charge of directing the auditors' work and coordinating with management and auditors to achieve excellent audit quality </w:t>
      </w:r>
      <w:r>
        <w:fldChar w:fldCharType="begin"/>
      </w:r>
      <w:r>
        <w:instrText>ADDIN CSL_CITATION {"citationItems":[{"id":"ITEM-1","itemData":{"DOI":"10.3390/jrfm14060273","ISSN":"1911-8074","abstract":"This study explores the relationship between audit committee characteristics and accounting information quality by justifying the role of the internal information environment and political connections under the theocracy state of Iran with syncretic politics. Using panel data of 558 firms from the Tehran Stock Exchange (TSE) for 2011–2016, we rank firms using Technique for Order Preference by Similarity to Ideal Solution (TOPSIS) and entropy method for determination of the weight of evaluating indicators. The firms are positioned into high- to low-level political connections, and two proxies for audit committee characteristics are used: independence of audit committee and financial knowledge. Furthermore, three proxies are used for an internal information environment: earning announcement speed, the accuracy of earning forecasting and lack of financial restatements. Our findings show that there is a significant and positive relationship between the audit committee and financial information quality characteristics in high-level political connections, as well as between financial knowledge and financial information quality. Furthermore, the findings of this study suggest that the application of political economy theories could be appropriate for more inquiry.","author":[{"dropping-particle":"","family":"Namakavarani","given":"Omid Mehri","non-dropping-particle":"","parse-names":false,"suffix":""},{"dropping-particle":"","family":"Daryaei","given":"Abbas Ali","non-dropping-particle":"","parse-names":false,"suffix":""},{"dropping-particle":"","family":"Askarany","given":"Davood","non-dropping-particle":"","parse-names":false,"suffix":""},{"dropping-particle":"","family":"Askary","given":"Saeed","non-dropping-particle":"","parse-names":false,"suffix":""}],"container-title":"Journal of Risk and Financial Management","id":"ITEM-1","issue":"6","issued":{"date-parts":[["2021"]]},"page":"273","title":"Audit Committee Characteristics and Quality of Financial Information: The Role of the Internal Information Environment and Political Connections","type":"article-journal","volume":"14"},"uris":["http://www.mendeley.com/documents/?uuid=49003c79-3507-4133-a355-c155cfc816b4"]}],"mendeley":{"formattedCitation":"(Namakavarani et al., 2021)","manualFormatting":"(Namakavarani et al., 2021","plainTextFormattedCitation":"(Namakavarani et al., 2021)","previouslyFormattedCitation":"(Namakavarani et al., 2021)"},"properties":{"noteIndex":0},"schema":"https://github.com/citation-style-language/schema/raw/master/csl-citation.json"}</w:instrText>
      </w:r>
      <w:r>
        <w:fldChar w:fldCharType="separate"/>
      </w:r>
      <w:r>
        <w:rPr>
          <w:noProof/>
        </w:rPr>
        <w:t xml:space="preserve">(Namakavarani </w:t>
      </w:r>
      <w:r>
        <w:rPr>
          <w:i/>
          <w:noProof/>
        </w:rPr>
        <w:t>et al</w:t>
      </w:r>
      <w:r>
        <w:rPr>
          <w:noProof/>
        </w:rPr>
        <w:t>., 2021</w:t>
      </w:r>
      <w:r>
        <w:fldChar w:fldCharType="end"/>
      </w:r>
      <w:r>
        <w:t xml:space="preserve">;  </w:t>
      </w:r>
      <w:r>
        <w:fldChar w:fldCharType="begin"/>
      </w:r>
      <w:r>
        <w:instrText>ADDIN CSL_CITATION {"citationItems":[{"id":"ITEM-1","itemData":{"DOI":"10.1016/j.intaccaudtax.2021.100377","ISSN":"10619518","abstract":"The extant literature and corporate governance regulations suffer from a tight focus on audit committee (AC) financial expertise as a mean of improving the AC's oversight role. However, there is a lack of evidence about other kinds of expertise that might be important for AC effectiveness which could contribute to the quality of financial statements. This study examines whether AC industry expertise and AC legal expertise have an impact on audit quality in a developing country (Jordan). Furthermore, mixed and inconsistent findings regarding the role played by female directors and the peculiarity of the Jordanian context creates a motive to examine the effect of AC gender diversity on audit quality. By utilizing 1,035 firm-year observations, using two proxies to capture audit quality, and employing different estimation methods, this study highlights the importance of AC industry expertise in ensuring high audit quality. AC legal expertise and AC gender diversity have no significant effect on audit quality. This study offers a valuable contribution to the literature, and also has implications for policy-makers in Jordan and other countries with similar institutional environments to consider for future regulatory reform.","author":[{"dropping-particle":"","family":"Alhababsah","given":"Salem","non-dropping-particle":"","parse-names":false,"suffix":""},{"dropping-particle":"","family":"Yekini","given":"Sina","non-dropping-particle":"","parse-names":false,"suffix":""}],"container-title":"Journal of International Accounting, Auditing and Taxation","id":"ITEM-1","issued":{"date-parts":[["2021","3"]]},"page":"100377","publisher":"Elsevier","title":"Audit committee and audit quality: An empirical analysis considering industry expertise, legal expertise and gender diversity","type":"article-journal","volume":"42"},"uris":["http://www.mendeley.com/documents/?uuid=dfdbcdbd-a388-4bae-85e1-bbdf6ea1f539"]}],"mendeley":{"formattedCitation":"(Alhababsah &amp; Yekini, 2021)","manualFormatting":"Alhababsah and Yekini, 2021)","plainTextFormattedCitation":"(Alhababsah &amp; Yekini, 2021)","previouslyFormattedCitation":"(Alhababsah &amp; Yekini, 2021)"},"properties":{"noteIndex":0},"schema":"https://github.com/citation-style-language/schema/raw/master/csl-citation.json"}</w:instrText>
      </w:r>
      <w:r>
        <w:fldChar w:fldCharType="separate"/>
      </w:r>
      <w:r>
        <w:rPr>
          <w:noProof/>
        </w:rPr>
        <w:t>Alhababsah and Yekini, 2021)</w:t>
      </w:r>
      <w:r>
        <w:fldChar w:fldCharType="end"/>
      </w:r>
      <w:r>
        <w:t xml:space="preserve">. Management will be less pushy if the audit committee is successful, and the auditor will satisfy their need with a high-quality audit </w:t>
      </w:r>
      <w:r>
        <w:fldChar w:fldCharType="begin"/>
      </w:r>
      <w:r>
        <w:instrText>ADDIN CSL_CITATION {"citationItems":[{"id":"ITEM-1","itemData":{"DOI":"10.22164/isea.v7i2.76","ISSN":"1978-0591","abstract":"This study reviews the literature on audit committee expertise and financial reporting timeliness. Financial reporting timeliness and audit committee expertise are two areas of research gaining the attention of a large number of stakeholders because they contribute to the reliability and the  relevancy of financial reporting. Indeed, the focus of this review is primarily on the recent developments in the pertinent literature in order to show the limitations of such research and encourage future research to overcome these limitations. By also looking at the development of the audit committee expertise literature, this study concludes that (1) like most audit committee literature, financial reporting timeliness literature continues to assume the absence of the contribution of expertise other than financial expertise, and ignore the role of audit committee chair; (2) most of this literature fails to find a significant effect because it ignores the interaction among corporate governance mechanisms. Accordingly, this study posits that ignoring the issues raised in such research by future research would lead to major mistakes in reforms relating to how the quality of financial reporting can be enhanced.","author":[{"dropping-particle":"","family":"Baatwah","given":"Saeed Rabea","non-dropping-particle":"","parse-names":false,"suffix":""},{"dropping-particle":"","family":"Salleh","given":"Zalailah","non-dropping-particle":"","parse-names":false,"suffix":""},{"dropping-particle":"","family":"Ahmad","given":"Norsiah","non-dropping-particle":"","parse-names":false,"suffix":""}],"container-title":"Issues In Social And Environmental Accounting","id":"ITEM-1","issue":"2","issued":{"date-parts":[["2013"]]},"page":"86","title":"Whether Audit Committee Financial Expertise Is the Only Relevant Expertise: A Review of Audit Committee Expertise and Timeliness of Financial Reporting","type":"article-journal","volume":"7"},"uris":["http://www.mendeley.com/documents/?uuid=cf9ee9e0-5925-4662-9556-a2b14de578b0"]}],"mendeley":{"formattedCitation":"(Baatwah et al., 2013a)","plainTextFormattedCitation":"(Baatwah et al., 2013a)","previouslyFormattedCitation":"(Baatwah et al., 2013a)"},"properties":{"noteIndex":0},"schema":"https://github.com/citation-style-language/schema/raw/master/csl-citation.json"}</w:instrText>
      </w:r>
      <w:r>
        <w:fldChar w:fldCharType="separate"/>
      </w:r>
      <w:r>
        <w:rPr>
          <w:noProof/>
        </w:rPr>
        <w:t xml:space="preserve">Baatwah </w:t>
      </w:r>
      <w:r>
        <w:rPr>
          <w:i/>
          <w:noProof/>
        </w:rPr>
        <w:t>et al.</w:t>
      </w:r>
      <w:r>
        <w:rPr>
          <w:noProof/>
        </w:rPr>
        <w:t>, (2013a)</w:t>
      </w:r>
      <w:r>
        <w:fldChar w:fldCharType="end"/>
      </w:r>
      <w:r>
        <w:t xml:space="preserve"> consider that they are a crucial component of the decision-control system for the board of directors' internal oversight and list numerous of their responsibilities, which mostly center on boosting business performance and shareholder wealth. The current SEC guidelines mandate that member businesses of all national exchanges (such as the NYSE and NASDAQ) establish a committee with independent members and specific tasks to ensure that higher-quality accounting information is created and distributed. Researchers such as Bédard, Chtourou and Courteau, (2004); Krishnan, (2005); Klein, (2002);  </w:t>
      </w:r>
      <w:r>
        <w:fldChar w:fldCharType="begin"/>
      </w:r>
      <w:r>
        <w:instrText>ADDIN CSL_CITATION {"citationItems":[{"id":"ITEM-1","itemData":{"DOI":"10.1016/j.jcae.2020.100189","ISSN":"18155669","abstract":"This paper examines the association between the presence of female tainted directors on corporate boards and audit committees and (1) financial reporting quality and (2) audit fees. Female tainted directors are defined as female directors who have been directors of the firms that have previously been involved in financial failures and integrity indiscretions. Using real earnings management and audit fees as proxies for effective governance and board reputation, we find that firms with female tainted directors have higher real earnings management and higher audit fees. However, since prior literature has demonstrated that audit fees are higher for firms with female directors because female directors demand better auditing, we corroborate a supply-side effect of auditors charging higher audit fees when female tainted directors exist. We demonstrate this by showing that while there is an association between audit fee and real earnings management, this association is higher for firms with female tainted directors. Arguably, the governance and reputational benefits of female directors on boards are negated if such directors have tarnished professional reputations.","author":[{"dropping-particle":"","family":"Bhuiyan","given":"Md Borhan Uddin","non-dropping-particle":"","parse-names":false,"suffix":""},{"dropping-particle":"","family":"Rahman","given":"Asheq","non-dropping-particle":"","parse-names":false,"suffix":""},{"dropping-particle":"","family":"Sultana","given":"Nigar","non-dropping-particle":"","parse-names":false,"suffix":""}],"container-title":"Journal of Contemporary Accounting and Economics","id":"ITEM-1","issue":"2","issued":{"date-parts":[["2020"]]},"title":"Female tainted directors, financial reporting quality and audit fees","type":"article-journal","volume":"16"},"uris":["http://www.mendeley.com/documents/?uuid=5760a1f0-1828-4bb2-b048-bf4fe04831b4"]}],"mendeley":{"formattedCitation":"(Bhuiyan et al., 2020)","manualFormatting":"Bhuiyan, Rahman and Sultana, 2020)","plainTextFormattedCitation":"(Bhuiyan et al., 2020)","previouslyFormattedCitation":"(Bhuiyan et al., 2020)"},"properties":{"noteIndex":0},"schema":"https://github.com/citation-style-language/schema/raw/master/csl-citation.json"}</w:instrText>
      </w:r>
      <w:r>
        <w:fldChar w:fldCharType="separate"/>
      </w:r>
      <w:r>
        <w:rPr>
          <w:noProof/>
        </w:rPr>
        <w:t>Bhuiyan, Rahman and Sultana, (2020)</w:t>
      </w:r>
      <w:r>
        <w:fldChar w:fldCharType="end"/>
      </w:r>
      <w:r>
        <w:t xml:space="preserve"> have discovered that the composition and structure of audit committees have an impact on the reliability of internal controls, the accuracy of publicly issued financial information, and the availability of possibilities for earnings management. Policymakers, regulators, and researchers have highlighted the supervisory duties of boards of directors and audit committees among corporate governance components. This emphasis is supported by the notion that independent, knowledgeable, and proactive boards and audit committees may and should play a crucial role in safeguarding investors' interests </w:t>
      </w:r>
      <w:r>
        <w:fldChar w:fldCharType="begin"/>
      </w:r>
      <w:r>
        <w:instrText>ADDIN CSL_CITATION {"citationItems":[{"id":"ITEM-1","itemData":{"DOI":"10.1016/j.intaccaudtax.2018.03.002","ISSN":"10619518","abstract":"This paper investigates whether the characteristics of boards of directors and audit committees and the formation of the latter are associated with firm performance. Agency theory suggests that well-governed firms perform relatively better than their poorly-governed counterparts. However, resource dependency theory suggests that a board with more insider directors could have more expertise on how to better operate the firm, thus contributing to better firm performance. Using a sample of firms publicly traded on the Athens Stock Exchange during 2008–2012, we find that those having large-sized boards performed better, but firms having more independent board members performed poorly. We also find that firms with small-sized boards and those with boards having more independent members are more likely to form audit committees, but we failed to find any association between audit committee characteristics and firm performance. In addition, we do not find a negative relation between board independence and future firm performance. These findings suggest that boards of Greek firms take more active role in advising than monitoring. These findings have implications for policymakers, researchers, corporate managers, and investors, in general, and particularly, those in emerging markets.","author":[{"dropping-particle":"","family":"Zhou","given":"Haiyan","non-dropping-particle":"","parse-names":false,"suffix":""},{"dropping-particle":"","family":"Owusu-Ansah","given":"Stephen","non-dropping-particle":"","parse-names":false,"suffix":""},{"dropping-particle":"","family":"Maggina","given":"Anastasia","non-dropping-particle":"","parse-names":false,"suffix":""}],"container-title":"Journal of International Accounting, Auditing and Taxation","id":"ITEM-1","issue":"May 2013","issued":{"date-parts":[["2018"]]},"page":"20-36","publisher":"Elsevier","title":"Board of directors, audit committee, and firm performance: Evidence from Greece","type":"article-journal","volume":"31"},"uris":["http://www.mendeley.com/documents/?uuid=1238ffe3-7714-4d19-ad53-7b991ab3747c"]}],"mendeley":{"formattedCitation":"(Zhou et al., 2018)","manualFormatting":"(Zhou, Owusu-Ansah and Maggina, 2018","plainTextFormattedCitation":"(Zhou et al., 2018)","previouslyFormattedCitation":"(Zhou et al., 2018)"},"properties":{"noteIndex":0},"schema":"https://github.com/citation-style-language/schema/raw/master/csl-citation.json"}</w:instrText>
      </w:r>
      <w:r>
        <w:fldChar w:fldCharType="separate"/>
      </w:r>
      <w:r>
        <w:rPr>
          <w:noProof/>
        </w:rPr>
        <w:t>(Zhou, Owusu-Ansah and Maggina, 2018</w:t>
      </w:r>
      <w:r>
        <w:fldChar w:fldCharType="end"/>
      </w:r>
      <w:r>
        <w:t xml:space="preserve">; </w:t>
      </w:r>
      <w:r>
        <w:fldChar w:fldCharType="begin"/>
      </w:r>
      <w:r>
        <w:instrText>ADDIN CSL_CITATION {"citationItems":[{"id":"ITEM-1","itemData":{"DOI":"10.1016/j.acclit.2017.11.002","ISSN":"07374607","abstract":"We examine whether the percentage of independent members sitting on the audit committee, in different institutional settings, impacts the market reaction (measured by the abnormal stock returns variance and the abnormal trading volume) to earnings announcements. For our sample composed of more than 7′600 earnings announcements made by European firms from 15 countries between 2006 and 2014, we find that the market reactions to earnings announcements are significantly larger when the audit committee is more independent in countries with weak institutional setting. Our results generally hold after controlling for numerous methodological issues. We conclude that more independent audit committees are substitutes for weak institutions to increase the credibility of earnings announcements. Our results should be of great interest for European regulators who recently introduced new requirements for public firms regarding audit committees’ independence.","author":[{"dropping-particle":"","family":"Poretti","given":"Cédric","non-dropping-particle":"","parse-names":false,"suffix":""},{"dropping-particle":"","family":"Schatt","given":"Alain","non-dropping-particle":"","parse-names":false,"suffix":""},{"dropping-particle":"","family":"Bruynseels","given":"Liesbeth","non-dropping-particle":"","parse-names":false,"suffix":""}],"container-title":"Journal of Accounting Literature","id":"ITEM-1","issued":{"date-parts":[["2018"]]},"page":"29-53","title":"Audit committees’ independence and the information content of earnings announcements in Western Europe","type":"article-journal","volume":"40"},"uris":["http://www.mendeley.com/documents/?uuid=b09437fa-38ce-4154-af21-558ecb95caf9"]}],"mendeley":{"formattedCitation":"(Poretti et al., 2018)","manualFormatting":"Poretti, Schatt and Bruynseels, 2018","plainTextFormattedCitation":"(Poretti et al., 2018)","previouslyFormattedCitation":"(Poretti et al., 2018)"},"properties":{"noteIndex":0},"schema":"https://github.com/citation-style-language/schema/raw/master/csl-citation.json"}</w:instrText>
      </w:r>
      <w:r>
        <w:fldChar w:fldCharType="separate"/>
      </w:r>
      <w:r>
        <w:rPr>
          <w:noProof/>
        </w:rPr>
        <w:t>Poretti, Schatt and Bruynseels, 2018</w:t>
      </w:r>
      <w:r>
        <w:fldChar w:fldCharType="end"/>
      </w:r>
      <w:r>
        <w:t xml:space="preserve">; </w:t>
      </w:r>
      <w:r>
        <w:fldChar w:fldCharType="begin"/>
      </w:r>
      <w:r>
        <w:instrText>ADDIN CSL_CITATION {"citationItems":[{"id":"ITEM-1","itemData":{"DOI":"10.1016/j.jaccpubpol.2004.06.001","ISSN":"02784254","abstract":"This paper investigates stock returns surrounding the appointment of directors to audit committees. We examine 136 voluntary appointment announcements over 1990-2001. Most of the announcements are issued after year 1999 and by small, NASDAQ firms. We find significantly positive stock price reaction when new members of audit committees have financial expertise. These results are robust to control for state of audit committees prior to director appointment and for an alternative definition of financial expertise. Our evidence suggests that market rewards firms that appoint financial experts to their audit committees. © 2004 Elsevier Inc. All rights reserved.","author":[{"dropping-particle":"","family":"Davidson","given":"Wallace N.","non-dropping-particle":"","parse-names":false,"suffix":""},{"dropping-particle":"","family":"Xie","given":"Biao","non-dropping-particle":"","parse-names":false,"suffix":""},{"dropping-particle":"","family":"Xu","given":"Weihong","non-dropping-particle":"","parse-names":false,"suffix":""}],"container-title":"Journal of Accounting and Public Policy","id":"ITEM-1","issue":"4","issued":{"date-parts":[["2004"]]},"page":"279-293","title":"Market reaction to voluntary announcements of audit committee appointments: The effect of financial expertise","type":"article-journal","volume":"23"},"uris":["http://www.mendeley.com/documents/?uuid=d2e2d260-5744-4976-aacc-0abceeee6de2"]}],"mendeley":{"formattedCitation":"(Davidson et al., 2004)","manualFormatting":"Davidson et al., 2004)","plainTextFormattedCitation":"(Davidson et al., 2004)","previouslyFormattedCitation":"(Davidson et al., 2004)"},"properties":{"noteIndex":0},"schema":"https://github.com/citation-style-language/schema/raw/master/csl-citation.json"}</w:instrText>
      </w:r>
      <w:r>
        <w:fldChar w:fldCharType="separate"/>
      </w:r>
      <w:r>
        <w:rPr>
          <w:noProof/>
        </w:rPr>
        <w:t xml:space="preserve">Davidson </w:t>
      </w:r>
      <w:r>
        <w:rPr>
          <w:i/>
          <w:noProof/>
        </w:rPr>
        <w:t>et al</w:t>
      </w:r>
      <w:r>
        <w:rPr>
          <w:noProof/>
        </w:rPr>
        <w:t>., 2004)</w:t>
      </w:r>
      <w:r>
        <w:fldChar w:fldCharType="end"/>
      </w:r>
      <w:r>
        <w:t>. The financial statements supplied to users can be made more credible and reliable with the help of a strong audit committee.</w:t>
      </w:r>
    </w:p>
    <w:p w:rsidR="00FA1AC4" w:rsidRDefault="00B11CCA">
      <w:pPr>
        <w:spacing w:after="240"/>
      </w:pPr>
      <w:r>
        <w:lastRenderedPageBreak/>
        <w:t xml:space="preserve">Since audit committees are in charge of overseeing financial reporting and audit activities in businesses, they were included in this discussion (Kartal </w:t>
      </w:r>
      <w:r>
        <w:rPr>
          <w:i/>
        </w:rPr>
        <w:t>et al</w:t>
      </w:r>
      <w:r>
        <w:t xml:space="preserve">., 2018). Monitoring and attempting to assure the objectivity and independence of external auditors, reducing management pressure on auditors, and enhancing the integrity of financial statements are some of the main duties of the audit committee </w:t>
      </w:r>
      <w:r>
        <w:fldChar w:fldCharType="begin"/>
      </w:r>
      <w:r>
        <w:instrText>ADDIN CSL_CITATION {"citationItems":[{"id":"ITEM-1","itemData":{"DOI":"10.1016/j.bar.2015.03.001","ISSN":"10958347","abstract":"This study investigates the associations between audit committee characteristics and the likelihood of auditors' going-concern decisions among UK failed firms. Specifically, we examine whether the threat posed by auditor-provided non-audit services (NAS) to auditors' reporting decisions is mediated by audit committee characteristics. We find that failed firms with higher proportions of independent non-executive directors (NEDs) and financial experts on the audit committee are more likely to receive auditor going-concern modifications prior to failure, but that there is no significant relationship between NAS fees and the likelihood of receiving a going-concern modification. The evidence further suggests that the association between NAS and auditors' reporting decisions is subject to audit committee characteristics. Where the audit committee is more independent and includes a greater proportion of financial experts, auditors providing the client with NAS are less likely to issue a standard unmodified going-concern report prior to failure. Overall, the findings provide support for corporate governance regulators' concerns about the monitoring benefits of audit committee independence and the presence of financial expertise on the audit committee for auditors' reporting decisions.","author":[{"dropping-particle":"","family":"Wu","given":"Chloe Yu Hsuan","non-dropping-particle":"","parse-names":false,"suffix":""},{"dropping-particle":"","family":"Hsu","given":"Hwa Hsien","non-dropping-particle":"","parse-names":false,"suffix":""},{"dropping-particle":"","family":"Haslam","given":"Jim","non-dropping-particle":"","parse-names":false,"suffix":""}],"container-title":"British Accounting Review","id":"ITEM-1","issue":"2","issued":{"date-parts":[["2014"]]},"page":"240-256","title":"Audit committees, non-audit services, and auditor reporting decisions prior to failure","type":"article-journal","volume":"48"},"uris":["http://www.mendeley.com/documents/?uuid=80c542c5-f7a5-4d45-8de5-b41a6bedf49f"]}],"mendeley":{"formattedCitation":"(Wu et al., 2014)","manualFormatting":"(Wu, Hsu and Haslam, 2014)","plainTextFormattedCitation":"(Wu et al., 2014)","previouslyFormattedCitation":"(Wu et al., 2014)"},"properties":{"noteIndex":0},"schema":"https://github.com/citation-style-language/schema/raw/master/csl-citation.json"}</w:instrText>
      </w:r>
      <w:r>
        <w:fldChar w:fldCharType="separate"/>
      </w:r>
      <w:r>
        <w:rPr>
          <w:noProof/>
        </w:rPr>
        <w:t>(Wu, Hsu and Haslam, 2014)</w:t>
      </w:r>
      <w:r>
        <w:fldChar w:fldCharType="end"/>
      </w:r>
      <w:r>
        <w:t xml:space="preserve">. The PCAOB Auditing Standard No. 5 (2007), which requires external auditors to assess the effectiveness of the audit committee as part of their evaluation of the system of internal controls, now specifically addresses the idea of audit committee diligence </w:t>
      </w:r>
      <w:r>
        <w:fldChar w:fldCharType="begin"/>
      </w:r>
      <w:r>
        <w:instrText>ADDIN CSL_CITATION {"citationItems":[{"id":"ITEM-1","itemData":{"DOI":"10.1016/j.racreg.2011.06.005","ISSN":"10520457","abstract":"Effective audit committees provide numerous public benefits including better financial reporting and reduced corporate fraud. Prior to the passage of the Sarbanes-Oxley Act (SOX), research identified specific features of audit committee effectiveness, many of which were subsequently included in SOX Sections 301 and 407 regulations on audit committees. Using survey methodology, this study examines the extent to which public company audit committee members believe these effectiveness features are operating within their committees today. Eighty public company audit committee members from a variety of industries completed a survey and indicated that overall, features of effective audit committees are present. A number of areas for potential improvement were noted. By soliciting post-SOX information about audit committee effectiveness from a difficult to access subject pool, our study provides researchers, educators, public company management, and public company boards of directors with an updated understanding of the current state of public audit committee effectiveness. Results from this study can inform policy makers as they consider the adequacy of current regulations for audit committees. © 2011 Elsevier Ltd.","author":[{"dropping-particle":"","family":"Rupley","given":"Kathleen","non-dropping-particle":"","parse-names":false,"suffix":""},{"dropping-particle":"","family":"Almer","given":"Elizabeth","non-dropping-particle":"","parse-names":false,"suffix":""},{"dropping-particle":"","family":"Philbrick","given":"Donna","non-dropping-particle":"","parse-names":false,"suffix":""}],"container-title":"Research in Accounting Regulation","id":"ITEM-1","issue":"2","issued":{"date-parts":[["2011"]]},"page":"138-144","title":"Audit committee effectiveness: Perceptions of public company audit committee members post-SOX","type":"article-journal","volume":"23"},"uris":["http://www.mendeley.com/documents/?uuid=97d5fa1b-e8f0-44b7-a78f-ce4cb8c299eb"]}],"mendeley":{"formattedCitation":"(Rupley et al., 2011)","manualFormatting":"(Rupley, Almer and Philbrick, 2011)","plainTextFormattedCitation":"(Rupley et al., 2011)","previouslyFormattedCitation":"(Rupley et al., 2011)"},"properties":{"noteIndex":0},"schema":"https://github.com/citation-style-language/schema/raw/master/csl-citation.json"}</w:instrText>
      </w:r>
      <w:r>
        <w:fldChar w:fldCharType="separate"/>
      </w:r>
      <w:r>
        <w:rPr>
          <w:noProof/>
        </w:rPr>
        <w:t>(Rupley, Almer and Philbrick, 2011)</w:t>
      </w:r>
      <w:r>
        <w:fldChar w:fldCharType="end"/>
      </w:r>
      <w:r>
        <w:t xml:space="preserve">. Many researchers have suggested that the audit committee is essential to ensure the effectiveness of corporate governance mechanisms through four main characteristics (independence, number of meetings, size, gender diversity, composition and financial expertise) Since the effectiveness of this committee is influenced by their characteristics </w:t>
      </w:r>
      <w:r>
        <w:fldChar w:fldCharType="begin"/>
      </w:r>
      <w:r>
        <w:instrText>ADDIN CSL_CITATION {"citationItems":[{"id":"ITEM-1","itemData":{"DOI":"10.1080/23311975.2021.1935183","author":[{"dropping-particle":"","family":"Syofyan","given":"Efrizal","non-dropping-particle":"","parse-names":false,"suffix":""},{"dropping-particle":"","family":"Septiari","given":"Dovi","non-dropping-particle":"","parse-names":false,"suffix":""},{"dropping-particle":"","family":"Dwita","given":"Sany","non-dropping-particle":"","parse-names":false,"suffix":""},{"dropping-particle":"","family":"Rahmi","given":"Mutia","non-dropping-particle":"","parse-names":false,"suffix":""}],"container-title":"Cogent Business &amp; Management","id":"ITEM-1","issue":"1","issued":{"date-parts":[["2021"]]},"title":"The characteristics of the audit committee affecting timeliness of the audit report in Indonesia","type":"article-journal","volume":"8"},"uris":["http://www.mendeley.com/documents/?uuid=fd81b025-b8b6-45a4-92b0-f405b238f222"]}],"mendeley":{"formattedCitation":"(Syofyan et al., 2021)","manualFormatting":"(Syofyan, Septiari, Dwita and Rahmi, 2021","plainTextFormattedCitation":"(Syofyan et al., 2021)","previouslyFormattedCitation":"(Syofyan et al., 2021)"},"properties":{"noteIndex":0},"schema":"https://github.com/citation-style-language/schema/raw/master/csl-citation.json"}</w:instrText>
      </w:r>
      <w:r>
        <w:fldChar w:fldCharType="separate"/>
      </w:r>
      <w:r>
        <w:rPr>
          <w:noProof/>
        </w:rPr>
        <w:t>(Syofyan, Septiari, Dwita and Rahmi, 2021</w:t>
      </w:r>
      <w:r>
        <w:fldChar w:fldCharType="end"/>
      </w:r>
      <w:r>
        <w:t xml:space="preserve">; </w:t>
      </w:r>
      <w:r>
        <w:fldChar w:fldCharType="begin"/>
      </w:r>
      <w:r>
        <w:instrText>ADDIN CSL_CITATION {"citationItems":[{"id":"ITEM-1","itemData":{"DOI":"10.1016/j.ism.2014.09.001","ISSN":"23067748","abstract":"The purpose of this paper is to detect the impact of audit committee characteristics on Lebanese financially distressed and non-distressed banks. Four characteristics of the audit committee are being examined; size, composition, frequency of meeting and financial expertise. The sample includes 54 ebanese banks with fiscal years-end between 2009 and 2011. The financially distressed and non-distressed banks have been identified from bank profitability. Our Results show that the financial distress of banks has a significant negative relation with the meeting frequency of the audit committee. Hence, the evidence suggests that the meeting frequency of audit committee members is an important factor as it helps the audit committee to hinder the financial distress of the bank. Meeting frequency plays an important role to ensure audit committee effectiveness. In other words, the audit committee with frequent meetings is able to help audit committee members to ensure the integrity of financial reporting, to provide better monitoring and to review effectively the operations. The establishment decision of audit committee was adopted in 2008 and was modified in 2010 in Lebanese banks. Then, this study examines an actuality subject. Consequently, this paper represented an added value to the corporate governance in Lebanese banks and shows the importance of the audit committee impact on financial performance. Future studies concentrate on the impact of managerial dominance over the board (board composition, CEO duality and management ownership) on the independence of audit committee which may have an influence on bank performance.","author":[{"dropping-particle":"","family":"Salloum","given":"Charbel","non-dropping-particle":"","parse-names":false,"suffix":""},{"dropping-particle":"","family":"Azzi","given":"Georges","non-dropping-particle":"","parse-names":false,"suffix":""},{"dropping-particle":"","family":"Gebrayel","given":"Elias","non-dropping-particle":"","parse-names":false,"suffix":""}],"container-title":"International Strategic Management Review","id":"ITEM-1","issue":"1","issued":{"date-parts":[["2014"]]},"page":"39-45","title":"Audit Committee and Financial Distress in the Middle East Context: Evidence of the Lebanese Financial Institutions","type":"article-journal","volume":"2"},"uris":["http://www.mendeley.com/documents/?uuid=be43eb10-9976-41b1-b453-4d3c2876d603"]}],"mendeley":{"formattedCitation":"(Salloum et al., 2014)","manualFormatting":"Salloum et al., 2014","plainTextFormattedCitation":"(Salloum et al., 2014)","previouslyFormattedCitation":"(Salloum et al., 2014)"},"properties":{"noteIndex":0},"schema":"https://github.com/citation-style-language/schema/raw/master/csl-citation.json"}</w:instrText>
      </w:r>
      <w:r>
        <w:fldChar w:fldCharType="separate"/>
      </w:r>
      <w:r>
        <w:rPr>
          <w:noProof/>
        </w:rPr>
        <w:t xml:space="preserve">Salloum </w:t>
      </w:r>
      <w:r>
        <w:rPr>
          <w:i/>
          <w:noProof/>
        </w:rPr>
        <w:t>et al</w:t>
      </w:r>
      <w:r>
        <w:rPr>
          <w:noProof/>
        </w:rPr>
        <w:t>., 2014</w:t>
      </w:r>
      <w:r>
        <w:fldChar w:fldCharType="end"/>
      </w:r>
      <w:r>
        <w:t xml:space="preserve">; </w:t>
      </w:r>
      <w:r>
        <w:fldChar w:fldCharType="begin"/>
      </w:r>
      <w:r>
        <w:instrText>ADDIN CSL_CITATION {"citationItems":[{"id":"ITEM-1","itemData":{"DOI":"10.6007/ijarafms/v9-i4/6699","abstract":"Abstract Key words Accounting scandals and corporate failures, like Enron, WorldCom and Toshiba, have driven the regulators to look into the importance and role of the audit committee (AC) in the practicing of real earnings management (REM). This study investigates the impact of AC characteristics, i.e., size, expertise, meetings and independence, on REM using a sample of 721 firm-year observations of firms listed on the Amman Stock Exchange (ASE) for the 2011 to 2017 period. Interestingly, the results reveal that AC expertise, AC independence and AC meetings have a negatively significant relationship with the level of REM; while there is no relationship between REM and AC size. The findings from the current study can help regulatory bodies and policymakers in instituting policies and strategies with regards to the credibility of financial reports in Jordan. Future studies may consider the effect of other AC characteristics, like AC quality, AC members’ ownership and AC members’ remuneration on REM.","author":[{"dropping-particle":"","family":"Kharashgah","given":"Khaled Ahmad","non-dropping-particle":"","parse-names":false,"suffix":""},{"dropping-particle":"","family":"Amran","given":"Noor Afza Binti","non-dropping-particle":"","parse-names":false,"suffix":""},{"dropping-particle":"","family":"Ishak","given":"Rokiah Binti","non-dropping-particle":"","parse-names":false,"suffix":""}],"container-title":"International Journal of Academic Research in Accounting, Finance and Management Sciences","id":"ITEM-1","issue":"4","issued":{"date-parts":[["2019"]]},"page":"84-97","title":"The Impact of Audit Committee Characteristics on Real Earnings Management: Evidence from Jordan","type":"article-journal","volume":"9"},"uris":["http://www.mendeley.com/documents/?uuid=1876d608-74c2-4670-9135-111eba29e237"]}],"mendeley":{"formattedCitation":"(Kharashgah et al., 2019)","manualFormatting":"Kharashgah, Amran and Ishak, 2019)","plainTextFormattedCitation":"(Kharashgah et al., 2019)","previouslyFormattedCitation":"(Kharashgah et al., 2019)"},"properties":{"noteIndex":0},"schema":"https://github.com/citation-style-language/schema/raw/master/csl-citation.json"}</w:instrText>
      </w:r>
      <w:r>
        <w:fldChar w:fldCharType="separate"/>
      </w:r>
      <w:r>
        <w:rPr>
          <w:noProof/>
        </w:rPr>
        <w:t>Kharashgah, Amran and Ishak, 2019)</w:t>
      </w:r>
      <w:r>
        <w:fldChar w:fldCharType="end"/>
      </w:r>
      <w:r>
        <w:t xml:space="preserve">, we shall be examining two audit committee characteristics, namely, member size and meeting frequency. </w:t>
      </w:r>
    </w:p>
    <w:p w:rsidR="00FA1AC4" w:rsidRDefault="00B11CCA">
      <w:pPr>
        <w:pStyle w:val="Heading3"/>
        <w:numPr>
          <w:ilvl w:val="2"/>
          <w:numId w:val="12"/>
        </w:numPr>
        <w:spacing w:line="480" w:lineRule="auto"/>
        <w:ind w:left="709"/>
      </w:pPr>
      <w:bookmarkStart w:id="33" w:name="_Toc112342350"/>
      <w:r>
        <w:t>Audit Committee Meeting</w:t>
      </w:r>
      <w:bookmarkEnd w:id="33"/>
      <w:r>
        <w:t xml:space="preserve"> </w:t>
      </w:r>
    </w:p>
    <w:p w:rsidR="00FA1AC4" w:rsidRDefault="00B11CCA">
      <w:pPr>
        <w:spacing w:after="240"/>
      </w:pPr>
      <w:r>
        <w:t xml:space="preserve">According to </w:t>
      </w:r>
      <w:r>
        <w:fldChar w:fldCharType="begin"/>
      </w:r>
      <w:r>
        <w:instrText>ADDIN CSL_CITATION {"citationItems":[{"id":"ITEM-1","itemData":{"DOI":"10.1016/j.sbspro.2014.06.042","ISSN":"18770428","abstract":"This study examines the influence of audit committee characteristics on voluntary ethics disclosures of the top 94 companies listed on Bursa Malaysia. The study employs content analysis of company's annual report and multiple linear regressions to look at the relationships between voluntary ethics disclosure and audit committee characteristics. The result from the study suggests that only two audit committee characteristics (tenure and multiple directorships) are associated with the voluntary ethics disclosure, whilst independence, expertise, meeting frequency and size were inconsistent. This study serves to assist the stakeholders in putting greater emphasis on audit committee in determining ethics disclosure of companies.","author":[{"dropping-particle":"","family":"Othman","given":"Rohana","non-dropping-particle":"","parse-names":false,"suffix":""},{"dropping-particle":"","family":"Ishak","given":"Ili Farhana","non-dropping-particle":"","parse-names":false,"suffix":""},{"dropping-particle":"","family":"Arif","given":"Siti Maznah Mohd","non-dropping-particle":"","parse-names":false,"suffix":""},{"dropping-particle":"","family":"Aris","given":"Nooraslinda Abdul","non-dropping-particle":"","parse-names":false,"suffix":""}],"container-title":"Procedia - Social and Behavioral Sciences","id":"ITEM-1","issued":{"date-parts":[["2014"]]},"page":"330-342","title":"Influence of Audit Committee Characteristics on Voluntary Ethics Disclosure","type":"article-journal","volume":"145"},"uris":["http://www.mendeley.com/documents/?uuid=57fc4d9d-a7de-4e85-a8c1-8faf37493d79"]}],"mendeley":{"formattedCitation":"(Othman et al., 2014)","manualFormatting":"(Othman, Ishak, Arif and Aris, 2014)","plainTextFormattedCitation":"(Othman et al., 2014)","previouslyFormattedCitation":"(Othman et al., 2014)"},"properties":{"noteIndex":0},"schema":"https://github.com/citation-style-language/schema/raw/master/csl-citation.json"}</w:instrText>
      </w:r>
      <w:r>
        <w:fldChar w:fldCharType="separate"/>
      </w:r>
      <w:r>
        <w:rPr>
          <w:noProof/>
        </w:rPr>
        <w:t>Othman, Ishak, Arif and Aris, (2014)</w:t>
      </w:r>
      <w:r>
        <w:fldChar w:fldCharType="end"/>
      </w:r>
      <w:r>
        <w:t xml:space="preserve">, The number of meetings the committee holds within a corporation in a year is referred to as the audit committee meeting. All publicly traded businesses should form "fully constituted audit committees as a vital step in enhancing standards of corporate governance," according to the Cadbury Committee's (1992) recommendation. Meeting frequency reveals the effectiveness of the oversight committee's work and the reliability of the data presented. The committee's frequent </w:t>
      </w:r>
      <w:r>
        <w:lastRenderedPageBreak/>
        <w:t xml:space="preserve">meetings suggest that they want to be careful and informed. This demonstrates that investors from the outside perceive less risk when investing in businesses that hold more meetings and perhaps demand less standards-setting procedures for corporate reporting. The committee will have more time to monitor the business's financial reporting process if it meets more frequently </w:t>
      </w:r>
      <w:r>
        <w:fldChar w:fldCharType="begin"/>
      </w:r>
      <w:r>
        <w:instrText>ADDIN CSL_CITATION {"citationItems":[{"id":"ITEM-1","itemData":{"DOI":"10.1080/23311975.2021.1935183","author":[{"dropping-particle":"","family":"Syofyan","given":"Efrizal","non-dropping-particle":"","parse-names":false,"suffix":""},{"dropping-particle":"","family":"Septiari","given":"Dovi","non-dropping-particle":"","parse-names":false,"suffix":""},{"dropping-particle":"","family":"Dwita","given":"Sany","non-dropping-particle":"","parse-names":false,"suffix":""},{"dropping-particle":"","family":"Rahmi","given":"Mutia","non-dropping-particle":"","parse-names":false,"suffix":""}],"container-title":"Cogent Business &amp; Management","id":"ITEM-1","issue":"1","issued":{"date-parts":[["2021"]]},"title":"The characteristics of the audit committee affecting timeliness of the audit report in Indonesia","type":"article-journal","volume":"8"},"uris":["http://www.mendeley.com/documents/?uuid=fd81b025-b8b6-45a4-92b0-f405b238f222"]}],"mendeley":{"formattedCitation":"(Syofyan et al., 2021)","plainTextFormattedCitation":"(Syofyan et al., 2021)","previouslyFormattedCitation":"(Syofyan et al., 2021)"},"properties":{"noteIndex":0},"schema":"https://github.com/citation-style-language/schema/raw/master/csl-citation.json"}</w:instrText>
      </w:r>
      <w:r>
        <w:fldChar w:fldCharType="separate"/>
      </w:r>
      <w:r>
        <w:rPr>
          <w:noProof/>
        </w:rPr>
        <w:t xml:space="preserve">(Syofyan </w:t>
      </w:r>
      <w:r>
        <w:rPr>
          <w:i/>
          <w:noProof/>
        </w:rPr>
        <w:t>et al</w:t>
      </w:r>
      <w:r>
        <w:rPr>
          <w:noProof/>
        </w:rPr>
        <w:t>., 2021)</w:t>
      </w:r>
      <w:r>
        <w:fldChar w:fldCharType="end"/>
      </w:r>
      <w:r>
        <w:t>.</w:t>
      </w:r>
    </w:p>
    <w:p w:rsidR="00FA1AC4" w:rsidRDefault="00B11CCA">
      <w:pPr>
        <w:spacing w:after="240"/>
      </w:pPr>
      <w:r>
        <w:t>The study by Kalbers and Fogarty, (1993) demonstrate how the efficacy of the audit committee is influenced by the frequency of meetings. It is anticipated that the frequency of meetings will grow because the more frequently they meet, the easier it will be for the audit committee to monitor the management company's operations (Menon and Williams, 1994; Lee and Mande, 2005; Stewart and Munro, 2007).</w:t>
      </w:r>
      <w:r>
        <w:rPr>
          <w:color w:val="FF0000"/>
        </w:rPr>
        <w:t xml:space="preserve"> </w:t>
      </w:r>
      <w:r>
        <w:t>Committee members should be willing to spend more time auditing in order to be more effective (Lee, Tsun-Siou and Yin-Hua, 2004). The frequency of audit committee meetings, according to earlier research, is related to higher profits quality (Xie, Davidson and DaDalt, 2003; Vafeas, 2005). However, Australian researchers found no conclusive evidence linking the number of meetings to profits management</w:t>
      </w:r>
      <w:r>
        <w:rPr>
          <w:color w:val="FF0000"/>
        </w:rPr>
        <w:t xml:space="preserve"> </w:t>
      </w:r>
      <w:r>
        <w:fldChar w:fldCharType="begin"/>
      </w:r>
      <w:r>
        <w:instrText>ADDIN CSL_CITATION {"citationItems":[{"id":"ITEM-1","itemData":{"abstract":"This study aims to investigate the relationship between the audit committee effectiveness and audit quality on financial reporting quality. Panel data were collected from the Form 56-1 and financial statements of listed companies, including three industry groups, in Stock Exchange of Thailand from 2008 to 2012; and data was analyzed using Panel Fixed Effects Model. The results show that the audit committee effectiveness had a significantly positive relationship with financial reporting quality. As the size of audit committee increased, financial reporting quality was improved. However, this study reveals that a decreased quality of financial reporting may be a result from arisen discretionary accruals. Audit quality was found to be positively associated with financial reporting quality significantly, determined from unqualified audit opinion. This indicates that financial reporting was prepared according to generally accepted accounting standards. Moreover, size of board of directors, financial risk, return on assets and growth had a positive relationship with financial reporting quality, as administrators are motivated to create a good operation performance, thus creates credibility to investors and shareholders.","author":[{"dropping-particle":"","family":"Kamolsakulchai","given":"Malai","non-dropping-particle":"","parse-names":false,"suffix":""}],"container-title":"Bus. Econ. Res.Online","id":"ITEM-1","issue":"2","issued":{"date-parts":[["2015"]]},"page":"2304-1013","title":"The Impact of the Audit Committee Effectiveness and Audit Quality on Financial Reporting Quality of listed company in Stocks Exchange of Thailand","type":"article-journal","volume":"4"},"uris":["http://www.mendeley.com/documents/?uuid=2f616c11-745b-4496-aaa3-f39873d290b5"]},{"id":"ITEM-2","itemData":{"DOI":"10.32479/ijefi.10136","abstract":"In recent decades, there has been a noticeable increase in the practice of earnings management (EM) as a proxy for financial reporting, especially real activities, with effect on the quality of financial statements. The role of the audit committee in mitigating EM remains ambiguous because of inconclusive findings. Therefore, this study examines the moderating effect of audit quality and audit committee on financial reporting quality, also known as real earnings management in Malaysian companies. The results show that corporate governance mechanism such as financial accounting expert, meeting and indicate significant results with real EM while, audit committee independence and size, shows an insignificant result on real EM. In addition, the results show that audit quality of the audit committee leads to less aggressive EM practice in real activities. The findings also show that audit quality and audit committee has a significant role in restricting the real EM. Audit quality is found to significantly moderate the relationship between audit committee with financial reporting quality proxy. Overall, this study provides a reference point for the relevant parties such as regulatory bodies, policymakers and standard setters towards improving the quality of earnings and corporate governance practices in ensuring credible accounting information.","author":[{"dropping-particle":"","family":"Hasan","given":"Shahanif","non-dropping-particle":"","parse-names":false,"suffix":""},{"dropping-particle":"","family":"Kassim","given":"Aza Azlina Md","non-dropping-particle":"","parse-names":false,"suffix":""},{"dropping-particle":"","family":"Hamid","given":"Mohamad Ali Abdul","non-dropping-particle":"","parse-names":false,"suffix":""}],"container-title":"International Journal of Economics and Financial Issues","id":"ITEM-2","issue":"5","issued":{"date-parts":[["2020"]]},"page":"272-281","title":"the Impact of Audit Quality, Audit Committee and Financial Reporting Quality: Evidence From Malaysia","type":"article-journal","volume":"10"},"uris":["http://www.mendeley.com/documents/?uuid=c5783192-bbbd-4965-b8f6-d39e8036e2a4"]}],"mendeley":{"formattedCitation":"(Hasan et al., 2020; Kamolsakulchai, 2015)","manualFormatting":"(Kamolsakulchai, 2015; ","plainTextFormattedCitation":"(Hasan et al., 2020; Kamolsakulchai, 2015)","previouslyFormattedCitation":"(Hasan et al., 2020; Kamolsakulchai, 2015)"},"properties":{"noteIndex":0},"schema":"https://github.com/citation-style-language/schema/raw/master/csl-citation.json"}</w:instrText>
      </w:r>
      <w:r>
        <w:fldChar w:fldCharType="separate"/>
      </w:r>
      <w:r>
        <w:rPr>
          <w:noProof/>
        </w:rPr>
        <w:t xml:space="preserve">(Kamolsakulchai, 2015; </w:t>
      </w:r>
      <w:r>
        <w:fldChar w:fldCharType="end"/>
      </w:r>
      <w:r>
        <w:fldChar w:fldCharType="begin"/>
      </w:r>
      <w:r>
        <w:instrText>ADDIN CSL_CITATION {"citationItems":[{"id":"ITEM-1","itemData":{"DOI":"10.32479/ijefi.10136","abstract":"In recent decades, there has been a noticeable increase in the practice of earnings management (EM) as a proxy for financial reporting, especially real activities, with effect on the quality of financial statements. The role of the audit committee in mitigating EM remains ambiguous because of inconclusive findings. Therefore, this study examines the moderating effect of audit quality and audit committee on financial reporting quality, also known as real earnings management in Malaysian companies. The results show that corporate governance mechanism such as financial accounting expert, meeting and indicate significant results with real EM while, audit committee independence and size, shows an insignificant result on real EM. In addition, the results show that audit quality of the audit committee leads to less aggressive EM practice in real activities. The findings also show that audit quality and audit committee has a significant role in restricting the real EM. Audit quality is found to significantly moderate the relationship between audit committee with financial reporting quality proxy. Overall, this study provides a reference point for the relevant parties such as regulatory bodies, policymakers and standard setters towards improving the quality of earnings and corporate governance practices in ensuring credible accounting information.","author":[{"dropping-particle":"","family":"Hasan","given":"Shahanif","non-dropping-particle":"","parse-names":false,"suffix":""},{"dropping-particle":"","family":"Kassim","given":"Aza Azlina Md","non-dropping-particle":"","parse-names":false,"suffix":""},{"dropping-particle":"","family":"Hamid","given":"Mohamad Ali Abdul","non-dropping-particle":"","parse-names":false,"suffix":""}],"container-title":"International Journal of Economics and Financial Issues","id":"ITEM-1","issue":"5","issued":{"date-parts":[["2020"]]},"page":"272-281","title":"the Impact of Audit Quality, Audit Committee and Financial Reporting Quality: Evidence From Malaysia","type":"article-journal","volume":"10"},"uris":["http://www.mendeley.com/documents/?uuid=c5783192-bbbd-4965-b8f6-d39e8036e2a4"]}],"mendeley":{"formattedCitation":"(Hasan et al., 2020)","manualFormatting":"Hasan, Kassim and Hamid, 2020)","plainTextFormattedCitation":"(Hasan et al., 2020)","previouslyFormattedCitation":"(Hasan et al., 2020)"},"properties":{"noteIndex":0},"schema":"https://github.com/citation-style-language/schema/raw/master/csl-citation.json"}</w:instrText>
      </w:r>
      <w:r>
        <w:fldChar w:fldCharType="separate"/>
      </w:r>
      <w:r>
        <w:rPr>
          <w:noProof/>
        </w:rPr>
        <w:t>Hasan, Kassim and Hamid, 2020)</w:t>
      </w:r>
      <w:r>
        <w:fldChar w:fldCharType="end"/>
      </w:r>
      <w:r>
        <w:t xml:space="preserve">. According to </w:t>
      </w:r>
      <w:r>
        <w:fldChar w:fldCharType="begin"/>
      </w:r>
      <w:r>
        <w:instrText>ADDIN CSL_CITATION {"citationItems":[{"id":"ITEM-1","itemData":{"DOI":"10.33736/uraf.931.2018","abstract":"ABSTRACT\r Purpose – This study aims to examine the contemporary timeliness of financial reporting in the United Arab Emirates (UAE), and the impact of audit committee effectiveness on this timeliness.\r Design/Methodology/Approach – Timeliness of financial reporting in this study is measured by audit report lag (ARL), which is the number of days between the date of the financial year end and the date of the audit report. The data from listed companies on the UAE capital markets; Abu Dhabi Securities Exchange (ADX) and Dubai Financial Market (DFM), for three years from 2011 to 2013 resulted in 298 observations. The main statistical techniques of the study are means and multiple regressions.\r Findings – The findings show that generally all companies meet the submission deadlines imposed by the two UAE markets. Furthermore, ARL is influenced by audit committee size and profitability, while no evidence is found to support the effect of audit committee expertise, audit committee meetings and firm size on ARL.\r Practical Implications – The results of the study show that only audit committee size has a significant influence in reducing ARL. This may be attributed to having minimal variation in the implementation of the Code of Corporate Governance (CCG), particularly audit committee attributes, in the UAE. The results suggest that the current governance by audit committees is adequate to ensure that the financial reports of companies in the UAE are timely. However, except for audit committee size, the other audit committee attributes are unable to further shorten ARL.\r  \r Originality/Value –The capital markets in the UAE and its CCG are relatively new. Hence, regulatory requirements may be less stringently implemented by companies in this country. Consequently, timely audited financial reports are demanded by local and international investors to make decisions and alleviate speculation. Thus, determining audit committee attributes that reduce ARL is beneficial to the UAE markets, the listed companies and investors.  \r  \r Keywords Audit report lag (ARL), Financial reporting timeliness, Audit committee, UAE\r Paper Type: Research paper","author":[{"dropping-particle":"","family":"Almuzaiqer","given":"Mohammed Ali","non-dropping-particle":"","parse-names":false,"suffix":""}],"container-title":"UNIMAS Review of Accounting and Finance","id":"ITEM-1","issue":"1","issued":{"date-parts":[["2018"]]},"title":"Timeliness of financial reporting and audit committee effectiveness: evidence from UAE","type":"article-journal","volume":"1"},"uris":["http://www.mendeley.com/documents/?uuid=e6dd6764-be9a-4d83-aeb4-102d6a3ab340"]}],"mendeley":{"formattedCitation":"(Almuzaiqer, 2018)","manualFormatting":"(Almuzaiqer, Ahmad and Abdul Hamid, 2018)","plainTextFormattedCitation":"(Almuzaiqer, 2018)","previouslyFormattedCitation":"(Almuzaiqer, 2018)"},"properties":{"noteIndex":0},"schema":"https://github.com/citation-style-language/schema/raw/master/csl-citation.json"}</w:instrText>
      </w:r>
      <w:r>
        <w:fldChar w:fldCharType="separate"/>
      </w:r>
      <w:r>
        <w:rPr>
          <w:noProof/>
        </w:rPr>
        <w:t>Almuzaiqer, Ahmad and Abdul Hamid, (2018)</w:t>
      </w:r>
      <w:r>
        <w:fldChar w:fldCharType="end"/>
      </w:r>
      <w:r>
        <w:t xml:space="preserve">. It is clear that audit committees that hold more meetings throughout the year are thought to be more successful and efficient, as well as having a larger capacity for problem-solving. The auditor would have to report to the audit committee while conducting their audit, specifically regarding audit report latency. It would be quicker if the meetings were held more frequently if there were any issues that needed to be resolved or actions that needed to be approved. The agency theory, which advocates enhanced monitoring, is consistent with holding more regular meetings. As a </w:t>
      </w:r>
      <w:r>
        <w:lastRenderedPageBreak/>
        <w:t>result, there will be less of an audit report lag and the audit process won't be hampered by it.</w:t>
      </w:r>
    </w:p>
    <w:p w:rsidR="00FA1AC4" w:rsidRDefault="00B11CCA">
      <w:pPr>
        <w:spacing w:after="240"/>
      </w:pPr>
      <w:r>
        <w:t xml:space="preserve">The Code of Corporate Governance in Nigeria (2002) stated that the meetings of the audit committee for a public and private organization are generally timed to match the regulatory reporting and audit cycle, that they should meet at least three times during the financial year, and that the quorum for their meetings would depend on the number of members of the committee. This is in accordance with current governance recommendations with respect to audit committee characteristics. A meeting with the external auditors should also be held at least once a year without the presence of the executive board members </w:t>
      </w:r>
      <w:r>
        <w:fldChar w:fldCharType="begin"/>
      </w:r>
      <w:r>
        <w:instrText>ADDIN CSL_CITATION {"citationItems":[{"id":"ITEM-1","itemData":{"DOI":"10.1111/ijau.12101","ISSN":"10991123","abstract":"In this study, we examine the association of audit committee chair financial, experiential and monitoring expertise with the audit report lag period. We find that the experiential and monitoring expertise of audit committee chairs have a significant negative association with the delay in the audit report lag period, possibly resulting in more effective audit committee chairs, at least in the face of financial reporting timeliness. We also find that the audit committee composite compliance variable has a significant negative association with the audit report lag period, which suggests that a firm's compliance with audit committee regulations is also beneficial for financial reporting timeliness. These are important findings from the practice, academic and public policy perspectives.","author":[{"dropping-particle":"","family":"Ghafran","given":"Chaudhry","non-dropping-particle":"","parse-names":false,"suffix":""},{"dropping-particle":"","family":"Yasmin","given":"Sofia","non-dropping-particle":"","parse-names":false,"suffix":""}],"container-title":"International Journal of Auditing","id":"ITEM-1","issue":"1","issued":{"date-parts":[["2018"]]},"page":"13-24","title":"Audit committee chair and financial reporting timeliness: A focus on financial, experiential and monitoring expertise","type":"article-journal","volume":"22"},"uris":["http://www.mendeley.com/documents/?uuid=3ee3976c-f191-48c4-858c-495b29a2406b"]}],"mendeley":{"formattedCitation":"(Ghafran &amp; Yasmin, 2018)","manualFormatting":"(Ghafran and Yasmin, 2018","plainTextFormattedCitation":"(Ghafran &amp; Yasmin, 2018)","previouslyFormattedCitation":"(Ghafran &amp; Yasmin, 2018)"},"properties":{"noteIndex":0},"schema":"https://github.com/citation-style-language/schema/raw/master/csl-citation.json"}</w:instrText>
      </w:r>
      <w:r>
        <w:fldChar w:fldCharType="separate"/>
      </w:r>
      <w:r>
        <w:rPr>
          <w:noProof/>
        </w:rPr>
        <w:t>(Ghafran and Yasmin, 2018</w:t>
      </w:r>
      <w:r>
        <w:fldChar w:fldCharType="end"/>
      </w:r>
      <w:r>
        <w:t>;</w:t>
      </w:r>
      <w:r>
        <w:fldChar w:fldCharType="begin"/>
      </w:r>
      <w:r>
        <w:instrText>ADDIN CSL_CITATION {"citationItems":[{"id":"ITEM-1","itemData":{"author":[{"dropping-particle":"","family":"Owolabi","given":"S. A","non-dropping-particle":"","parse-names":false,"suffix":""},{"dropping-particle":"","family":"Dada","given":"S.O","non-dropping-particle":"","parse-names":false,"suffix":""}],"container-title":"European Journal of Economics, Finance and Administrative Sciences ISSN","id":"ITEM-1","issue":"35","issued":{"date-parts":[["2011"]]},"title":"Audit Committee : An Instrument of Effective Corporate Governance","type":"article-journal","volume":"35"},"uris":["http://www.mendeley.com/documents/?uuid=22e72e49-61bf-40b9-8a33-34c2e1c107bb"]}],"mendeley":{"formattedCitation":"(Owolabi &amp; Dada, 2011)","manualFormatting":" Owolabi and Dada, 2011","plainTextFormattedCitation":"(Owolabi &amp; Dada, 2011)","previouslyFormattedCitation":"(Owolabi &amp; Dada, 2011)"},"properties":{"noteIndex":0},"schema":"https://github.com/citation-style-language/schema/raw/master/csl-citation.json"}</w:instrText>
      </w:r>
      <w:r>
        <w:fldChar w:fldCharType="separate"/>
      </w:r>
      <w:r>
        <w:rPr>
          <w:noProof/>
        </w:rPr>
        <w:t xml:space="preserve"> Owolabi and Dada, 2011</w:t>
      </w:r>
      <w:r>
        <w:fldChar w:fldCharType="end"/>
      </w:r>
      <w:r>
        <w:t>;</w:t>
      </w:r>
      <w:r>
        <w:rPr>
          <w:color w:val="FF0000"/>
        </w:rPr>
        <w:t xml:space="preserve"> </w:t>
      </w:r>
      <w:r>
        <w:fldChar w:fldCharType="begin"/>
      </w:r>
      <w:r>
        <w:instrText>ADDIN CSL_CITATION {"citationItems":[{"id":"ITEM-1","itemData":{"DOI":"10.1016/j.bar.2017.09.008","ISSN":"10958347","abstract":"Governance regulators currently place great emphasis on ensuring the presence of financial expertise on audit committees (Sarbanes-Oxley, 2002; UK Corporate Governance Code 2010–2016). Underlying this is a belief that greater expertise enhances the effectiveness of audit committees and, by extension, the quality of the external audit. This study investigates the impact of audit committee expertise on one measure of audit quality - audit fees paid by FTSE350 companies. Our analysis finds that audit committees possessing greater levels of financial expertise are associated with higher audit fees. When we segregate financial expertise between accounting and non-accounting, we find that the positive impact identified is driven by non-accounting expertise. Furthermore, when we separate FTSE100 and FTSE250 firms we find the impact of financial expertise is confined to FTSE250 firms. Our findings are important as they highlight the usefulness of segregating financial expertise between specialists and non-specialists, something which regulators in the UK and in the USA currently do not do. Our findings also highlight the potential value of audit committee expertise in smaller as opposed to larger listed firms, suggesting that the value of expertise to audit quality depends on the specific financial reporting challenges firms face.","author":[{"dropping-particle":"","family":"Ghafran","given":"Chaudhry","non-dropping-particle":"","parse-names":false,"suffix":""},{"dropping-particle":"","family":"O'Sullivan","given":"Noel","non-dropping-particle":"","parse-names":false,"suffix":""}],"container-title":"British Accounting Review","id":"ITEM-1","issue":"6","issued":{"date-parts":[["2017"]]},"page":"578-593","publisher":"Elsevier Ltd","title":"The impact of audit committee expertise on audit quality: Evidence from UK audit fees","type":"article-journal","volume":"49"},"uris":["http://www.mendeley.com/documents/?uuid=1e2c9c50-1030-4e4c-9029-cd73da0d6eb3"]}],"mendeley":{"formattedCitation":"(Ghafran &amp; O’Sullivan, 2017)","manualFormatting":"Ghafran and O’Sullivan, 2017)","plainTextFormattedCitation":"(Ghafran &amp; O’Sullivan, 2017)","previouslyFormattedCitation":"(Ghafran &amp; O’Sullivan, 2017)"},"properties":{"noteIndex":0},"schema":"https://github.com/citation-style-language/schema/raw/master/csl-citation.json"}</w:instrText>
      </w:r>
      <w:r>
        <w:fldChar w:fldCharType="separate"/>
      </w:r>
      <w:r>
        <w:rPr>
          <w:noProof/>
        </w:rPr>
        <w:t>Ghafran and O’Sullivan, 2017)</w:t>
      </w:r>
      <w:r>
        <w:fldChar w:fldCharType="end"/>
      </w:r>
      <w:r>
        <w:t xml:space="preserve">. It is advised that in order to maintain effective oversight of the organization's assurance processes, the committee may need to convene at least eight times annually (Hamdan, Mushtaha and Al-Sartaw, 2013). </w:t>
      </w:r>
    </w:p>
    <w:p w:rsidR="00FA1AC4" w:rsidRDefault="00B11CCA">
      <w:pPr>
        <w:pStyle w:val="Heading3"/>
        <w:numPr>
          <w:ilvl w:val="2"/>
          <w:numId w:val="12"/>
        </w:numPr>
        <w:spacing w:line="480" w:lineRule="auto"/>
        <w:ind w:left="709"/>
      </w:pPr>
      <w:bookmarkStart w:id="34" w:name="_Toc112342351"/>
      <w:r>
        <w:t>Audit Committee Member Size</w:t>
      </w:r>
      <w:bookmarkEnd w:id="34"/>
    </w:p>
    <w:p w:rsidR="00FA1AC4" w:rsidRDefault="00B11CCA">
      <w:pPr>
        <w:spacing w:after="240"/>
      </w:pPr>
      <w:r>
        <w:t xml:space="preserve">The number of members on an audit committee within a corporation is referred to as the audit committee size (Miko and Kamardin, 2015). It is envisaged that by adding the aforementioned standards in the audit committee, more independent members with more resources and skills will be able to oversee the financial reporting process (Nik and Hassan, 2016). Previous research has demonstrated that the effectiveness of an audit committee is positively impacted by the size of the committee, expressed as a number. This is due to the fact that having a suitable number of members on the audit committee is preferable to having a small committee (DeZoort, Hermanson, Archambeault and Reed, 2002). The </w:t>
      </w:r>
      <w:r>
        <w:lastRenderedPageBreak/>
        <w:t>effectiveness of the audit committee, however, is probably going to have issues if it grows too big. Process and workload distribution are excessive because a sizable committee might incur more losses. As a result, prior research has demonstrated that an audit committee of the appropriate size will ensure that financial reporting is monitored to the highest standards (Kamolsakulchai, 2015). According to the resource dependency theory (Madi, Ishak, and Manaf, 2014), larger committees are more likely to commit more resources and power to carrying out their duties (Allegrini and Greco, 2011). To ensure effective monitoring, audit committees with more directors are more likely to contribute a diversity of perspectives, knowledge, experiences, and abilities (Bedard and Gendron, 2010).</w:t>
      </w:r>
    </w:p>
    <w:p w:rsidR="00FA1AC4" w:rsidRDefault="00B11CCA">
      <w:pPr>
        <w:pStyle w:val="Heading3"/>
        <w:numPr>
          <w:ilvl w:val="2"/>
          <w:numId w:val="12"/>
        </w:numPr>
        <w:spacing w:line="480" w:lineRule="auto"/>
        <w:ind w:left="709"/>
      </w:pPr>
      <w:bookmarkStart w:id="35" w:name="_Toc112342352"/>
      <w:r>
        <w:t>Audit Committee Composition</w:t>
      </w:r>
      <w:bookmarkEnd w:id="35"/>
    </w:p>
    <w:p w:rsidR="00FA1AC4" w:rsidRDefault="00B11CCA">
      <w:pPr>
        <w:spacing w:after="240"/>
      </w:pPr>
      <w:r>
        <w:t xml:space="preserve">The Cadbury Committee's (1992) suitable test's main tenet was that it should only be made up of non-executive directors, have a minimum of three members, and have a majority of independent non-executives. The independence and financial knowledge of the audit committee members have traditionally been the focus of prior study on the composition of audit committees. The duration of the audit committee and the number of other directorships are two additional factors that recent research is starting to look into. (2006) Sharma and Iselin both of these factors seem to have positive and negative effects on the expenses associated with agencies. Some contend that a director's experience can be gauged by the number of other directorships they have held (Fama and Jensen, 1983; Gilson, 1990). Others, on the other hand, contend that having too many directorships might negatively impact the amount of attention that can be devoted to a specific company, resulting in inferior supervision (e.g., Council of Institutional Investors 1998). According </w:t>
      </w:r>
      <w:r>
        <w:lastRenderedPageBreak/>
        <w:t xml:space="preserve">to Sharma and Iselin (2006), independent audit committee members who serve on numerous boards have a motivation to preserve their reputations. They discover that these directors have a bad relationship with financial reporting (Barua </w:t>
      </w:r>
      <w:r>
        <w:rPr>
          <w:i/>
        </w:rPr>
        <w:t>et al</w:t>
      </w:r>
      <w:r>
        <w:t>., 2010).</w:t>
      </w:r>
    </w:p>
    <w:p w:rsidR="00FA1AC4" w:rsidRDefault="00B11CCA">
      <w:pPr>
        <w:pStyle w:val="Heading3"/>
        <w:numPr>
          <w:ilvl w:val="2"/>
          <w:numId w:val="12"/>
        </w:numPr>
        <w:ind w:left="709"/>
      </w:pPr>
      <w:bookmarkStart w:id="36" w:name="_Toc112342353"/>
      <w:r>
        <w:t>Audit Committee Female Members</w:t>
      </w:r>
      <w:bookmarkEnd w:id="36"/>
    </w:p>
    <w:p w:rsidR="00FA1AC4" w:rsidRDefault="00B11CCA">
      <w:pPr>
        <w:spacing w:after="240"/>
      </w:pPr>
      <w:r>
        <w:t>The quality of financial reporting was correlated with the personal characteristics of senior executives, particularly sexual orientation. The effectiveness of influencing factors and the performance of leadership teams appear to differ significantly. Audit committees with a preponderance of women would act differently than audit committees with mixed gender. Accounting knowledge output is influenced by top executives (Hillary and Hsu, 2011). While Erhardt, Werbel, and Shrader (2003) revealed that board diversity is favorably correlated with profitability, they also found that gender diversity in the audit committee is linked to performance. According to agency theory, a firm's financial reporting quality may be impacted by this diversity in top managers' personalities (Ling, 2012).</w:t>
      </w:r>
    </w:p>
    <w:p w:rsidR="00FA1AC4" w:rsidRDefault="00B11CCA">
      <w:pPr>
        <w:spacing w:after="240"/>
      </w:pPr>
      <w:r>
        <w:t xml:space="preserve">The need for a gender-diverse audit committee is equal. When it comes to carrying out their duties, different genders have different views and ethical standards. It has been found that women are more moral in their obligations than men (Bilic and Sustic, 2011). A female board member improves the performance of unhealthy companies and is viewed as a support for male directors. The quality of financial reporting has been connected to individual traits including gender. Additionally, audit committees with representation from both genders outperform groups with only one gender represented </w:t>
      </w:r>
      <w:r>
        <w:fldChar w:fldCharType="begin"/>
      </w:r>
      <w:r>
        <w:instrText>ADDIN CSL_CITATION {"citationItems":[{"id":"ITEM-1","itemData":{"author":[{"dropping-particle":"","family":"Olowookere","given":"J. K.","non-dropping-particle":"","parse-names":false,"suffix":""},{"dropping-particle":"","family":"Oyewole","given":"O. M.","non-dropping-particle":"","parse-names":false,"suffix":""},{"dropping-particle":"","family":"Lamidi","given":"W. A.","non-dropping-particle":"","parse-names":false,"suffix":""}],"id":"ITEM-1","issue":"3","issued":{"date-parts":[["2021"]]},"page":"111-120","title":"Effects of Audit Committee Diversity on Financial Reporting Quality among Listed Consumer Goods Companies in Nigeria","type":"article-journal","volume":"11"},"uris":["http://www.mendeley.com/documents/?uuid=5ab712d1-2963-4bb9-b2af-e48069121318"]}],"mendeley":{"formattedCitation":"(Olowookere et al., 2021)","manualFormatting":"(Olowookere, Oyewole and lamidi, 2021)","plainTextFormattedCitation":"(Olowookere et al., 2021)","previouslyFormattedCitation":"(Olowookere et al., 2021)"},"properties":{"noteIndex":0},"schema":"https://github.com/citation-style-language/schema/raw/master/csl-citation.json"}</w:instrText>
      </w:r>
      <w:r>
        <w:fldChar w:fldCharType="separate"/>
      </w:r>
      <w:r>
        <w:rPr>
          <w:noProof/>
        </w:rPr>
        <w:t>(Olowookere, Oyewole and lamidi, 2021)</w:t>
      </w:r>
      <w:r>
        <w:fldChar w:fldCharType="end"/>
      </w:r>
      <w:r>
        <w:t>.</w:t>
      </w:r>
    </w:p>
    <w:p w:rsidR="00FA1AC4" w:rsidRDefault="00B11CCA">
      <w:pPr>
        <w:pStyle w:val="Heading2"/>
        <w:numPr>
          <w:ilvl w:val="1"/>
          <w:numId w:val="12"/>
        </w:numPr>
        <w:ind w:left="709"/>
      </w:pPr>
      <w:bookmarkStart w:id="37" w:name="_Toc112342354"/>
      <w:r>
        <w:lastRenderedPageBreak/>
        <w:t>Financial Reporting</w:t>
      </w:r>
      <w:bookmarkEnd w:id="37"/>
      <w:r>
        <w:t xml:space="preserve"> </w:t>
      </w:r>
    </w:p>
    <w:p w:rsidR="00FA1AC4" w:rsidRDefault="00B11CCA">
      <w:r>
        <w:t xml:space="preserve">According to </w:t>
      </w:r>
      <w:r>
        <w:fldChar w:fldCharType="begin"/>
      </w:r>
      <w:r>
        <w:instrText>ADDIN CSL_CITATION {"citationItems":[{"id":"ITEM-1","itemData":{"DOI":"10.2139/ssrn.1942928","ISSN":"1556-5068","abstract":"One of the important attributes of high quality accounting information is its ability to aid financial statement users in forming expectations about the firm’s future earnings. Prior research finds that accounting financial expertise of the audit committee is associated with higher financial reporting quality. We extend the literature by examining the association between audit committee expertise and security analysts’ and investors’ ability to anticipate future earnings. We find that analyst earnings forecasts of firms with an audit committee member with accounting financial expertise are more accurate and less dispersed. These associations tend to be stronger in weaker governance firms. We also find that audit committee expertise is associated with a more informative stock price for firms weaker governance. We do not find a significant association between non-accounting financial expertise and attributes of analysts’ forecasts or earnings informativeness. These findings contribute to our understanding of the role of accounting expertise in audit committees.","author":[{"dropping-particle":"","family":"Abernathy","given":"John L.","non-dropping-particle":"","parse-names":false,"suffix":""},{"dropping-particle":"","family":"Kang","given":"Tony","non-dropping-particle":"","parse-names":false,"suffix":""},{"dropping-particle":"V.","family":"Krishnan","given":"Gopal","non-dropping-particle":"","parse-names":false,"suffix":""}],"container-title":"SSRN Electronic Journal","id":"ITEM-1","issued":{"date-parts":[["2012"]]},"title":"Audit Committee Expertise and Financial Analysts’ and Investors’ Ability to Anticipate Future Earnings","type":"article-journal"},"uris":["http://www.mendeley.com/documents/?uuid=1ea7114e-1359-42b7-a72b-6e7a99a7a60c"]}],"mendeley":{"formattedCitation":"(Abernathy et al., 2012)","manualFormatting":"(Abernathy, Kang and Krishnan, 2012)","plainTextFormattedCitation":"(Abernathy et al., 2012)","previouslyFormattedCitation":"(Abernathy et al., 2012)"},"properties":{"noteIndex":0},"schema":"https://github.com/citation-style-language/schema/raw/master/csl-citation.json"}</w:instrText>
      </w:r>
      <w:r>
        <w:fldChar w:fldCharType="separate"/>
      </w:r>
      <w:r>
        <w:rPr>
          <w:noProof/>
        </w:rPr>
        <w:t>Abernathy, Kang and Krishnan, (2012)</w:t>
      </w:r>
      <w:r>
        <w:fldChar w:fldCharType="end"/>
      </w:r>
      <w:r>
        <w:t xml:space="preserve">, being able to help users of financial statements establish expectations about the company's future financial performance is one of the key qualities of high quality accounting information. According to the IASB (2008), raising the standard of financial reporting is crucial because it will encourage investors and other stakeholders to make investments, which would ultimately increase market efficiency. Since both quantitative (accuracy and completeness) and qualitative (comparability, understandability, and timeliness) features contribute to the quality of financial reporting. In this study, it is argued that strong internal control components and audit committee characteristics may enhance the company's financial reporting quality, which is demonstrated (among other things) by relevance, reliability (faithful representation), comparability, and timeliness of financial reporting (IASB, 2010; </w:t>
      </w:r>
      <w:r>
        <w:fldChar w:fldCharType="begin"/>
      </w:r>
      <w:r>
        <w:instrText>ADDIN CSL_CITATION {"citationItems":[{"id":"ITEM-1","itemData":{"DOI":"10.5829/idosi.mejsr.2014.22.02.21886","author":[{"dropping-particle":"","family":"Puasa","given":"S. 1","non-dropping-particle":"","parse-names":false,"suffix":""},{"dropping-particle":"","family":"Salleh","given":"M. F","non-dropping-particle":"","parse-names":false,"suffix":""},{"dropping-particle":"","family":"Ahmad","given":"A","non-dropping-particle":"","parse-names":false,"suffix":""}],"container-title":"East Journal of Scientific Research","id":"ITEM-1","issue":"November","issued":{"date-parts":[["2014"]]},"page":"162-175","title":"Audit Committee and Timeliness of Financial Reporting","type":"article-journal","volume":"22"},"uris":["http://www.mendeley.com/documents/?uuid=b3646783-fdcf-4dda-ba9c-ae670598d274"]}],"mendeley":{"formattedCitation":"(Puasa et al., 2014)","manualFormatting":"Puasa, Salleh and Ahmad, 2014)","plainTextFormattedCitation":"(Puasa et al., 2014)","previouslyFormattedCitation":"(Puasa et al., 2014)"},"properties":{"noteIndex":0},"schema":"https://github.com/citation-style-language/schema/raw/master/csl-citation.json"}</w:instrText>
      </w:r>
      <w:r>
        <w:fldChar w:fldCharType="separate"/>
      </w:r>
      <w:r>
        <w:rPr>
          <w:noProof/>
        </w:rPr>
        <w:t>Puasa, Salleh and Ahmad, 2014)</w:t>
      </w:r>
      <w:r>
        <w:fldChar w:fldCharType="end"/>
      </w:r>
      <w:r>
        <w:t>.</w:t>
      </w:r>
    </w:p>
    <w:p w:rsidR="00FA1AC4" w:rsidRDefault="00B11CCA">
      <w:pPr>
        <w:spacing w:before="240"/>
      </w:pPr>
      <w:r>
        <w:fldChar w:fldCharType="begin"/>
      </w:r>
      <w:r>
        <w:instrText>ADDIN CSL_CITATION {"citationItems":[{"id":"ITEM-1","itemData":{"DOI":"10.22164/isea.v7i2.76","ISSN":"1978-0591","abstract":"This study reviews the literature on audit committee expertise and financial reporting timeliness. Financial reporting timeliness and audit committee expertise are two areas of research gaining the attention of a large number of stakeholders because they contribute to the reliability and the  relevancy of financial reporting. Indeed, the focus of this review is primarily on the recent developments in the pertinent literature in order to show the limitations of such research and encourage future research to overcome these limitations. By also looking at the development of the audit committee expertise literature, this study concludes that (1) like most audit committee literature, financial reporting timeliness literature continues to assume the absence of the contribution of expertise other than financial expertise, and ignore the role of audit committee chair; (2) most of this literature fails to find a significant effect because it ignores the interaction among corporate governance mechanisms. Accordingly, this study posits that ignoring the issues raised in such research by future research would lead to major mistakes in reforms relating to how the quality of financial reporting can be enhanced.","author":[{"dropping-particle":"","family":"Baatwah","given":"Saeed Rabea","non-dropping-particle":"","parse-names":false,"suffix":""},{"dropping-particle":"","family":"Salleh","given":"Zalailah","non-dropping-particle":"","parse-names":false,"suffix":""},{"dropping-particle":"","family":"Ahmad","given":"Norsiah","non-dropping-particle":"","parse-names":false,"suffix":""}],"container-title":"Issues In Social And Environmental Accounting","id":"ITEM-1","issue":"2","issued":{"date-parts":[["2013"]]},"page":"86","title":"Whether Audit Committee Financial Expertise Is the Only Relevant Expertise: A Review of Audit Committee Expertise and Timeliness of Financial Reporting","type":"article-journal","volume":"7"},"uris":["http://www.mendeley.com/documents/?uuid=cf9ee9e0-5925-4662-9556-a2b14de578b0"]}],"mendeley":{"formattedCitation":"(Baatwah et al., 2013a)","manualFormatting":"Baatwah, Salleh and Ahmad (2013:72)","plainTextFormattedCitation":"(Baatwah et al., 2013a)","previouslyFormattedCitation":"(Baatwah et al., 2013a)"},"properties":{"noteIndex":0},"schema":"https://github.com/citation-style-language/schema/raw/master/csl-citation.json"}</w:instrText>
      </w:r>
      <w:r>
        <w:fldChar w:fldCharType="separate"/>
      </w:r>
      <w:r>
        <w:rPr>
          <w:noProof/>
        </w:rPr>
        <w:t>Baatwah, Salleh and Ahmad (2013:72)</w:t>
      </w:r>
      <w:r>
        <w:fldChar w:fldCharType="end"/>
      </w:r>
      <w:r>
        <w:t>, stated that.</w:t>
      </w:r>
    </w:p>
    <w:p w:rsidR="00FA1AC4" w:rsidRDefault="00B11CCA">
      <w:pPr>
        <w:spacing w:line="276" w:lineRule="auto"/>
        <w:ind w:left="720" w:right="985"/>
      </w:pPr>
      <w:r>
        <w:rPr>
          <w:i/>
          <w:iCs/>
          <w:sz w:val="22"/>
          <w:szCs w:val="22"/>
        </w:rPr>
        <w:t>“The number of days between the end of the fiscal year and the date on which financial reports are distributed to various stockholders is what is meant by the term "timeliness of financial reporting" (e.g., management; investors; shareholders). In order to help internal and external users make economic and financial decisions, financial reporting is a crucial tool. The conceptual framework for financial reporting portrays the timeliness of financial reporting as one component of information qualitative qualities, and thus has a sensitive impact on the decisions made”.</w:t>
      </w:r>
    </w:p>
    <w:p w:rsidR="00FA1AC4" w:rsidRDefault="00B11CCA">
      <w:pPr>
        <w:spacing w:before="240"/>
      </w:pPr>
      <w:r>
        <w:t xml:space="preserve">The American Accounting Association (1957) emphasizes that for accounting information to be useful, financial statement timeliness should be taken into account. Stakeholders, regulators, professional associations, academics, financial analysts, investors, and managers are taking notice of this emphasis because they value timely information in </w:t>
      </w:r>
      <w:r>
        <w:lastRenderedPageBreak/>
        <w:t xml:space="preserve">decision-making. For instance, listed businesses must adhere to deadlines for financial reporting in most capital markets throughout the world at the moment, or the capital market authorities would apply penalties against late filers </w:t>
      </w:r>
      <w:r>
        <w:fldChar w:fldCharType="begin"/>
      </w:r>
      <w:r>
        <w:instrText>ADDIN CSL_CITATION {"citationItems":[{"id":"ITEM-1","itemData":{"abstract":"… While another component of financial report timeliness, management report lag, is defined as the number of days between auditor signature date and public disclosure of financial reporting (eg Al- Ajmi, 2008; Lee et al., 2008) …","author":[{"dropping-particle":"","family":"Baatwah","given":"Saeed Rabea","non-dropping-particle":"","parse-names":false,"suffix":""},{"dropping-particle":"","family":"Salleh","given":"Zalailah","non-dropping-particle":"","parse-names":false,"suffix":""},{"dropping-particle":"","family":"Ahmad","given":"Norsiah","non-dropping-particle":"","parse-names":false,"suffix":""}],"container-title":"2nd International Conference on Accounting, Business and Economics","id":"ITEM-1","issue":"November","issued":{"date-parts":[["2012"]]},"title":"the Influence of Audit Committee Expertise on the Timeliness of Financial Reporting : Recent Evidence","type":"article-journal"},"uris":["http://www.mendeley.com/documents/?uuid=5e73235e-e7d2-4667-84c1-9ca12633a460"]}],"mendeley":{"formattedCitation":"(Baatwah et al., 2012)","manualFormatting":"( stated in Baatwah et al., 2012)","plainTextFormattedCitation":"(Baatwah et al., 2012)","previouslyFormattedCitation":"(Baatwah et al., 2012)"},"properties":{"noteIndex":0},"schema":"https://github.com/citation-style-language/schema/raw/master/csl-citation.json"}</w:instrText>
      </w:r>
      <w:r>
        <w:fldChar w:fldCharType="separate"/>
      </w:r>
      <w:r>
        <w:rPr>
          <w:noProof/>
        </w:rPr>
        <w:t xml:space="preserve">(Baatwah </w:t>
      </w:r>
      <w:r>
        <w:rPr>
          <w:i/>
          <w:noProof/>
        </w:rPr>
        <w:t>et al</w:t>
      </w:r>
      <w:r>
        <w:rPr>
          <w:noProof/>
        </w:rPr>
        <w:t>., 2012)</w:t>
      </w:r>
      <w:r>
        <w:fldChar w:fldCharType="end"/>
      </w:r>
      <w:r>
        <w:t>.</w:t>
      </w:r>
    </w:p>
    <w:p w:rsidR="00FA1AC4" w:rsidRDefault="00B11CCA">
      <w:pPr>
        <w:spacing w:before="240"/>
      </w:pPr>
      <w:r>
        <w:t>Good financial reporting is the cornerstone of good governance and a key tool for cutting a firm's agency costs (</w:t>
      </w:r>
      <w:proofErr w:type="gramStart"/>
      <w:r>
        <w:t>Cai</w:t>
      </w:r>
      <w:proofErr w:type="gramEnd"/>
      <w:r>
        <w:t xml:space="preserve">, Hillier, Tian and Wu, 2015). The literature argues that organizations should deliver financial reporting to users in the short period of time between year-end and public publication, citing numerous benefits of timely financial reporting (Abdulla, 1996). The cornerstone of investors' judgments, according to Ekienabor and Oluwole, (2019), is timely information, and investors want to have that information as soon as possible. Additionally, it is said that prompt reporting is a crucial tool for reducing insider trading, information leaks, and rumours (Owusu-Ansah, 2000); lessen information asymmetry and the potential for rumours to circulate regarding the financial performance and health of the companies (McLelland and Giroux, 2000). The signalling function of timely financial reporting is also discussed in recent literature in relation to audit risk, management integrity, internal control, and financial reporting quality (Mande and Son, 2011; Carmichael, Ghosh and Lee, 2011; Baatwah </w:t>
      </w:r>
      <w:r>
        <w:rPr>
          <w:i/>
        </w:rPr>
        <w:t>et al</w:t>
      </w:r>
      <w:r>
        <w:t>., 2013b). Recent study shows that corporate governance procedures should support timely financial reporting given the significance of timely financial reporting (</w:t>
      </w:r>
      <w:r>
        <w:fldChar w:fldCharType="begin"/>
      </w:r>
      <w:r>
        <w:instrText>ADDIN CSL_CITATION {"citationItems":[{"id":"ITEM-1","itemData":{"author":[{"dropping-particle":"","family":"Ghafran, C.M., Yasmin","given":"S","non-dropping-particle":"","parse-names":false,"suffix":""}],"container-title":"International Journal of Auditing","id":"ITEM-1","issued":{"date-parts":[["2017"]]},"title":"This is a repository copy of Audit committee chair and financial reporting timeliness : A focus on financial , experiential and monitoring expertise.","type":"article-journal"},"uris":["http://www.mendeley.com/documents/?uuid=ca1ccdc6-aa0d-4fe8-b0bc-bacce2e5bef0"]}],"mendeley":{"formattedCitation":"(Ghafran, C.M., Yasmin, 2017)","manualFormatting":"Ghafran and Yasmin, 2017)","plainTextFormattedCitation":"(Ghafran, C.M., Yasmin, 2017)","previouslyFormattedCitation":"(Ghafran, C.M., Yasmin, 2017)"},"properties":{"noteIndex":0},"schema":"https://github.com/citation-style-language/schema/raw/master/csl-citation.json"}</w:instrText>
      </w:r>
      <w:r>
        <w:fldChar w:fldCharType="separate"/>
      </w:r>
      <w:r>
        <w:rPr>
          <w:noProof/>
        </w:rPr>
        <w:t>Ghafran and Yasmin, 2017)</w:t>
      </w:r>
      <w:r>
        <w:fldChar w:fldCharType="end"/>
      </w:r>
      <w:r>
        <w:t xml:space="preserve">. </w:t>
      </w:r>
    </w:p>
    <w:p w:rsidR="00FA1AC4" w:rsidRDefault="00B11CCA">
      <w:pPr>
        <w:spacing w:before="240" w:after="240"/>
      </w:pPr>
      <w:r>
        <w:t xml:space="preserve">This is due to the fact that timely financial reporting is a crucial part of the notion of transparency, which is regarded as one of the qualities of good corporate governance practice by well-known international organizations like the Organization for Economic Cooperation and Development (OECD). The number of days between year-end and the </w:t>
      </w:r>
      <w:r>
        <w:lastRenderedPageBreak/>
        <w:t xml:space="preserve">auditor signature dates is known as the audit report lag, which is the most commonly used proxy for financial report timeframes (Leventis, Weetman and </w:t>
      </w:r>
      <w:r>
        <w:rPr>
          <w:noProof/>
        </w:rPr>
        <w:t>Caramanis,</w:t>
      </w:r>
      <w:r>
        <w:t xml:space="preserve"> 2005; </w:t>
      </w:r>
      <w:r>
        <w:fldChar w:fldCharType="begin"/>
      </w:r>
      <w:r>
        <w:instrText>ADDIN CSL_CITATION {"citationItems":[{"id":"ITEM-1","itemData":{"abstract":"… While another component of financial report timeliness, management report lag, is defined as the number of days between auditor signature date and public disclosure of financial reporting (eg Al- Ajmi, 2008; Lee et al., 2008) …","author":[{"dropping-particle":"","family":"Baatwah","given":"Saeed Rabea","non-dropping-particle":"","parse-names":false,"suffix":""},{"dropping-particle":"","family":"Salleh","given":"Zalailah","non-dropping-particle":"","parse-names":false,"suffix":""},{"dropping-particle":"","family":"Ahmad","given":"Norsiah","non-dropping-particle":"","parse-names":false,"suffix":""}],"container-title":"2nd International Conference on Accounting, Business and Economics","id":"ITEM-1","issue":"November","issued":{"date-parts":[["2012"]]},"title":"the Influence of Audit Committee Expertise on the Timeliness of Financial Reporting : Recent Evidence","type":"article-journal"},"uris":["http://www.mendeley.com/documents/?uuid=5e73235e-e7d2-4667-84c1-9ca12633a460"]}],"mendeley":{"formattedCitation":"(Baatwah et al., 2012)","manualFormatting":"Baatwah et al., 2012","plainTextFormattedCitation":"(Baatwah et al., 2012)","previouslyFormattedCitation":"(Baatwah et al., 2012)"},"properties":{"noteIndex":0},"schema":"https://github.com/citation-style-language/schema/raw/master/csl-citation.json"}</w:instrText>
      </w:r>
      <w:r>
        <w:fldChar w:fldCharType="separate"/>
      </w:r>
      <w:r>
        <w:rPr>
          <w:noProof/>
        </w:rPr>
        <w:t xml:space="preserve">Baatwah </w:t>
      </w:r>
      <w:r>
        <w:rPr>
          <w:i/>
          <w:noProof/>
        </w:rPr>
        <w:t>et al.</w:t>
      </w:r>
      <w:r>
        <w:rPr>
          <w:noProof/>
        </w:rPr>
        <w:t>, 2012</w:t>
      </w:r>
      <w:r>
        <w:fldChar w:fldCharType="end"/>
      </w:r>
      <w:r>
        <w:t xml:space="preserve">). Numerous studies have demonstrated the importance of timely audit reports since they are linked to the public's confidence in the audited financial statements (Ettredge, Li, and Sun, 2006) and have negative effects if they are delayed (Salleh, Baatwah and Ahmad, 2017). Having access to pertinent financial data can influence the choices consumers make. Decisions are affected by financial information if it has confirmatory, predictive, or both types of value. If financial data can be utilized as an input to forecast future events, it has predictive value. If it offers commentary on earlier evaluations, it is confirmatory in nature </w:t>
      </w:r>
      <w:r>
        <w:fldChar w:fldCharType="begin"/>
      </w:r>
      <w:r>
        <w:instrText>ADDIN CSL_CITATION {"citationItems":[{"id":"ITEM-1","itemData":{"author":[{"dropping-particle":"","family":"IASB","given":"","non-dropping-particle":"","parse-names":false,"suffix":""}],"id":"ITEM-1","issue":"September 2010","issued":{"date-parts":[["2018"]]},"title":"Conceptual Framework for Financial Reporting","type":"article-journal"},"uris":["http://www.mendeley.com/documents/?uuid=be07cced-6bed-461d-b967-4ebfda1a5fb0"]}],"mendeley":{"formattedCitation":"(IASB, 2018)","manualFormatting":"(IASB, 2018","plainTextFormattedCitation":"(IASB, 2018)","previouslyFormattedCitation":"(IASB, 2018)"},"properties":{"noteIndex":0},"schema":"https://github.com/citation-style-language/schema/raw/master/csl-citation.json"}</w:instrText>
      </w:r>
      <w:r>
        <w:fldChar w:fldCharType="separate"/>
      </w:r>
      <w:r>
        <w:rPr>
          <w:noProof/>
        </w:rPr>
        <w:t>(IASB, 2018</w:t>
      </w:r>
      <w:r>
        <w:fldChar w:fldCharType="end"/>
      </w:r>
      <w:r>
        <w:t>).</w:t>
      </w:r>
    </w:p>
    <w:p w:rsidR="00FA1AC4" w:rsidRDefault="00B11CCA">
      <w:r>
        <w:t xml:space="preserve">An essential qualitative characteristic of accounting information is the phrase "reliability" in regard to financial reporting. This crucial phrase could determine whether or not readers of financial statements will find the material beneficial. The usefulness of information made available to different consumers is significantly influenced by the credibility of audited business annual financial reports. The accounting industry has acknowledged that the dependability of reports is a crucial aspect of financial accounting information for professional and governmental organizations. Decision-makers can be certain that the data in the financial records accurately reflects the conditions and occurrences of the reporting entity thanks to the idea of reliability (Adediran, Alade and Oshode, 2013). The qualitative trait of comparability is what enables people to recognize and comprehend similarities in and differences between objects. When financial information about a reporting entity can be compared to similar financial information about other entities and to similar information </w:t>
      </w:r>
      <w:r>
        <w:lastRenderedPageBreak/>
        <w:t xml:space="preserve">about the same entity for a different accounting period or another accounting date, the comparison becomes more meaningful (IASB, 2018). Financial statements should be able to provide accurate, complete, comparable, and pertinent information, which is primarily made possible by the audit committee's successful and efficient operation </w:t>
      </w:r>
      <w:r>
        <w:fldChar w:fldCharType="begin"/>
      </w:r>
      <w:r>
        <w:instrText>ADDIN CSL_CITATION {"citationItems":[{"id":"ITEM-1","itemData":{"DOI":"10.9790/5933-0901046067","ISSN":"18577881","abstract":"This study examines the effect of audit committee tenure on financial reporting quality of listed deposit money banks in Nigeria. The study uses panel data obtained from the Nigerian Stock Exchange factbooks and the financial statements of 14 listed deposit money banks over a period of 10 years (2007-2016). The study uses cross sectional and time series research design. Financial reporting quality was measured using the modified Jones (1991) model and changes in working capital model, while audit committee tenure was measured as the mean tenure of audit committee members. The data was analyzed using descriptive (mean, standard deviation, minimum and maximum) and inferential statistics (correlation and regression analysis). The study reveals that audit committee tenure has a negative and insignificant effect on financial reporting quality under the two models. The implication of these results is that the tenure of audit committee members is not important when considering the financial reporting quality of deposit money banks in Nigeria. The study therefore concludes that the effect of audit committee tenure on financial reporting quality of deposit money banks in Nigeria is negative and insignificant. Based on this conclusion, the study recommends that further research should be conducted on other audit committee attributes in order to see which of the attributes may have significant effect on financial reporting quality.","author":[{"dropping-particle":"","family":"Onyabe","given":"Joseph Majiyebo","non-dropping-particle":"","parse-names":false,"suffix":""},{"dropping-particle":"","family":"Okpanachi","given":"Joshua","non-dropping-particle":"","parse-names":false,"suffix":""},{"dropping-particle":"","family":"Nyor","given":"Terzungwe","non-dropping-particle":"","parse-names":false,"suffix":""},{"dropping-particle":"","family":"Yahaya","given":"Onipe Adabenege","non-dropping-particle":"","parse-names":false,"suffix":""},{"dropping-particle":"","family":"Ahmed","given":"Mohammed","non-dropping-particle":"","parse-names":false,"suffix":""}],"container-title":"IOSR Journal of Economics and Finance","id":"ITEM-1","issue":"1","issued":{"date-parts":[["2018"]]},"page":"60-67","title":"Audit Committee Meeting, Expertise and Financial Reporting Quality of Listed Deposit Money Banks in Nigeria","type":"article-journal","volume":"9"},"uris":["http://www.mendeley.com/documents/?uuid=88ee72da-d8a1-42fc-b568-a5fdbfc8e19b"]}],"mendeley":{"formattedCitation":"(Onyabe, Okpanachi, Nyor, et al., 2018a)","manualFormatting":"(Onyabe, Okpanachi, Nyor, Yahaya and Ahmed, 2018)","plainTextFormattedCitation":"(Onyabe, Okpanachi, Nyor, et al., 2018a)","previouslyFormattedCitation":"(Onyabe, Okpanachi, Nyor, et al., 2018a)"},"properties":{"noteIndex":0},"schema":"https://github.com/citation-style-language/schema/raw/master/csl-citation.json"}</w:instrText>
      </w:r>
      <w:r>
        <w:fldChar w:fldCharType="separate"/>
      </w:r>
      <w:r>
        <w:rPr>
          <w:noProof/>
        </w:rPr>
        <w:t>(Onyabe, Okpanachi, Nyor, Yahaya and Ahmed, 2018)</w:t>
      </w:r>
      <w:r>
        <w:fldChar w:fldCharType="end"/>
      </w:r>
      <w:r>
        <w:t>.</w:t>
      </w:r>
    </w:p>
    <w:p w:rsidR="00FA1AC4" w:rsidRDefault="00B11CCA">
      <w:pPr>
        <w:spacing w:line="360" w:lineRule="auto"/>
      </w:pPr>
      <w:r>
        <w:t xml:space="preserve">In conclusion, a financial report is crucial because investors utilize it to guide their actions. It discusses the financial stability and projected performance of the company. Therefore, firms that provide incorrect financial disclosure and fail to timely report the firm's present condition may exhibit the characteristics of an ineffective audit committee, rendering the report meaningless. Investors, regulators, and other users of financial statements can understand and identify any criteria connected with good financial reports with the help of information on the features of an audit committee, especially in a competitive corporate environment. Investors' understanding would motivate businesses to voluntarily build an efficient control system to assure accurate financial reporting </w:t>
      </w:r>
      <w:r>
        <w:fldChar w:fldCharType="begin"/>
      </w:r>
      <w:r>
        <w:instrText>ADDIN CSL_CITATION {"citationItems":[{"id":"ITEM-1","itemData":{"DOI":"10.1016/j.sbspro.2015.01.429","ISSN":"18770428","abstract":"This paper aims to describe the public reprimand issued by Bursa Malaysia to PLCs pertaining to financial related information. It was found that public reprimand were sanctioned for non-compliance of the requirements related to continuing disclosure with amounted to 145 breaches for year 2009 until 2013. It was also discovered that most of the companies sanctioned for public reprimand had complied with the minimum requirements for the independence and financial knowledge on audit committee. This study is a cross-sectional content analysis and consists of firms that had been reprimanded by Bursa Malaysia for non-compliance with the listing requirements.","author":[{"dropping-particle":"","family":"Hamid","given":"Khamsi Che Abdul","non-dropping-particle":"","parse-names":false,"suffix":""},{"dropping-particle":"","family":"Othman","given":"Sarina","non-dropping-particle":"","parse-names":false,"suffix":""},{"dropping-particle":"","family":"Rahim","given":"Memiyanty Abdul","non-dropping-particle":"","parse-names":false,"suffix":""}],"container-title":"Procedia - Social and Behavioral Sciences","id":"ITEM-1","issued":{"date-parts":[["2015"]]},"page":"754-761","title":"Independence and Financial Knowledge on Audit Committee with Non-compliance of Financial Disclosure: A Study of Listed Companies Issued with Public Reprimand in Malaysia","type":"article-journal","volume":"172"},"uris":["http://www.mendeley.com/documents/?uuid=a0f53a06-1996-4570-ab45-aa43c1f989aa"]}],"mendeley":{"formattedCitation":"(Hamid et al., 2015)","manualFormatting":"(Hamid, Othman and Rahim, 2015)","plainTextFormattedCitation":"(Hamid et al., 2015)","previouslyFormattedCitation":"(Hamid et al., 2015)"},"properties":{"noteIndex":0},"schema":"https://github.com/citation-style-language/schema/raw/master/csl-citation.json"}</w:instrText>
      </w:r>
      <w:r>
        <w:fldChar w:fldCharType="separate"/>
      </w:r>
      <w:r>
        <w:rPr>
          <w:noProof/>
        </w:rPr>
        <w:t>(Hamid, Othman and Rahim, 2015)</w:t>
      </w:r>
      <w:r>
        <w:fldChar w:fldCharType="end"/>
      </w:r>
      <w:r>
        <w:t xml:space="preserve">. In this study, financial reporting quality was measured using the accrual method. The accrual model measures the extent of earnings management under existing legislation. The theorist believes that earnings are the most crucial in organisations, and when it is negatively affected the company’s performance will be affected. Thus, it is calculated as: </w:t>
      </w:r>
    </w:p>
    <w:p w:rsidR="00FA1AC4" w:rsidRDefault="00B11CCA">
      <w:pPr>
        <w:spacing w:line="360" w:lineRule="auto"/>
      </w:pPr>
      <w:r>
        <w:t>ΔWC</w:t>
      </w:r>
      <w:r>
        <w:rPr>
          <w:vertAlign w:val="subscript"/>
        </w:rPr>
        <w:t>it</w:t>
      </w:r>
      <w:r>
        <w:t xml:space="preserve"> = CFO</w:t>
      </w:r>
      <w:r>
        <w:rPr>
          <w:vertAlign w:val="subscript"/>
        </w:rPr>
        <w:t>it</w:t>
      </w:r>
      <w:r>
        <w:t xml:space="preserve"> – 1 + CFO</w:t>
      </w:r>
      <w:r>
        <w:rPr>
          <w:vertAlign w:val="subscript"/>
        </w:rPr>
        <w:t>it</w:t>
      </w:r>
      <w:r>
        <w:t xml:space="preserve"> + CFO</w:t>
      </w:r>
      <w:r>
        <w:rPr>
          <w:vertAlign w:val="subscript"/>
        </w:rPr>
        <w:t>it</w:t>
      </w:r>
      <w:r>
        <w:t xml:space="preserve"> + 1 + ΔREV</w:t>
      </w:r>
      <w:r>
        <w:rPr>
          <w:vertAlign w:val="subscript"/>
        </w:rPr>
        <w:t>it</w:t>
      </w:r>
      <w:r>
        <w:t xml:space="preserve"> + PPE</w:t>
      </w:r>
      <w:r>
        <w:rPr>
          <w:vertAlign w:val="subscript"/>
        </w:rPr>
        <w:t>it</w:t>
      </w:r>
      <w:r>
        <w:t xml:space="preserve"> + ε</w:t>
      </w:r>
    </w:p>
    <w:p w:rsidR="00FA1AC4" w:rsidRDefault="00B11CCA">
      <w:pPr>
        <w:spacing w:line="360" w:lineRule="auto"/>
      </w:pPr>
      <w:r>
        <w:t xml:space="preserve">ΔWC = the change in working capital accruals or current accruals from the statement of cash flows. </w:t>
      </w:r>
    </w:p>
    <w:p w:rsidR="00FA1AC4" w:rsidRDefault="00B11CCA">
      <w:pPr>
        <w:spacing w:line="360" w:lineRule="auto"/>
      </w:pPr>
      <w:r>
        <w:t xml:space="preserve">CFO = the cash flows from operating activities. </w:t>
      </w:r>
    </w:p>
    <w:p w:rsidR="00FA1AC4" w:rsidRDefault="00B11CCA">
      <w:pPr>
        <w:spacing w:line="360" w:lineRule="auto"/>
      </w:pPr>
      <w:r>
        <w:t xml:space="preserve">ΔREV = change in revenue. </w:t>
      </w:r>
    </w:p>
    <w:p w:rsidR="00FA1AC4" w:rsidRDefault="00B11CCA">
      <w:pPr>
        <w:spacing w:line="360" w:lineRule="auto"/>
      </w:pPr>
      <w:r>
        <w:t>PPE = property, plant and equipment.</w:t>
      </w:r>
    </w:p>
    <w:p w:rsidR="00FA1AC4" w:rsidRDefault="00B11CCA">
      <w:pPr>
        <w:pStyle w:val="Heading3"/>
        <w:numPr>
          <w:ilvl w:val="2"/>
          <w:numId w:val="12"/>
        </w:numPr>
        <w:spacing w:before="240" w:line="480" w:lineRule="auto"/>
        <w:ind w:left="709"/>
      </w:pPr>
      <w:bookmarkStart w:id="38" w:name="_Toc112342355"/>
      <w:r>
        <w:t>Firm Characteristics</w:t>
      </w:r>
      <w:bookmarkEnd w:id="38"/>
    </w:p>
    <w:p w:rsidR="00FA1AC4" w:rsidRDefault="00B11CCA">
      <w:pPr>
        <w:spacing w:after="240"/>
      </w:pPr>
      <w:r>
        <w:t xml:space="preserve">According to </w:t>
      </w:r>
      <w:r>
        <w:fldChar w:fldCharType="begin"/>
      </w:r>
      <w:r>
        <w:instrText>ADDIN CSL_CITATION {"citationItems":[{"id":"ITEM-1","itemData":{"DOI":"10.17265/1548-6583/2018.06.001","ISSN":"15486583","abstract":"… Stakeholder Theory For this research, we also employ stakeholder theory to explain the phenomenon of the relationships between audit firm quality and financial reporting reliability … (2009) suggested that higher-quality financial reporting should increase investment efficiency …","author":[{"dropping-particle":"","family":"Nattawut","given":"T.","non-dropping-particle":"","parse-names":false,"suffix":""},{"dropping-particle":"","family":"Sirilak","given":"K.","non-dropping-particle":"","parse-names":false,"suffix":""}],"container-title":"Journal of Modern Accounting and Auditing","id":"ITEM-1","issue":"6","issued":{"date-parts":[["2018"]]},"page":"291-304","title":"The Factors Affecting Financial Reporting Reliability: An Empirical Research of Public Listed Companies in Thailand","type":"article-journal","volume":"14"},"uris":["http://www.mendeley.com/documents/?uuid=2d42d6cf-8cac-4744-96c9-2325c2d2b88a"]}],"mendeley":{"formattedCitation":"(Nattawut &amp; Sirilak, 2018)","manualFormatting":"(Nattawut and Sirilak, 2018)","plainTextFormattedCitation":"(Nattawut &amp; Sirilak, 2018)","previouslyFormattedCitation":"(Nattawut &amp; Sirilak, 2018)"},"properties":{"noteIndex":0},"schema":"https://github.com/citation-style-language/schema/raw/master/csl-citation.json"}</w:instrText>
      </w:r>
      <w:r>
        <w:fldChar w:fldCharType="separate"/>
      </w:r>
      <w:r>
        <w:rPr>
          <w:noProof/>
        </w:rPr>
        <w:t>Nattawut and Sirilak, (2018)</w:t>
      </w:r>
      <w:r>
        <w:fldChar w:fldCharType="end"/>
      </w:r>
      <w:r>
        <w:t xml:space="preserve">, due to the possibility that company characteristics could affect the expected correlations between firm age and size, two </w:t>
      </w:r>
      <w:r>
        <w:lastRenderedPageBreak/>
        <w:t>control variables: Firm size and firm age are taken into consideration. Firm size (FSIZE) is determined by the total assets of the firm, whereas firm age (FAGE) is determined by the length of time a firm has been in business. Due to its potential to reach high performance, a firm's age and size may have an impact on its ability to provide successful accounting information (Gotti and Mastrolia, 2012; Tontiset, 2018).</w:t>
      </w:r>
    </w:p>
    <w:p w:rsidR="00FA1AC4" w:rsidRDefault="00B11CCA">
      <w:pPr>
        <w:pStyle w:val="Heading1"/>
        <w:numPr>
          <w:ilvl w:val="1"/>
          <w:numId w:val="12"/>
        </w:numPr>
        <w:tabs>
          <w:tab w:val="left" w:pos="1276"/>
        </w:tabs>
        <w:spacing w:before="0" w:line="480" w:lineRule="auto"/>
        <w:ind w:left="709"/>
        <w:jc w:val="both"/>
      </w:pPr>
      <w:bookmarkStart w:id="39" w:name="_Toc112342356"/>
      <w:r>
        <w:t>Theoretical Review</w:t>
      </w:r>
      <w:bookmarkEnd w:id="39"/>
    </w:p>
    <w:p w:rsidR="00FA1AC4" w:rsidRDefault="00B11CCA">
      <w:r>
        <w:t>The Shareholdership Model, Stakeholdership Model, and Resource Dependence Theory are the models of corporate governance theory that are applicable to this research project. The stakeholder theory, which was covered in the previous chapter, is viewed as the German form of corporate governance, while the shareholder theory is considered to be the conventional Anglo-American model. Over the past 20 years, the importance of corporate governance has progressively increased. The Cadbury Report on the Financial Aspects of Corporate Governance in the UK, published in 1992, provided the groundwork for corporate governance not only in the UK but also in other nations throughout the world, whose corporate governance rules have adopted its key tenets. Corporate governance seeks to guarantee that the boards of directors perform their duties effectively. A policy advises the boards and managements on how to best utilize the company's resources in order to boost shareholder wealth returns. The Cadbury Reports (1992), which are cited in chapter 2 of this thesis, characterized corporate governance as:</w:t>
      </w:r>
    </w:p>
    <w:p w:rsidR="00FA1AC4" w:rsidRDefault="00B11CCA">
      <w:pPr>
        <w:spacing w:after="240"/>
        <w:ind w:left="720" w:right="924"/>
        <w:rPr>
          <w:i/>
          <w:sz w:val="22"/>
        </w:rPr>
      </w:pPr>
      <w:r>
        <w:rPr>
          <w:i/>
          <w:sz w:val="22"/>
        </w:rPr>
        <w:t>“</w:t>
      </w:r>
      <w:proofErr w:type="gramStart"/>
      <w:r>
        <w:rPr>
          <w:i/>
          <w:sz w:val="22"/>
        </w:rPr>
        <w:t>the</w:t>
      </w:r>
      <w:proofErr w:type="gramEnd"/>
      <w:r>
        <w:rPr>
          <w:i/>
          <w:sz w:val="22"/>
        </w:rPr>
        <w:t xml:space="preserve"> framework for managing and directing businesses. The management of their firms is the responsibility of their boards of directors. The shareholders' function in corporate governance is to elect the board members and auditors, as </w:t>
      </w:r>
      <w:r>
        <w:rPr>
          <w:i/>
          <w:sz w:val="22"/>
        </w:rPr>
        <w:lastRenderedPageBreak/>
        <w:t>well as to ensure that the proper governance framework is in place. (Para. 5). (Stated in Nwanji, 2006:169)</w:t>
      </w:r>
    </w:p>
    <w:p w:rsidR="00FA1AC4" w:rsidRDefault="00B11CCA">
      <w:pPr>
        <w:pStyle w:val="Heading2"/>
        <w:numPr>
          <w:ilvl w:val="2"/>
          <w:numId w:val="12"/>
        </w:numPr>
        <w:ind w:left="709"/>
        <w:rPr>
          <w:i/>
          <w:sz w:val="22"/>
        </w:rPr>
      </w:pPr>
      <w:bookmarkStart w:id="40" w:name="_Toc112342357"/>
      <w:r>
        <w:t>Shareholdership Model of Corporate Governance</w:t>
      </w:r>
      <w:bookmarkEnd w:id="40"/>
      <w:r>
        <w:t xml:space="preserve"> </w:t>
      </w:r>
    </w:p>
    <w:p w:rsidR="00FA1AC4" w:rsidRDefault="00B11CCA">
      <w:pPr>
        <w:rPr>
          <w:i/>
          <w:sz w:val="22"/>
        </w:rPr>
      </w:pPr>
      <w:r>
        <w:t>Nwanji and Howell, (2007) stated that:</w:t>
      </w:r>
      <w:r>
        <w:rPr>
          <w:b/>
        </w:rPr>
        <w:t xml:space="preserve"> </w:t>
      </w:r>
    </w:p>
    <w:p w:rsidR="00FA1AC4" w:rsidRDefault="00B11CCA">
      <w:pPr>
        <w:spacing w:after="240" w:line="276" w:lineRule="auto"/>
        <w:ind w:left="1440"/>
        <w:rPr>
          <w:i/>
          <w:sz w:val="22"/>
          <w:szCs w:val="22"/>
        </w:rPr>
      </w:pPr>
      <w:r>
        <w:rPr>
          <w:i/>
          <w:sz w:val="22"/>
          <w:szCs w:val="22"/>
        </w:rPr>
        <w:t>“Profit maximization is the foundation of the conventional Anglo-American Model of corporate governance, which asserts that it serves to safeguard the interests of shareholders. The idea of profit maximization is a product of the free market economy. The pricing system controls this. The general economic prosperity of society is not maximized by an individual entrepreneur's pursuit of profit.”</w:t>
      </w:r>
    </w:p>
    <w:p w:rsidR="00FA1AC4" w:rsidRDefault="00B11CCA">
      <w:pPr>
        <w:spacing w:before="240"/>
      </w:pPr>
      <w:r>
        <w:t>The agency theory, which was developed by Berle and Means, falls under the shareholdership idea (1932). They looked at the idea of agency and its implications for the growth of big businesses. They discovered how the directors' and managers' interests differed from those of the company's owners, and used the notions of agency and principal to explain how such conflicts came about (Agwor and Onukogu, 2018). The link between the primary and the agent is how Jensen and Meckling (1976) defined the agency theory. In a business, the principals are the investors, and the agent is the management. Based on current contracts, the relationship between the principal and the agent. According to agency theory, each party acts in their own best interest (Feng, McVay and Skaife, 2015; Nwanji and Howell, 2007).</w:t>
      </w:r>
    </w:p>
    <w:p w:rsidR="00FA1AC4" w:rsidRDefault="00B11CCA">
      <w:pPr>
        <w:pStyle w:val="Heading2"/>
        <w:keepNext w:val="0"/>
        <w:numPr>
          <w:ilvl w:val="2"/>
          <w:numId w:val="12"/>
        </w:numPr>
        <w:spacing w:before="240"/>
        <w:ind w:left="709"/>
        <w:rPr>
          <w:szCs w:val="32"/>
        </w:rPr>
      </w:pPr>
      <w:r>
        <w:rPr>
          <w:szCs w:val="32"/>
        </w:rPr>
        <w:t xml:space="preserve"> </w:t>
      </w:r>
      <w:bookmarkStart w:id="41" w:name="_Toc112342358"/>
      <w:r>
        <w:rPr>
          <w:szCs w:val="32"/>
        </w:rPr>
        <w:t>Stakeholdership Model of Corporate Governance</w:t>
      </w:r>
      <w:bookmarkEnd w:id="41"/>
      <w:r>
        <w:rPr>
          <w:szCs w:val="32"/>
        </w:rPr>
        <w:t xml:space="preserve"> </w:t>
      </w:r>
    </w:p>
    <w:p w:rsidR="00FA1AC4" w:rsidRDefault="00B11CCA">
      <w:r>
        <w:t xml:space="preserve">This theory, which combines organizational and social theories, first emerged in the 1970s. It is a more in-depth study that integrates philosophy, ethics, political theories, economics, lows, organizational, and social sciences. Colbert, Freeman, and Wheeler (2003). The premise of this theory is that when businesses grow and have a deeper impact on society, </w:t>
      </w:r>
      <w:r>
        <w:lastRenderedPageBreak/>
        <w:t xml:space="preserve">they should pay attention to and hold more segments of society accountable since they share interests (except stockholders). In other words, shareholders not only have control over the corporation, but also the company has influence over them. Instead of stocks, the stakeholders are interested in the companies. Stakeholders are people who are obligated to support a manager's decisions, such as stockholders, employees, vendors, debaters, neighbouring businesses, and the general public. If a stakeholder can satisfy all of the stockholders' rights, or if they are accountable to all stockholders, they will move forward successfully in the long run and have a higher chance of achieving their goals. In fact, this approach asserts the company's liability to these employees. Additionally, according to this theory, businesses achieve their objective of creating money or value for their owners by converting their stocks into commodities and services. The agency theory's point of view dominates the stakeholder model. According to this perspective, management refers to those people who rely on the board of managers for information and where the board of managers' function has been altered to supervisor. In accordance with this theory, similar to agency theory, the board of managers sets up the policies and strategies of the commercial unit, with a general emphasis on defining new goods, markets, and technology while also supporting executive management and long-term objectives. It should be highlighted that in this perspective, aptitude, knowledge, skill, and competency are all external resources </w:t>
      </w:r>
      <w:r>
        <w:fldChar w:fldCharType="begin"/>
      </w:r>
      <w:r>
        <w:instrText>ADDIN CSL_CITATION {"citationItems":[{"id":"ITEM-1","itemData":{"DOI":"10.5176/2010-4804","author":[{"dropping-particle":"","family":"Royaee","given":"Ramazanali","non-dropping-particle":"","parse-names":false,"suffix":""},{"dropping-particle":"","family":"Dehkordi","given":"Bahareh Banitalebi","non-dropping-particle":"","parse-names":false,"suffix":""}],"container-title":"GSTF International Journal on Business Review (GBR)","id":"ITEM-1","issue":"December","issued":{"date-parts":[["2016"]]},"title":"Role of Corporate Governance in Organization","type":"article-journal","volume":"2"},"uris":["http://www.mendeley.com/documents/?uuid=68a81efd-18a3-4507-83c2-86966c12ca81"]}],"mendeley":{"formattedCitation":"(Royaee &amp; Dehkordi, 2016)","manualFormatting":"(Royaee and Dehkordi, 2016)","plainTextFormattedCitation":"(Royaee &amp; Dehkordi, 2016)","previouslyFormattedCitation":"(Royaee &amp; Dehkordi, 2016)"},"properties":{"noteIndex":0},"schema":"https://github.com/citation-style-language/schema/raw/master/csl-citation.json"}</w:instrText>
      </w:r>
      <w:r>
        <w:fldChar w:fldCharType="separate"/>
      </w:r>
      <w:r>
        <w:rPr>
          <w:noProof/>
        </w:rPr>
        <w:t>(Royaee and Dehkordi, 2016)</w:t>
      </w:r>
      <w:r>
        <w:fldChar w:fldCharType="end"/>
      </w:r>
      <w:r>
        <w:t>.</w:t>
      </w:r>
    </w:p>
    <w:p w:rsidR="00FA1AC4" w:rsidRDefault="00B11CCA">
      <w:pPr>
        <w:pStyle w:val="Heading2"/>
        <w:keepNext w:val="0"/>
        <w:numPr>
          <w:ilvl w:val="2"/>
          <w:numId w:val="12"/>
        </w:numPr>
        <w:ind w:left="709"/>
        <w:rPr>
          <w:szCs w:val="32"/>
        </w:rPr>
      </w:pPr>
      <w:bookmarkStart w:id="42" w:name="_Toc112342359"/>
      <w:r>
        <w:rPr>
          <w:szCs w:val="32"/>
        </w:rPr>
        <w:t>Resource Dependence Theory</w:t>
      </w:r>
      <w:bookmarkEnd w:id="42"/>
      <w:r>
        <w:rPr>
          <w:szCs w:val="32"/>
        </w:rPr>
        <w:t xml:space="preserve"> </w:t>
      </w:r>
    </w:p>
    <w:p w:rsidR="00FA1AC4" w:rsidRDefault="00B11CCA">
      <w:r>
        <w:t xml:space="preserve">Some academic articles also employ the resource dependency theory to describe corporate governance (Pfeffer and Salancik, 1978). According to the thesis, organizations and the environment in which they work are interdependent. Organizations will rely on the </w:t>
      </w:r>
      <w:r>
        <w:lastRenderedPageBreak/>
        <w:t xml:space="preserve">resources and knowledge offered by other businesses and the agents of the milieu in which they operate to secure their survival. Organizations compete with other entities using the same limited resources in these situations. These theories do not consider other interest groups like clients, employees, business associations, and/or suppliers, among others, and are restricted to analyzing the relationships between partners, professional managers, the governing council, and the environment in order to establish the most crucial elements of corporate governance.  The theory of stakeholders, developed by Freeman in 1984, holds that organizations should be accountable to a number of internal interest groups in addition to shareholders since all of these groups have the potential to influence how goals are attained achieving the organization's goals and, as a result, commercial success. Applying agency theory is necessary. This is because having more effective boards of directors would help to lessen the gaps between shareholders and executives </w:t>
      </w:r>
      <w:r>
        <w:fldChar w:fldCharType="begin"/>
      </w:r>
      <w:r>
        <w:instrText>ADDIN CSL_CITATION {"citationItems":[{"id":"ITEM-1","itemData":{"ISBN":"3579666320","author":[{"dropping-particle":"","family":"Alfonso","given":"Manuel","non-dropping-particle":"","parse-names":false,"suffix":""},{"dropping-particle":"","family":"Castrillón","given":"Garzón","non-dropping-particle":"","parse-names":false,"suffix":""}],"container-title":"Revista Científica \"Visión de Futuro\"","id":"ITEM-1","issue":"2","issued":{"date-parts":[["2021"]]},"title":"THE CONCEPT OF CORPORATE GOVERNANCE","type":"article-journal","volume":"25"},"uris":["http://www.mendeley.com/documents/?uuid=24a2e6a5-02e2-44e3-8e2a-8c34614fcac3"]}],"mendeley":{"formattedCitation":"(Alfonso &amp; Castrillón, 2021)","manualFormatting":"(Alfonso and Castrillón, 2021","plainTextFormattedCitation":"(Alfonso &amp; Castrillón, 2021)","previouslyFormattedCitation":"(Alfonso &amp; Castrillón, 2021)"},"properties":{"noteIndex":0},"schema":"https://github.com/citation-style-language/schema/raw/master/csl-citation.json"}</w:instrText>
      </w:r>
      <w:r>
        <w:fldChar w:fldCharType="separate"/>
      </w:r>
      <w:r>
        <w:rPr>
          <w:noProof/>
        </w:rPr>
        <w:t>(Alfonso and Castrillón, 2021</w:t>
      </w:r>
      <w:r>
        <w:fldChar w:fldCharType="end"/>
      </w:r>
      <w:r>
        <w:t xml:space="preserve">; </w:t>
      </w:r>
      <w:r>
        <w:fldChar w:fldCharType="begin"/>
      </w:r>
      <w:r>
        <w:instrText>ADDIN CSL_CITATION {"citationItems":[{"id":"ITEM-1","itemData":{"DOI":"10.22495/cocv18i3siart9","ISSN":"17279232","abstract":"Audit committee (AC) financial experts is considered one of the important corporate governance mechanisms due to their vital role in overseeing companies’ financial reporting procedures and enhancing corporate financial decisions. Regulators and policymakers require Omani firms to have at least one director with financial expertise sitting on ACs. Therefore, we aim to investigate the effect of AC financial expertise on corporate financial decisions (capital structure, dividend payment and cash holdings). We use a data set of all Omani financial institutions (36 firms) listed on the Muscat Stock Exchange (MSX) over the period from 2014 to 2019, consisting of 216 firm-year observations. The paper contributes to the growing body of the literature by being the first study to examine the impact of AC financial expertise on financial decisions. The study also contributes to the literature by integrating multiple theories: agency, resource dependence and signalling, to enlighten the effect of the unique power of financial expertise on making financial decisions. We find that AC members with financial expertise are positively related to the level of cash holdings, leverage and dividend payment in financial companies. The findings provide empirical evidence to regulators to encourage companies to exceedingly appoint financial experts as AC members due to their unique resources, which improve their monitoring role and constraining management opportunistic behaviour","author":[{"dropping-particle":"","family":"Lawati","given":"Hidaya","non-dropping-particle":"Al","parse-names":false,"suffix":""},{"dropping-particle":"","family":"Hussainey","given":"Khaled","non-dropping-particle":"","parse-names":false,"suffix":""}],"container-title":"Corporate Ownership and Control","id":"ITEM-1","issue":"3, special issue","issued":{"date-parts":[["2021"]]},"page":"348-359","title":"The impact of audit committee financial expertise on corporate financial decisions","type":"article-journal","volume":"18"},"uris":["http://www.mendeley.com/documents/?uuid=e39d96cd-a7fd-4bf8-bb70-3064e61b072c"]}],"mendeley":{"formattedCitation":"(Al Lawati &amp; Hussainey, 2021)","manualFormatting":"Al Lawati and Hussainey, 2021)","plainTextFormattedCitation":"(Al Lawati &amp; Hussainey, 2021)","previouslyFormattedCitation":"(Al Lawati &amp; Hussainey, 2021)"},"properties":{"noteIndex":0},"schema":"https://github.com/citation-style-language/schema/raw/master/csl-citation.json"}</w:instrText>
      </w:r>
      <w:r>
        <w:fldChar w:fldCharType="separate"/>
      </w:r>
      <w:r>
        <w:rPr>
          <w:noProof/>
        </w:rPr>
        <w:t>Al Lawati and Hussainey, 2021)</w:t>
      </w:r>
      <w:r>
        <w:fldChar w:fldCharType="end"/>
      </w:r>
      <w:r>
        <w:t xml:space="preserve">. </w:t>
      </w:r>
    </w:p>
    <w:p w:rsidR="00FA1AC4" w:rsidRDefault="00B11CCA">
      <w:pPr>
        <w:pStyle w:val="Heading1"/>
        <w:numPr>
          <w:ilvl w:val="1"/>
          <w:numId w:val="12"/>
        </w:numPr>
        <w:spacing w:before="0" w:line="480" w:lineRule="auto"/>
        <w:ind w:left="709"/>
        <w:jc w:val="both"/>
      </w:pPr>
      <w:bookmarkStart w:id="43" w:name="_Toc112342360"/>
      <w:r>
        <w:t>Empirical Review</w:t>
      </w:r>
      <w:bookmarkEnd w:id="43"/>
    </w:p>
    <w:p w:rsidR="00FA1AC4" w:rsidRDefault="00B11CCA">
      <w:r>
        <w:t xml:space="preserve">The impact that application of good corporate governance principles, implementation of internal control systems and compliance with laws could have on the quality of financial reports were examined by </w:t>
      </w:r>
      <w:r>
        <w:fldChar w:fldCharType="begin"/>
      </w:r>
      <w:r>
        <w:instrText>ADDIN CSL_CITATION {"citationItems":[{"id":"ITEM-1","itemData":{"DOI":"10.14445/23939125/ijems-v7i1p105","abstract":"This research was conducted against the background of a phenomenon at BPJS, namely the recovery of state finances caused by BPKRI's findings related to compliance with laws and regulations and the internal control system. This research was undertaken through a survey and was grounded based on existing theories, which were then developed into a research model in which the model in this study was designed to examine the quality of financial reporting with the application of the principles of good corporate governance, compliance with laws and implementation of internal control systems. This study aims to determine the effect of applying the principles of good corporate governance, compliance with legislation, and the application of internal control systems on the quality of financial reporting. SEM PLS is used as an analysis tool in this study. The research data used came from questionnaires collected using survey methods. The results of this study conclude that applying the principles of good corporate governance has a significant effect on the quality of financial reporting. Likewise, compliance with laws and implementation of internal control systems.","author":[{"dropping-particle":"","family":"Setiyawati","given":"Hari","non-dropping-particle":"","parse-names":false,"suffix":""},{"dropping-particle":"","family":"Hidayah","given":"Nurul","non-dropping-particle":"","parse-names":false,"suffix":""},{"dropping-particle":"","family":"Rahmatika","given":"Dien Noviany","non-dropping-particle":"","parse-names":false,"suffix":""},{"dropping-particle":"","family":"Indriasih","given":"Dewi","non-dropping-particle":"","parse-names":false,"suffix":""}],"container-title":"International Journal of Economics and Management Studies","id":"ITEM-1","issue":"1","issued":{"date-parts":[["2020"]]},"page":"33-39","title":"The Factors That Affect The Quality of Financial Reporting","type":"article-journal","volume":"7"},"uris":["http://www.mendeley.com/documents/?uuid=adb210ae-fe3b-4ec7-bdfb-702c74ebf6a1"]}],"mendeley":{"formattedCitation":"(Setiyawati et al., 2020)","manualFormatting":"Setiyawati, Hidayah, Rahmatika and Indriasih, (2020)","plainTextFormattedCitation":"(Setiyawati et al., 2020)","previouslyFormattedCitation":"(Setiyawati et al., 2020)"},"properties":{"noteIndex":0},"schema":"https://github.com/citation-style-language/schema/raw/master/csl-citation.json"}</w:instrText>
      </w:r>
      <w:r>
        <w:fldChar w:fldCharType="separate"/>
      </w:r>
      <w:r>
        <w:rPr>
          <w:noProof/>
        </w:rPr>
        <w:t>Setiyawati, Hidayah, Rahmatika and Indriasih, (2020)</w:t>
      </w:r>
      <w:r>
        <w:fldChar w:fldCharType="end"/>
      </w:r>
      <w:r>
        <w:t xml:space="preserve">. Good corporate governance principles were measured in terms of transparency, accountability, responsibility, independency and fairness while a good internal control system was measured in terms of good control environment, risk assessment, control activities, information and communication and monitoring. Also, compliance with audit laws was measured in terms of sociological foundation, philosophy foundation and juridical </w:t>
      </w:r>
      <w:r>
        <w:lastRenderedPageBreak/>
        <w:t>foundation while FRQ was measured in terms of relevance, reliability, comparability and understandability. When the hypothesis formed based on these variables was empirically evaluated using path coefficients, R square and reliability tests, results obtained revealed that the variables measured have a significant effect on FRQ.</w:t>
      </w:r>
    </w:p>
    <w:p w:rsidR="00FA1AC4" w:rsidRDefault="00B11CCA">
      <w:pPr>
        <w:spacing w:before="240"/>
      </w:pPr>
      <w:r>
        <w:t>According to Freeman's 1984 formulation of the stakeholders’ theory, businesses should be held accountable to a number of internal interest groups in addition to shareholders since each of these groups has the ability to have an impact on how objectives are reached. The agency hypothesis must be used. This is due to the fact that having boards of directors that are more effective would contribute to closing the gap between shareholders and CEOs.</w:t>
      </w:r>
    </w:p>
    <w:p w:rsidR="00FA1AC4" w:rsidRDefault="00B11CCA">
      <w:pPr>
        <w:spacing w:before="240"/>
      </w:pPr>
      <w:r>
        <w:t>Agyei-mensah, Agyemang, and Ansong investigated the relationship between the efficacy of the AC members, audit quality, and the disclosure of internal control information (2019). The analysis analyzed financial data from 210 companies that were listed between 2013 and 2017 on the Ghana Stock Exchange. The size of the audit committee, audit firm, and board all contribute to the disclosure of internal control information, according to the findings of univariate and multivariate analyses. As a result, the disclosure of internal control information is frequently influenced by effective AC and audit quality.</w:t>
      </w:r>
    </w:p>
    <w:p w:rsidR="00FA1AC4" w:rsidRDefault="00B11CCA">
      <w:pPr>
        <w:spacing w:before="240"/>
      </w:pPr>
      <w:r>
        <w:t xml:space="preserve">Researchers in Nigeria looked at how internal control activities impact the financial performance of tertiary institutions (Ejoh and Ejom, 2014). A survey research design involving the use of questionnaire was also used to elicit information from 63 respondents. Afterwards, responses received were analysed using correlation coefficient, simple percentages, z-scores and tables. The study submitted that there is a distinct separation of </w:t>
      </w:r>
      <w:r>
        <w:lastRenderedPageBreak/>
        <w:t>roles among the accounting and finance department of the institution under the supervision of the head of the institution. However, the study found that there was no correlation between the institution's financial success and internal control operations.</w:t>
      </w:r>
    </w:p>
    <w:p w:rsidR="00FA1AC4" w:rsidRDefault="00B11CCA">
      <w:pPr>
        <w:spacing w:before="240"/>
      </w:pPr>
      <w:r>
        <w:t xml:space="preserve">The implication of weak internal control measures and financial reporting for financial analysts was studied by </w:t>
      </w:r>
      <w:r>
        <w:fldChar w:fldCharType="begin"/>
      </w:r>
      <w:r>
        <w:instrText>ADDIN CSL_CITATION {"citationItems":[{"id":"ITEM-1","itemData":{"author":[{"dropping-particle":"","family":"Clinton","given":"Sarah B","non-dropping-particle":"","parse-names":false,"suffix":""},{"dropping-particle":"","family":"Spina","given":"Arianna","non-dropping-particle":"","parse-names":false,"suffix":""},{"dropping-particle":"","family":"Skaife","given":"Hollis A","non-dropping-particle":"","parse-names":false,"suffix":""}],"id":"ITEM-1","issued":{"date-parts":[["2014"]]},"page":"303-327","title":"J . Account . Public Policy The implications of ineffective internal control and SOX 404 reporting for financial analysts","type":"article-journal","volume":"33"},"uris":["http://www.mendeley.com/documents/?uuid=03e7b449-7cd3-4626-a7e3-95a49cd23417"]}],"mendeley":{"formattedCitation":"(Clinton et al., 2014)","manualFormatting":"Clinton, Spina and Skaife, (2014)","plainTextFormattedCitation":"(Clinton et al., 2014)","previouslyFormattedCitation":"(Clinton et al., 2014)"},"properties":{"noteIndex":0},"schema":"https://github.com/citation-style-language/schema/raw/master/csl-citation.json"}</w:instrText>
      </w:r>
      <w:r>
        <w:fldChar w:fldCharType="separate"/>
      </w:r>
      <w:r>
        <w:rPr>
          <w:noProof/>
        </w:rPr>
        <w:t>Clinton, Spina and Skaife, (2014)</w:t>
      </w:r>
      <w:r>
        <w:fldChar w:fldCharType="end"/>
      </w:r>
      <w:r>
        <w:t>. Their findings revealed that an organization with weak internal control measures will always have insignificant earnings forecasts by financial analysts. This result implies that the detrimental impact of weak internal control on the accuracy of companies' financial reports cannot be offset by analysts' acquisition of private information. As a result, users of financial statements are exposed to more information uncertainty due to poor internal control.</w:t>
      </w:r>
    </w:p>
    <w:p w:rsidR="00FA1AC4" w:rsidRDefault="00B11CCA">
      <w:pPr>
        <w:spacing w:before="240"/>
      </w:pPr>
      <w:r>
        <w:t xml:space="preserve">Moreover, the impact that the chair of an AC with financial expertise could have on the preparation of a quality financial statement was studied by </w:t>
      </w:r>
      <w:r>
        <w:fldChar w:fldCharType="begin"/>
      </w:r>
      <w:r>
        <w:instrText>ADDIN CSL_CITATION {"citationItems":[{"id":"ITEM-1","itemData":{"DOI":"10.22164/isea.v10i4.164","ISSN":"1978-0591","abstract":"This study examines whether audit committee chair with financial expertise enhances the audit committee role in financial reporting quality in emerging market. We investigate this influence by employing the direct effect and moderating effect of audit committee chair with financial expertise on financial reporting timeliness. By using Omani data and the panel data method for two proxies for financial reporting timeliness, we find that audit committee chair with financial expertise enhances the timeliness of financial reporting through making the disclosure of annual reports timely. Further, we report evidence showing that both accounting and nonaccounting financial expertise on the audit committee have a positive and significant influence on the timeliness of financial reporting. We also document that the association between financial expertise and the timeliness of financial reporting is more pronounced when the chair of the audit committee has accounting expertise. This study is among the comprehensive evidence prove that audit committee chair with accounting expertise contributes to the quality of financial reporting in emerging market.","author":[{"dropping-particle":"","family":"Baatwah","given":"Saeed Rabea","non-dropping-particle":"","parse-names":false,"suffix":""},{"dropping-particle":"","family":"Ahmad","given":"Norsiah","non-dropping-particle":"","parse-names":false,"suffix":""},{"dropping-particle":"","family":"Salleh","given":"Zalailah","non-dropping-particle":"","parse-names":false,"suffix":""}],"container-title":"Issues In Social And Environmental Accounting","id":"ITEM-1","issue":"4","issued":{"date-parts":[["2016"]]},"page":"63-85","title":"Audit Committee Financial Expertise and Financial Reporting Timeliness in Emerging Market: Does Audit Committee Chair Matter?","type":"article-journal","volume":"10"},"uris":["http://www.mendeley.com/documents/?uuid=5d92c410-2806-42ea-a7e7-5e164a5972ad"]}],"mendeley":{"formattedCitation":"(Baatwah et al., 2016)","plainTextFormattedCitation":"(Baatwah et al., 2016)","previouslyFormattedCitation":"(Baatwah et al., 2016)"},"properties":{"noteIndex":0},"schema":"https://github.com/citation-style-language/schema/raw/master/csl-citation.json"}</w:instrText>
      </w:r>
      <w:r>
        <w:fldChar w:fldCharType="separate"/>
      </w:r>
      <w:r>
        <w:rPr>
          <w:noProof/>
        </w:rPr>
        <w:t xml:space="preserve">(Baatwah </w:t>
      </w:r>
      <w:r>
        <w:rPr>
          <w:i/>
          <w:noProof/>
        </w:rPr>
        <w:t>et al</w:t>
      </w:r>
      <w:r>
        <w:rPr>
          <w:noProof/>
        </w:rPr>
        <w:t>., 2016)</w:t>
      </w:r>
      <w:r>
        <w:fldChar w:fldCharType="end"/>
      </w:r>
      <w:r>
        <w:t xml:space="preserve">. Panel and Omani data were used as proxies for determining the financial reporting timeliness. Results obtained revealed that having an AC chair with financial expertise will always enhance timely financial reporting. The study also revealed that having accounting and non-accounting financial experts among the AC members will results in timely financial reporting. </w:t>
      </w:r>
    </w:p>
    <w:p w:rsidR="00FA1AC4" w:rsidRDefault="00B11CCA">
      <w:pPr>
        <w:spacing w:before="240"/>
      </w:pPr>
      <w:r>
        <w:t xml:space="preserve">A study to know the effect that AC membership could have on quality financial reporting among selected Indian companies was carried out by </w:t>
      </w:r>
      <w:r>
        <w:fldChar w:fldCharType="begin"/>
      </w:r>
      <w:r>
        <w:instrText>ADDIN CSL_CITATION {"citationItems":[{"id":"ITEM-1","itemData":{"DOI":"10.24815/jdab.v4i1.6653","ISSN":"2355-9462","abstract":"This study examines audit committee quality and its relationship with financial reporting quality. The population of this study consists of the companies listed in Bombay Stock Exchange (BSE) between years 2002 and 2012. Using Godden sample size formula, 133 companies are selected randomly for the study. It is found that in most of the equity based listed companies at BSE under study have complied with the legal formalities, for instance, appointment of independent directors, number of meetings, size of the audit committee, legal qualifications and financial qualifications of the directors, as they were required for the listing at a stock exchange in India. Further, the analysis and tests state that board size, audit committee meetings and its size have relationship with the financial reporting practices, but the CEO tenure and hold, board independence, net income, proportion of independent directors on board, legal qualifications and financial qualifications of the directors and overlap of audit committee members on compensation committee, have no influence on the financial reporting practices. Thus, it may be inferred that the companies may improve the financial reporting quality, by managing the board size, audit committee meetings and size, as these characteristics have significant relationship with financial reporting quality.","author":[{"dropping-particle":"","family":"Shankaraiah","given":"Kanukuntla","non-dropping-particle":"","parse-names":false,"suffix":""},{"dropping-particle":"","family":"Sajjadian Amiri","given":"Seyed Masoud","non-dropping-particle":"","parse-names":false,"suffix":""}],"container-title":"Jurnal Dinamika Akuntansi dan Bisnis","id":"ITEM-1","issue":"1","issued":{"date-parts":[["2017"]]},"page":"1-18","title":"Audit Committee Quality and Financial Reporting Quality: A Study of Selected Indian Companies","type":"article-journal","volume":"4"},"uris":["http://www.mendeley.com/documents/?uuid=cc122099-edc5-4357-ac83-f5cc12686ba2"]}],"mendeley":{"formattedCitation":"(Shankaraiah &amp; Sajjadian Amiri, 2017)","manualFormatting":"Shankaraiah and Sajjadian-Amiri, (2017)","plainTextFormattedCitation":"(Shankaraiah &amp; Sajjadian Amiri, 2017)","previouslyFormattedCitation":"(Shankaraiah &amp; Sajjadian Amiri, 2017)"},"properties":{"noteIndex":0},"schema":"https://github.com/citation-style-language/schema/raw/master/csl-citation.json"}</w:instrText>
      </w:r>
      <w:r>
        <w:fldChar w:fldCharType="separate"/>
      </w:r>
      <w:r>
        <w:rPr>
          <w:noProof/>
        </w:rPr>
        <w:t>Shankaraiah and Sajjadian-Amiri, (2017)</w:t>
      </w:r>
      <w:r>
        <w:fldChar w:fldCharType="end"/>
      </w:r>
      <w:r>
        <w:t xml:space="preserve">. The study used a total of 133 companies that were listed on the Bombay Stock Exchange between 2002 and 2012. The study's results were analyzed using regression </w:t>
      </w:r>
      <w:r>
        <w:lastRenderedPageBreak/>
        <w:t>analysis and Pearson correlation coefficients, and the impact of the independent variables was assessed using a T-test and an ANOVA. The findings showed that board size, the number of AC meetings, and the size of the AC have a significant relationship with the quality of financial reporting, whereas the CEO tenure and position, board independence, net income, the percentage of independent directors on the board, the legal and financial qualifications of the directors, and the overlap of AC members on the compensation committee do not significantly affect the quality of financial reports.</w:t>
      </w:r>
    </w:p>
    <w:p w:rsidR="00FA1AC4" w:rsidRDefault="00B11CCA">
      <w:pPr>
        <w:spacing w:before="240"/>
      </w:pPr>
      <w:r>
        <w:t>Oji and Ofoegbu (2017), investigated the impact of AC characteristics on financial reporting of listed companies in Nigeria. The research's data came from surveys given to 145 administrative staff members of chosen listed companies in Rivers State. The data was then analyzed using ordinary least squares regression. The findings demonstrated that the credentials, independence, and monitoring responsibilities of the AC members had a considerable and favorable impact on the financial reporting of listed companies in Nigeria.</w:t>
      </w:r>
    </w:p>
    <w:p w:rsidR="00FA1AC4" w:rsidRDefault="00B11CCA">
      <w:pPr>
        <w:spacing w:before="240"/>
      </w:pPr>
      <w:r>
        <w:t xml:space="preserve">Similar to this, Onyabe </w:t>
      </w:r>
      <w:r>
        <w:rPr>
          <w:i/>
        </w:rPr>
        <w:t>et al</w:t>
      </w:r>
      <w:r>
        <w:t xml:space="preserve">., (2018a) evaluated the impact of AC meetings and competence on EFR of listed deposit money banks in Nigeria. Between 2007 and 2016, panel data from the annual reports of fifteen (15) listed deposit money institutions were used in the study Shu, Chen, Lin, and Chen (2018) also looked at the relationship between internal control quality and corporate integrity. The relationship between corporate integrity and internal control quality was evaluated using special survey data. The outcomes showed that internal control flaws are significantly and adversely related to corporate integrity. The outcome also demonstrated that negativity is more prominent when there is less judicial progress or market rivalry. The authors argued that strong corporate </w:t>
      </w:r>
      <w:r>
        <w:lastRenderedPageBreak/>
        <w:t>governance can improve the link between internal control effectiveness and corporate integrity.</w:t>
      </w:r>
    </w:p>
    <w:p w:rsidR="00FA1AC4" w:rsidRDefault="00B11CCA">
      <w:pPr>
        <w:spacing w:before="240"/>
      </w:pPr>
      <w:r>
        <w:t>The influence that audit committee characteristics might have on the calibre of financial reporting of listed companies in Nigeria was examined by Tanko and Siyanbola, (2019). The analysis examined 19 oil and gas companies that were listed on the Nigerian Stock Exchange between 2009 and 2018. The data was analyzed using correlational and ex-post facto research techniques, and the results showed that company size and age had a substantial impact on FRQ while AC size, leverage, and gender diversity have no impact on FRQ.</w:t>
      </w:r>
    </w:p>
    <w:p w:rsidR="00FA1AC4" w:rsidRDefault="00B11CCA">
      <w:pPr>
        <w:spacing w:before="240"/>
      </w:pPr>
      <w:r>
        <w:t>The impact of the performance and makeup of audit committee members on creating high-quality financial reports was investigated by Alawaqleh and Almasria, (2021). Internal audit managers, AC members, and finance managers of a few manufacturing companies listed on the Amman Stock Exchange in Jordan each received one of 275 questionnaires. Results from the use of multiple regression to evaluate the theories showed that there is a positive effect AC performance and composition on FRQ.  </w:t>
      </w:r>
    </w:p>
    <w:p w:rsidR="00FA1AC4" w:rsidRDefault="00B11CCA">
      <w:pPr>
        <w:spacing w:before="240"/>
      </w:pPr>
      <w:r>
        <w:t xml:space="preserve">Kurauone, Kong, Sun, and Muzamhindo (2021) conducted research on the effects of IFRS, auditing, and legal enforcement on tax evasion among 37 African nations between 2008 and 2017. For their data analysis, the authors used three stages of least square regression. According to the findings, early IFRS adopters and jurisdictions with strict legal enforcement demonstrate a negative and significant relationship between IFRS and tax evasion, whereas late IFRS adopters and jurisdictions with lax legal enforcement </w:t>
      </w:r>
      <w:r>
        <w:lastRenderedPageBreak/>
        <w:t>demonstrate a statistically insignificant relationship between IFRS and tax evasion. However, the analysis demonstrated that the adoption of IFRS will unquestionably enhance the caliber of financial reporting and reduce tax fraud.</w:t>
      </w:r>
    </w:p>
    <w:p w:rsidR="00FA1AC4" w:rsidRDefault="00B11CCA">
      <w:pPr>
        <w:spacing w:before="240"/>
      </w:pPr>
      <w:r>
        <w:t>In a study published in 2020, Din, Cheng, Ahmad, and Sheikh investigated how internal control and its components, as well as financial reporting quality, are regulated by the expertise of AC female chairmen. From the annual reports of 302 businesses that were listed on the Pakistan Stock Exchange between 2010 and 2016, the study's data was manually taken. The study's findings showed that the quality of male peers' financial reporting is enhanced by the accounting knowledge of AC female chairperson. They also showed that female AC chairpersons with accounting backgrounds enhance internal control mechanisms, including information and communication, the control environment, and control activities. Hasan, Kassim, and Hamid (2020) conducted research on the effects of audit quality and audit committee on FRQ among Malaysian enterprises. A multiple regression analysis was conducted to assess the proposed hypothesis. The findings showed that while AC independence and size have negligible effects on FRQ, financial accounting skill and meeting had considerable effects.</w:t>
      </w:r>
    </w:p>
    <w:p w:rsidR="00FA1AC4" w:rsidRDefault="00B11CCA">
      <w:pPr>
        <w:spacing w:before="240"/>
      </w:pPr>
      <w:r>
        <w:t xml:space="preserve">Chalevas and Koutoupis, (2021) looked at the effect that having the correct individuals on an audit committee could have on the calibre of financial reporting. Data on the Audit Committee's compliance with new audit laws intended to ensure accurate financial reporting was gathered using a standardized questionnaire that was distributed to 138 Public Interest Entities (PIEs) for the 2018 calendar year. The consistency of the financial reporting was employed as the dependent variable, and the makeup and expertise of the AC </w:t>
      </w:r>
      <w:r>
        <w:lastRenderedPageBreak/>
        <w:t>were used as the independent variables. Since it is thought that any fixed financial reporting expenses may be reduced as a percentage of business size, the firm size, which is based on the number of employees, was utilized as a control variable. Results obtained showed that the AC's makeup and expertise contributed to extraordinarily high rates of compliance with the relevant audit laws. Additionally, because the majority of the AC members were chosen from the organizations' boards of directors, they have a large amount of responsibility for guaranteeing the creation of an accurate financial statement. The ACs' compliance with monitoring the internal quality control and risk management systems, however, was found to be low.</w:t>
      </w:r>
    </w:p>
    <w:p w:rsidR="00FA1AC4" w:rsidRDefault="00B11CCA">
      <w:pPr>
        <w:spacing w:before="240"/>
      </w:pPr>
      <w:r>
        <w:t xml:space="preserve">Madugba </w:t>
      </w:r>
      <w:r>
        <w:rPr>
          <w:i/>
        </w:rPr>
        <w:t>et al</w:t>
      </w:r>
      <w:r>
        <w:t>., (2021) studied the function of AC members in ensuring accurate financial statements among Deposit Money Banks in Nigeria. The number of AC members, frequency of AC meetings, size and independence of the AC, and accounting and financial knowledge of the AC members were utilized as the dependent factors, and the quality of financial reporting as determined using the accrual model was used as the independent variable. The acquired data were analyzed using a number of statistical tests, including regression analysis, multi-collinearity tests, normality tests, and descriptive statistics. Only the number of audit committee meetings held in a given year had a substantial impact on the quality of financial reporting, according to the results. Other variables were shown to have a negligible impact.</w:t>
      </w:r>
    </w:p>
    <w:p w:rsidR="00FA1AC4" w:rsidRDefault="00B11CCA">
      <w:pPr>
        <w:spacing w:before="240"/>
      </w:pPr>
      <w:r>
        <w:t xml:space="preserve">Olowookere and Lasisi, (2021) examined the capacities of AC members in carrying out their oversight responsibilities when creating internet financial statements for Nigerian listed financial institutions. The study used a total of 44 financial companies that were </w:t>
      </w:r>
      <w:r>
        <w:lastRenderedPageBreak/>
        <w:t>listed on the Nigeria Stock Exchange. Secondary data retrieved from the non-financial information section of the firms' annual reports obtained between 2014 and 2018 were used to measure the AC member capabilities, while secondary data retrieved from the investor relations sections of the firm's corporate website were used to measure the internet financial reporting transparency. The collected findings were analyzed using standard linear regressions, and a diagnostic was utilized to determine the accuracy of the statistical inferences. The study's findings demonstrated the effectiveness and proficiency of the AC members. The study's findings show that the audit committee's operation and competence have a substantial impact on the accuracy of internet financial reporting, although the independence and size of the AC have a minimal impact. </w:t>
      </w:r>
    </w:p>
    <w:p w:rsidR="00FA1AC4" w:rsidRDefault="00B11CCA">
      <w:pPr>
        <w:spacing w:before="240"/>
      </w:pPr>
      <w:r>
        <w:t>Madhurangi and Abeygunasekera (2021), investigated the impact of AC efficacy and audit quality on FRQ in Sri Lanka's banking sector between 2014 and 2018. The study employed secondary data on 30 licensed commercial banks and licensed specialized banks that were gathered from the Colombo Stock Exchange website. According to the findings, the size of the AC, the frequency of meetings, and the level of financial and accounting knowledge had no discernible impact on FRQ. However, audit quality in terms of audit fees does not demonstrate a significant link on the level of financial reporting quality, although audit firm size does.</w:t>
      </w:r>
    </w:p>
    <w:p w:rsidR="00FA1AC4" w:rsidRDefault="00B11CCA">
      <w:pPr>
        <w:spacing w:before="240" w:after="240"/>
      </w:pPr>
      <w:r>
        <w:t xml:space="preserve">Ghafran and O'Sullivan (2017) carried out research on the effect of audit committee experience on audit quality of UK audit fees between 2007 and 2010, secondary data from 991 annual reports of FTSE350 non-financial companies were used. After that, the association between the study's dependent and independent variables was determined using </w:t>
      </w:r>
      <w:r>
        <w:lastRenderedPageBreak/>
        <w:t>two-way Pearson correlations. Their findings showed that non-accounting skills are what make an audit committee effective. They also noticed that a company's difficulties have an impact on the quality of the audit. The authors held the opinion that the audit committee's financial competence should be divided between accountants and non-accountants.</w:t>
      </w:r>
    </w:p>
    <w:p w:rsidR="00FA1AC4" w:rsidRDefault="00B11CCA">
      <w:pPr>
        <w:pStyle w:val="Heading1"/>
        <w:numPr>
          <w:ilvl w:val="1"/>
          <w:numId w:val="12"/>
        </w:numPr>
        <w:spacing w:before="0" w:line="480" w:lineRule="auto"/>
        <w:ind w:left="709"/>
        <w:jc w:val="both"/>
      </w:pPr>
      <w:bookmarkStart w:id="44" w:name="_Toc112342361"/>
      <w:r>
        <w:t>Gap in Literature</w:t>
      </w:r>
      <w:bookmarkEnd w:id="44"/>
    </w:p>
    <w:p w:rsidR="00FA1AC4" w:rsidRDefault="00B11CCA">
      <w:r>
        <w:rPr>
          <w:color w:val="000000"/>
        </w:rPr>
        <w:t xml:space="preserve">Following the advent of financial scandals in numerous nations throughout the world, attempts were made to explore the audit committee's role in enhancing the quality of financial reporting, according to corporate governance literature. As of now, empirical findings are not conclusive enough to address the audit committee's meeting frequency, representation of women, inclusion of non-executive members, and membership size. </w:t>
      </w:r>
      <w:r>
        <w:t xml:space="preserve">The results reported in existing literature have been contradictory as different authors have different views about the effect of audit committee characteristics and internal control components on financial reporting quality. Additionally, case studies from the manufacturing and banking sectors have been evaluated in previous publications, but only few have examined how the audit committee's internal controls affect the accurate financial reporting of listed service organizations in Nigeria. The service sector has been overlooked in both economic theory and applied economic research due to the belief that services are non-productive. The oil industry is a major source of cash for the Nigerian economy as a whole. There is little to no literature that looks at how internal control elements and audit committee characteristics affect financial reporting effectiveness. Past literatures have only treated their effect solely on the effective financial reporting. </w:t>
      </w:r>
      <w:r>
        <w:rPr>
          <w:color w:val="000000"/>
        </w:rPr>
        <w:t>Thus,</w:t>
      </w:r>
      <w:r>
        <w:rPr>
          <w:color w:val="FF0000"/>
        </w:rPr>
        <w:t xml:space="preserve"> </w:t>
      </w:r>
      <w:r>
        <w:t xml:space="preserve">this study intends to bridge this gap. </w:t>
      </w:r>
    </w:p>
    <w:p w:rsidR="00FA1AC4" w:rsidRDefault="00FA1AC4">
      <w:pPr>
        <w:spacing w:after="160" w:line="259" w:lineRule="auto"/>
        <w:jc w:val="left"/>
        <w:rPr>
          <w:rFonts w:cs="SimSun"/>
          <w:b/>
          <w:sz w:val="32"/>
          <w:szCs w:val="32"/>
        </w:rPr>
      </w:pPr>
    </w:p>
    <w:p w:rsidR="00FA1AC4" w:rsidRDefault="00B11CCA">
      <w:pPr>
        <w:pStyle w:val="Heading1"/>
        <w:spacing w:before="0" w:line="480" w:lineRule="auto"/>
      </w:pPr>
      <w:bookmarkStart w:id="45" w:name="_Toc112342362"/>
      <w:r>
        <w:t>CHAPTER THREE</w:t>
      </w:r>
      <w:bookmarkEnd w:id="45"/>
    </w:p>
    <w:p w:rsidR="00FA1AC4" w:rsidRDefault="00B11CCA">
      <w:pPr>
        <w:pStyle w:val="Heading1"/>
      </w:pPr>
      <w:bookmarkStart w:id="46" w:name="_Toc112342363"/>
      <w:r>
        <w:t>METHODOLOGY</w:t>
      </w:r>
      <w:bookmarkEnd w:id="46"/>
    </w:p>
    <w:p w:rsidR="00FA1AC4" w:rsidRDefault="00FA1AC4"/>
    <w:p w:rsidR="00FA1AC4" w:rsidRDefault="00B11CCA">
      <w:pPr>
        <w:pStyle w:val="Heading2"/>
        <w:ind w:left="426"/>
        <w:rPr>
          <w:rFonts w:eastAsia="Calibri"/>
          <w:shd w:val="clear" w:color="auto" w:fill="FFFFFF"/>
        </w:rPr>
      </w:pPr>
      <w:bookmarkStart w:id="47" w:name="_Toc112342364"/>
      <w:r>
        <w:rPr>
          <w:rFonts w:eastAsia="Calibri"/>
          <w:shd w:val="clear" w:color="auto" w:fill="FFFFFF"/>
        </w:rPr>
        <w:t>.</w:t>
      </w:r>
      <w:r>
        <w:rPr>
          <w:rFonts w:eastAsia="Calibri"/>
          <w:shd w:val="clear" w:color="auto" w:fill="FFFFFF"/>
        </w:rPr>
        <w:tab/>
        <w:t>Introduction</w:t>
      </w:r>
      <w:bookmarkEnd w:id="47"/>
    </w:p>
    <w:p w:rsidR="00FA1AC4" w:rsidRDefault="00B11CCA">
      <w:pPr>
        <w:spacing w:after="240"/>
        <w:rPr>
          <w:rFonts w:eastAsia="Calibri"/>
          <w:shd w:val="clear" w:color="auto" w:fill="FFFFFF"/>
        </w:rPr>
      </w:pPr>
      <w:r>
        <w:rPr>
          <w:rFonts w:eastAsia="Calibri"/>
          <w:shd w:val="clear" w:color="auto" w:fill="FFFFFF"/>
        </w:rPr>
        <w:t>The research design and methodology are presented in this chapter. The research technique aids in explaining the manner in which the research study was carried out and the manner in which the research challenge was identified. Additionally, it aids in describing the data that were gathered, the procedures that were employed, and the strategy that was chosen for data analysis.</w:t>
      </w:r>
    </w:p>
    <w:p w:rsidR="00FA1AC4" w:rsidRDefault="00B11CCA">
      <w:pPr>
        <w:pStyle w:val="Heading2"/>
        <w:numPr>
          <w:ilvl w:val="1"/>
          <w:numId w:val="23"/>
        </w:numPr>
        <w:ind w:left="709"/>
        <w:rPr>
          <w:rFonts w:eastAsia="Calibri"/>
          <w:shd w:val="clear" w:color="auto" w:fill="FFFFFF"/>
        </w:rPr>
      </w:pPr>
      <w:bookmarkStart w:id="48" w:name="_Toc112342365"/>
      <w:r>
        <w:rPr>
          <w:rFonts w:eastAsia="Calibri"/>
          <w:shd w:val="clear" w:color="auto" w:fill="FFFFFF"/>
        </w:rPr>
        <w:t>Research Design</w:t>
      </w:r>
      <w:bookmarkEnd w:id="48"/>
    </w:p>
    <w:p w:rsidR="00FA1AC4" w:rsidRDefault="00B11CCA">
      <w:pPr>
        <w:spacing w:after="240"/>
      </w:pPr>
      <w:r>
        <w:rPr>
          <w:rFonts w:eastAsia="Calibri"/>
          <w:shd w:val="clear" w:color="auto" w:fill="FFFFFF"/>
        </w:rPr>
        <w:t>The study used a mixed-methods approach based on the dominant positivistic or quantitative paradigm and utilized quantitative data and samples. The positivist paradigm is focused with testing hypotheses, and the data are extremely precise and particular. The research is conducted in an artificial setting with a high reliability, but validity may be low</w:t>
      </w:r>
      <w:r>
        <w:t xml:space="preserve">. While qualitative research is the phenomenological paradigm or post positivism participatory action frameworks. Hussey and Hussey, (2003) stated that; </w:t>
      </w:r>
      <w:r>
        <w:rPr>
          <w:i/>
        </w:rPr>
        <w:t xml:space="preserve">“The goal of the phenomenological paradigm is to comprehend human behaviour from the perspective of the participant”. </w:t>
      </w:r>
    </w:p>
    <w:p w:rsidR="00FA1AC4" w:rsidRDefault="00B11CCA">
      <w:pPr>
        <w:spacing w:after="240"/>
        <w:rPr>
          <w:rFonts w:eastAsia="Calibri"/>
          <w:shd w:val="clear" w:color="auto" w:fill="FFFFFF"/>
        </w:rPr>
      </w:pPr>
      <w:r>
        <w:rPr>
          <w:rFonts w:eastAsia="Calibri"/>
          <w:shd w:val="clear" w:color="auto" w:fill="FFFFFF"/>
        </w:rPr>
        <w:t xml:space="preserve">It emphasizes the importance of internal control systems and audit committees for accurate financial reporting by listed service companies in Nigeria. In other words, it will be built to </w:t>
      </w:r>
      <w:r>
        <w:rPr>
          <w:rFonts w:eastAsia="Calibri"/>
          <w:shd w:val="clear" w:color="auto" w:fill="FFFFFF"/>
        </w:rPr>
        <w:lastRenderedPageBreak/>
        <w:t>demonstrate the many techniques and procedures that will be used to gather the crucial data for this research. Questionnaires and annual reports of listed service companies were used to collect enough precise data about the importance of the audit committee and internal control system on successful financial reporting of listed service firms in Nigeria.</w:t>
      </w:r>
    </w:p>
    <w:p w:rsidR="00FA1AC4" w:rsidRDefault="00B11CCA">
      <w:pPr>
        <w:pStyle w:val="Heading2"/>
        <w:numPr>
          <w:ilvl w:val="1"/>
          <w:numId w:val="23"/>
        </w:numPr>
        <w:ind w:left="709"/>
        <w:rPr>
          <w:rFonts w:eastAsia="Calibri"/>
          <w:shd w:val="clear" w:color="auto" w:fill="FFFFFF"/>
        </w:rPr>
      </w:pPr>
      <w:bookmarkStart w:id="49" w:name="_Toc112342366"/>
      <w:r>
        <w:rPr>
          <w:rFonts w:eastAsia="Calibri"/>
          <w:shd w:val="clear" w:color="auto" w:fill="FFFFFF"/>
        </w:rPr>
        <w:t>Area of Study</w:t>
      </w:r>
      <w:bookmarkEnd w:id="49"/>
    </w:p>
    <w:p w:rsidR="00FA1AC4" w:rsidRDefault="00B11CCA">
      <w:pPr>
        <w:spacing w:after="240"/>
        <w:rPr>
          <w:rFonts w:eastAsia="Calibri"/>
          <w:shd w:val="clear" w:color="auto" w:fill="FFFFFF"/>
        </w:rPr>
      </w:pPr>
      <w:r>
        <w:rPr>
          <w:rFonts w:eastAsia="Calibri"/>
          <w:shd w:val="clear" w:color="auto" w:fill="FFFFFF"/>
        </w:rPr>
        <w:t>This study focused on the effect of audit committee and internal control on effective financial reporting of listed service firms in Nigeria. The annual reports of service firms listed on Nigerian Stock Exchange from 2010 to 2020 and stakeholders of such firms as respondents of the survey questionnaire statement.</w:t>
      </w:r>
    </w:p>
    <w:p w:rsidR="00FA1AC4" w:rsidRDefault="00B11CCA">
      <w:pPr>
        <w:pStyle w:val="Heading2"/>
        <w:numPr>
          <w:ilvl w:val="1"/>
          <w:numId w:val="23"/>
        </w:numPr>
        <w:ind w:left="709"/>
        <w:rPr>
          <w:rFonts w:eastAsia="Calibri"/>
          <w:shd w:val="clear" w:color="auto" w:fill="FFFFFF"/>
        </w:rPr>
      </w:pPr>
      <w:bookmarkStart w:id="50" w:name="_Toc112342367"/>
      <w:r>
        <w:rPr>
          <w:rFonts w:eastAsia="Calibri"/>
          <w:shd w:val="clear" w:color="auto" w:fill="FFFFFF"/>
        </w:rPr>
        <w:t>Population of the Study</w:t>
      </w:r>
      <w:bookmarkEnd w:id="50"/>
    </w:p>
    <w:p w:rsidR="00FA1AC4" w:rsidRDefault="00B11CCA">
      <w:pPr>
        <w:spacing w:after="240"/>
        <w:rPr>
          <w:rFonts w:eastAsia="Calibri"/>
          <w:shd w:val="clear" w:color="auto" w:fill="FFFFFF"/>
        </w:rPr>
      </w:pPr>
      <w:r>
        <w:rPr>
          <w:rFonts w:eastAsia="Calibri"/>
          <w:shd w:val="clear" w:color="auto" w:fill="FFFFFF"/>
        </w:rPr>
        <w:t>Seventy-four (74) listed service companies in Nigeria whose shares are actively traded on the floors of the Nigerian Stock Exchange make up the study's population for the audit committee characteristics (See Appendix I). The population for the internal control components consist of two hundred and fifty 250 survey questionnaire statement.</w:t>
      </w:r>
    </w:p>
    <w:p w:rsidR="00FA1AC4" w:rsidRDefault="00B11CCA">
      <w:pPr>
        <w:pStyle w:val="Heading2"/>
        <w:numPr>
          <w:ilvl w:val="1"/>
          <w:numId w:val="23"/>
        </w:numPr>
        <w:ind w:left="709"/>
        <w:rPr>
          <w:rFonts w:eastAsia="Calibri"/>
          <w:shd w:val="clear" w:color="auto" w:fill="FFFFFF"/>
        </w:rPr>
      </w:pPr>
      <w:bookmarkStart w:id="51" w:name="_Toc112342368"/>
      <w:r>
        <w:rPr>
          <w:rFonts w:eastAsia="Calibri"/>
          <w:shd w:val="clear" w:color="auto" w:fill="FFFFFF"/>
        </w:rPr>
        <w:t>Sample Size Determination</w:t>
      </w:r>
      <w:bookmarkEnd w:id="51"/>
    </w:p>
    <w:p w:rsidR="00FA1AC4" w:rsidRDefault="00B11CCA">
      <w:pPr>
        <w:spacing w:after="240"/>
        <w:rPr>
          <w:rFonts w:eastAsia="Calibri"/>
        </w:rPr>
      </w:pPr>
      <w:r>
        <w:rPr>
          <w:rFonts w:eastAsia="Calibri"/>
          <w:shd w:val="clear" w:color="auto" w:fill="FFFFFF"/>
        </w:rPr>
        <w:t xml:space="preserve">The study used multi-stage (purposive, </w:t>
      </w:r>
      <w:r>
        <w:rPr>
          <w:rFonts w:eastAsia="Calibri"/>
        </w:rPr>
        <w:t>stratified and stratified</w:t>
      </w:r>
      <w:r>
        <w:rPr>
          <w:rFonts w:eastAsia="Calibri"/>
          <w:shd w:val="clear" w:color="auto" w:fill="FFFFFF"/>
        </w:rPr>
        <w:t>) sampling technique to select fifty (50) of the seventy-four (74) listed service firms. Members were also purposefully chosen for the surveys based on how well they could analyze and comprehend the study's main issue (see Appendix II). One hundred and eighty nine (189) of two hundred and fifty (250) survey questionnaire statement with full information constitute the size of the internal control components.</w:t>
      </w:r>
    </w:p>
    <w:p w:rsidR="00FA1AC4" w:rsidRDefault="00B11CCA">
      <w:pPr>
        <w:pStyle w:val="Heading2"/>
        <w:numPr>
          <w:ilvl w:val="1"/>
          <w:numId w:val="23"/>
        </w:numPr>
        <w:ind w:left="709"/>
        <w:rPr>
          <w:rFonts w:eastAsia="Calibri"/>
          <w:shd w:val="clear" w:color="auto" w:fill="FFFFFF"/>
        </w:rPr>
      </w:pPr>
      <w:bookmarkStart w:id="52" w:name="_Toc112342369"/>
      <w:r>
        <w:rPr>
          <w:rFonts w:eastAsia="Calibri"/>
          <w:shd w:val="clear" w:color="auto" w:fill="FFFFFF"/>
        </w:rPr>
        <w:lastRenderedPageBreak/>
        <w:t>Sampling Techniques</w:t>
      </w:r>
      <w:bookmarkEnd w:id="52"/>
    </w:p>
    <w:p w:rsidR="00FA1AC4" w:rsidRDefault="00B11CCA">
      <w:pPr>
        <w:spacing w:after="240"/>
        <w:rPr>
          <w:rFonts w:eastAsia="Calibri"/>
        </w:rPr>
      </w:pPr>
      <w:r>
        <w:rPr>
          <w:rFonts w:eastAsia="Calibri"/>
          <w:shd w:val="clear" w:color="auto" w:fill="FFFFFF"/>
        </w:rPr>
        <w:t>A multi-stage sampling technique which entails both Probability (</w:t>
      </w:r>
      <w:r>
        <w:rPr>
          <w:rFonts w:eastAsia="Calibri"/>
        </w:rPr>
        <w:t>stratified and stratified</w:t>
      </w:r>
      <w:r>
        <w:rPr>
          <w:rFonts w:eastAsia="Calibri"/>
          <w:shd w:val="clear" w:color="auto" w:fill="FFFFFF"/>
        </w:rPr>
        <w:t xml:space="preserve">) and non-probability </w:t>
      </w:r>
      <w:r>
        <w:rPr>
          <w:rFonts w:eastAsia="Calibri"/>
        </w:rPr>
        <w:t>(purposive) sampling method was used. The study purposefully select listed service firms. The service firms were stratified into sub sectors and their annual reports with accurate and full information was selected having given all the firms equal chances with the use of stratified method. Members were also purposefully chosen for the surveys based on how well they could analyze and comprehend the study's problem. The stakeholders were taken into account during sampling, and there was equitable representation from independent external auditors. Eleven years have passed between the research periods (2010-2020).</w:t>
      </w:r>
    </w:p>
    <w:p w:rsidR="00FA1AC4" w:rsidRDefault="00B11CCA">
      <w:pPr>
        <w:pStyle w:val="Heading2"/>
        <w:numPr>
          <w:ilvl w:val="1"/>
          <w:numId w:val="23"/>
        </w:numPr>
        <w:ind w:left="709"/>
        <w:rPr>
          <w:rFonts w:eastAsia="Calibri"/>
          <w:shd w:val="clear" w:color="auto" w:fill="FFFFFF"/>
        </w:rPr>
      </w:pPr>
      <w:bookmarkStart w:id="53" w:name="_Toc112342370"/>
      <w:r>
        <w:rPr>
          <w:rFonts w:eastAsia="Calibri"/>
          <w:shd w:val="clear" w:color="auto" w:fill="FFFFFF"/>
        </w:rPr>
        <w:t>Sources of Data</w:t>
      </w:r>
      <w:bookmarkEnd w:id="53"/>
    </w:p>
    <w:p w:rsidR="00FA1AC4" w:rsidRDefault="00B11CCA">
      <w:pPr>
        <w:spacing w:after="240"/>
        <w:rPr>
          <w:rFonts w:eastAsia="Calibri"/>
        </w:rPr>
      </w:pPr>
      <w:r>
        <w:rPr>
          <w:rFonts w:eastAsia="Calibri"/>
        </w:rPr>
        <w:t xml:space="preserve">The data for this study were collected using both primary and secondary methods of data collections. </w:t>
      </w:r>
      <w:r>
        <w:rPr>
          <w:rFonts w:eastAsia="Calibri"/>
          <w:shd w:val="clear" w:color="auto" w:fill="FFFFFF"/>
        </w:rPr>
        <w:t>For the primary data as survey of the independent external auditors and stakeholders’ groups of the listed service companies in the Nigerian Stock exchange conducted through email attachments. The survey questionnaire was designed using</w:t>
      </w:r>
      <w:r>
        <w:t xml:space="preserve"> Likert Scale system of statements with 1-5 options of Strongly-agree, Agree, No-view, Disagree and Strongly-disagree.</w:t>
      </w:r>
      <w:r>
        <w:rPr>
          <w:rFonts w:eastAsia="Calibri"/>
          <w:color w:val="FF0000"/>
          <w:shd w:val="clear" w:color="auto" w:fill="FFFFFF"/>
        </w:rPr>
        <w:t xml:space="preserve"> </w:t>
      </w:r>
      <w:r>
        <w:rPr>
          <w:rFonts w:eastAsia="Calibri"/>
          <w:shd w:val="clear" w:color="auto" w:fill="FFFFFF"/>
        </w:rPr>
        <w:t>For the Secondary Data relating to the audit committee were collected from t</w:t>
      </w:r>
      <w:r>
        <w:rPr>
          <w:rFonts w:eastAsia="Calibri"/>
        </w:rPr>
        <w:t xml:space="preserve">he annual reports of listed service firms with accurate and full information as required for the study. The primary and secondary data used in this research is available in Appendix III. </w:t>
      </w:r>
    </w:p>
    <w:p w:rsidR="00FA1AC4" w:rsidRDefault="00FA1AC4">
      <w:pPr>
        <w:spacing w:after="240"/>
        <w:rPr>
          <w:rFonts w:eastAsia="Calibri"/>
        </w:rPr>
      </w:pPr>
    </w:p>
    <w:p w:rsidR="00FA1AC4" w:rsidRDefault="00B11CCA">
      <w:pPr>
        <w:pStyle w:val="Heading2"/>
        <w:numPr>
          <w:ilvl w:val="1"/>
          <w:numId w:val="23"/>
        </w:numPr>
        <w:ind w:left="706"/>
        <w:rPr>
          <w:rFonts w:eastAsia="Calibri"/>
        </w:rPr>
      </w:pPr>
      <w:bookmarkStart w:id="54" w:name="_Toc112342371"/>
      <w:r>
        <w:rPr>
          <w:rFonts w:eastAsia="Calibri"/>
        </w:rPr>
        <w:lastRenderedPageBreak/>
        <w:t>Measurement of Variables</w:t>
      </w:r>
      <w:bookmarkEnd w:id="54"/>
    </w:p>
    <w:p w:rsidR="00FA1AC4" w:rsidRDefault="00B11CCA">
      <w:pPr>
        <w:rPr>
          <w:rFonts w:eastAsia="Calibri"/>
          <w:shd w:val="clear" w:color="auto" w:fill="FFFFFF"/>
        </w:rPr>
      </w:pPr>
      <w:r>
        <w:rPr>
          <w:rFonts w:eastAsia="Calibri"/>
          <w:shd w:val="clear" w:color="auto" w:fill="FFFFFF"/>
        </w:rPr>
        <w:t>Table 3.1: Measurement of Variables</w:t>
      </w:r>
    </w:p>
    <w:tbl>
      <w:tblPr>
        <w:tblStyle w:val="TableGrid"/>
        <w:tblW w:w="0" w:type="auto"/>
        <w:tblLook w:val="04A0" w:firstRow="1" w:lastRow="0" w:firstColumn="1" w:lastColumn="0" w:noHBand="0" w:noVBand="1"/>
      </w:tblPr>
      <w:tblGrid>
        <w:gridCol w:w="559"/>
        <w:gridCol w:w="1634"/>
        <w:gridCol w:w="901"/>
        <w:gridCol w:w="3763"/>
        <w:gridCol w:w="2169"/>
      </w:tblGrid>
      <w:tr w:rsidR="00FA1AC4">
        <w:tc>
          <w:tcPr>
            <w:tcW w:w="559" w:type="dxa"/>
          </w:tcPr>
          <w:p w:rsidR="00FA1AC4" w:rsidRDefault="00B11CCA">
            <w:pPr>
              <w:spacing w:line="360" w:lineRule="auto"/>
              <w:rPr>
                <w:sz w:val="22"/>
                <w:szCs w:val="22"/>
              </w:rPr>
            </w:pPr>
            <w:r>
              <w:rPr>
                <w:sz w:val="22"/>
                <w:szCs w:val="22"/>
              </w:rPr>
              <w:t>S/N</w:t>
            </w:r>
          </w:p>
        </w:tc>
        <w:tc>
          <w:tcPr>
            <w:tcW w:w="1634" w:type="dxa"/>
          </w:tcPr>
          <w:p w:rsidR="00FA1AC4" w:rsidRDefault="00B11CCA">
            <w:pPr>
              <w:spacing w:line="360" w:lineRule="auto"/>
              <w:rPr>
                <w:sz w:val="22"/>
                <w:szCs w:val="22"/>
              </w:rPr>
            </w:pPr>
            <w:r>
              <w:rPr>
                <w:sz w:val="22"/>
                <w:szCs w:val="22"/>
              </w:rPr>
              <w:t xml:space="preserve">Variables </w:t>
            </w:r>
          </w:p>
        </w:tc>
        <w:tc>
          <w:tcPr>
            <w:tcW w:w="901" w:type="dxa"/>
          </w:tcPr>
          <w:p w:rsidR="00FA1AC4" w:rsidRDefault="00B11CCA">
            <w:pPr>
              <w:spacing w:line="360" w:lineRule="auto"/>
              <w:rPr>
                <w:sz w:val="22"/>
                <w:szCs w:val="22"/>
              </w:rPr>
            </w:pPr>
            <w:r>
              <w:rPr>
                <w:sz w:val="22"/>
                <w:szCs w:val="22"/>
              </w:rPr>
              <w:t>Symbol</w:t>
            </w:r>
          </w:p>
        </w:tc>
        <w:tc>
          <w:tcPr>
            <w:tcW w:w="4011" w:type="dxa"/>
          </w:tcPr>
          <w:p w:rsidR="00FA1AC4" w:rsidRDefault="00B11CCA">
            <w:pPr>
              <w:spacing w:line="360" w:lineRule="auto"/>
              <w:rPr>
                <w:sz w:val="22"/>
                <w:szCs w:val="22"/>
              </w:rPr>
            </w:pPr>
            <w:r>
              <w:rPr>
                <w:sz w:val="22"/>
                <w:szCs w:val="22"/>
              </w:rPr>
              <w:t>Measurement</w:t>
            </w:r>
          </w:p>
        </w:tc>
        <w:tc>
          <w:tcPr>
            <w:tcW w:w="2245" w:type="dxa"/>
          </w:tcPr>
          <w:p w:rsidR="00FA1AC4" w:rsidRDefault="00B11CCA">
            <w:pPr>
              <w:spacing w:line="360" w:lineRule="auto"/>
              <w:rPr>
                <w:sz w:val="22"/>
                <w:szCs w:val="22"/>
              </w:rPr>
            </w:pPr>
            <w:r>
              <w:rPr>
                <w:sz w:val="22"/>
                <w:szCs w:val="22"/>
              </w:rPr>
              <w:t>Source</w:t>
            </w:r>
          </w:p>
        </w:tc>
      </w:tr>
      <w:tr w:rsidR="00FA1AC4">
        <w:tc>
          <w:tcPr>
            <w:tcW w:w="559" w:type="dxa"/>
          </w:tcPr>
          <w:p w:rsidR="00FA1AC4" w:rsidRDefault="00B11CCA">
            <w:pPr>
              <w:spacing w:line="360" w:lineRule="auto"/>
              <w:rPr>
                <w:sz w:val="22"/>
                <w:szCs w:val="22"/>
              </w:rPr>
            </w:pPr>
            <w:r>
              <w:rPr>
                <w:sz w:val="22"/>
                <w:szCs w:val="22"/>
              </w:rPr>
              <w:t>1.</w:t>
            </w:r>
          </w:p>
        </w:tc>
        <w:tc>
          <w:tcPr>
            <w:tcW w:w="1634" w:type="dxa"/>
          </w:tcPr>
          <w:p w:rsidR="00FA1AC4" w:rsidRDefault="00B11CCA">
            <w:pPr>
              <w:spacing w:line="360" w:lineRule="auto"/>
              <w:rPr>
                <w:sz w:val="22"/>
                <w:szCs w:val="22"/>
              </w:rPr>
            </w:pPr>
            <w:r>
              <w:rPr>
                <w:sz w:val="22"/>
                <w:szCs w:val="22"/>
              </w:rPr>
              <w:t>Effective Financial Reporting</w:t>
            </w:r>
          </w:p>
        </w:tc>
        <w:tc>
          <w:tcPr>
            <w:tcW w:w="901" w:type="dxa"/>
          </w:tcPr>
          <w:p w:rsidR="00FA1AC4" w:rsidRDefault="00B11CCA">
            <w:pPr>
              <w:spacing w:line="360" w:lineRule="auto"/>
              <w:rPr>
                <w:sz w:val="22"/>
                <w:szCs w:val="22"/>
              </w:rPr>
            </w:pPr>
            <w:r>
              <w:rPr>
                <w:sz w:val="22"/>
                <w:szCs w:val="22"/>
              </w:rPr>
              <w:t>EFR</w:t>
            </w:r>
          </w:p>
        </w:tc>
        <w:tc>
          <w:tcPr>
            <w:tcW w:w="4011" w:type="dxa"/>
          </w:tcPr>
          <w:p w:rsidR="00FA1AC4" w:rsidRDefault="00B11CCA">
            <w:pPr>
              <w:spacing w:line="360" w:lineRule="auto"/>
              <w:rPr>
                <w:rFonts w:eastAsia="Calibri"/>
                <w:sz w:val="22"/>
                <w:szCs w:val="22"/>
              </w:rPr>
            </w:pPr>
            <w:r>
              <w:rPr>
                <w:rFonts w:eastAsia="Calibri"/>
                <w:sz w:val="22"/>
                <w:szCs w:val="22"/>
              </w:rPr>
              <w:t>Accruals</w:t>
            </w:r>
          </w:p>
        </w:tc>
        <w:tc>
          <w:tcPr>
            <w:tcW w:w="2245" w:type="dxa"/>
          </w:tcPr>
          <w:p w:rsidR="00FA1AC4" w:rsidRDefault="00B11CCA">
            <w:pPr>
              <w:spacing w:line="360" w:lineRule="auto"/>
              <w:rPr>
                <w:sz w:val="22"/>
                <w:szCs w:val="22"/>
              </w:rPr>
            </w:pPr>
            <w:r>
              <w:fldChar w:fldCharType="begin"/>
            </w:r>
            <w:r>
              <w:instrText>ADDIN CSL_CITATION {"citationItems":[{"id":"ITEM-1","itemData":{"DOI":"10.18488/journal.aefr.2021.112.104.117","author":[{"dropping-particle":"","family":"Madugba","given":"Joseph","non-dropping-particle":"","parse-names":false,"suffix":""},{"dropping-particle":"","family":"Nwanji","given":"Tony Ikechukwu","non-dropping-particle":"","parse-names":false,"suffix":""},{"dropping-particle":"","family":"Faye","given":"Sainey","non-dropping-particle":"","parse-names":false,"suffix":""},{"dropping-particle":"","family":"Ben-caleb","given":"Egbide","non-dropping-particle":"","parse-names":false,"suffix":""}],"container-title":"Asian Economic and Financial Review","id":"ITEM-1","issue":"2","issued":{"date-parts":[["2021"]]},"page":"2021","title":"Audit Committee Quality and Financial Reporting in Deposit Money Banks in Nigeria","type":"article-journal","volume":"11"},"uris":["http://www.mendeley.com/documents/?uuid=12cce2d1-141d-408a-a217-e8f233238de5"]}],"mendeley":{"formattedCitation":"(Madugba et al., 2021)","manualFormatting":"Madugba et al., (2021)","plainTextFormattedCitation":"(Madugba et al., 2021)","previouslyFormattedCitation":"(Madugba et al., 2021)"},"properties":{"noteIndex":0},"schema":"https://github.com/citation-style-language/schema/raw/master/csl-citation.json"}</w:instrText>
            </w:r>
            <w:r>
              <w:fldChar w:fldCharType="separate"/>
            </w:r>
            <w:r>
              <w:rPr>
                <w:noProof/>
              </w:rPr>
              <w:t xml:space="preserve">Madugba </w:t>
            </w:r>
            <w:r>
              <w:rPr>
                <w:i/>
                <w:noProof/>
              </w:rPr>
              <w:t>et al</w:t>
            </w:r>
            <w:r>
              <w:rPr>
                <w:noProof/>
              </w:rPr>
              <w:t>., (2021)</w:t>
            </w:r>
            <w:r>
              <w:fldChar w:fldCharType="end"/>
            </w:r>
          </w:p>
        </w:tc>
      </w:tr>
      <w:tr w:rsidR="00FA1AC4">
        <w:tc>
          <w:tcPr>
            <w:tcW w:w="559" w:type="dxa"/>
          </w:tcPr>
          <w:p w:rsidR="00FA1AC4" w:rsidRDefault="00B11CCA">
            <w:pPr>
              <w:spacing w:line="360" w:lineRule="auto"/>
              <w:rPr>
                <w:sz w:val="22"/>
                <w:szCs w:val="22"/>
              </w:rPr>
            </w:pPr>
            <w:r>
              <w:rPr>
                <w:sz w:val="22"/>
                <w:szCs w:val="22"/>
              </w:rPr>
              <w:t>2.</w:t>
            </w:r>
          </w:p>
        </w:tc>
        <w:tc>
          <w:tcPr>
            <w:tcW w:w="1634" w:type="dxa"/>
          </w:tcPr>
          <w:p w:rsidR="00FA1AC4" w:rsidRDefault="00B11CCA">
            <w:pPr>
              <w:spacing w:line="360" w:lineRule="auto"/>
              <w:rPr>
                <w:sz w:val="22"/>
                <w:szCs w:val="22"/>
              </w:rPr>
            </w:pPr>
            <w:r>
              <w:rPr>
                <w:sz w:val="22"/>
                <w:szCs w:val="22"/>
              </w:rPr>
              <w:t>Audit Committee Size</w:t>
            </w:r>
          </w:p>
        </w:tc>
        <w:tc>
          <w:tcPr>
            <w:tcW w:w="901" w:type="dxa"/>
          </w:tcPr>
          <w:p w:rsidR="00FA1AC4" w:rsidRDefault="00B11CCA">
            <w:pPr>
              <w:spacing w:line="360" w:lineRule="auto"/>
              <w:rPr>
                <w:sz w:val="22"/>
                <w:szCs w:val="22"/>
              </w:rPr>
            </w:pPr>
            <w:r>
              <w:rPr>
                <w:sz w:val="22"/>
                <w:szCs w:val="22"/>
              </w:rPr>
              <w:t>ACS</w:t>
            </w:r>
          </w:p>
        </w:tc>
        <w:tc>
          <w:tcPr>
            <w:tcW w:w="4011" w:type="dxa"/>
          </w:tcPr>
          <w:p w:rsidR="00FA1AC4" w:rsidRDefault="00B11CCA">
            <w:pPr>
              <w:spacing w:line="360" w:lineRule="auto"/>
              <w:rPr>
                <w:sz w:val="22"/>
                <w:szCs w:val="22"/>
              </w:rPr>
            </w:pPr>
            <w:r>
              <w:rPr>
                <w:rFonts w:eastAsia="Calibri"/>
                <w:sz w:val="22"/>
                <w:szCs w:val="22"/>
              </w:rPr>
              <w:t>Total number of audit committee members in a particular year</w:t>
            </w:r>
          </w:p>
        </w:tc>
        <w:tc>
          <w:tcPr>
            <w:tcW w:w="2245" w:type="dxa"/>
          </w:tcPr>
          <w:p w:rsidR="00FA1AC4" w:rsidRDefault="00B11CCA">
            <w:pPr>
              <w:spacing w:line="360" w:lineRule="auto"/>
              <w:rPr>
                <w:sz w:val="22"/>
                <w:szCs w:val="22"/>
              </w:rPr>
            </w:pPr>
            <w:r>
              <w:fldChar w:fldCharType="begin"/>
            </w:r>
            <w:r>
              <w:instrText>ADDIN CSL_CITATION {"citationItems":[{"id":"ITEM-1","itemData":{"DOI":"10.1016/j.sbspro.2015.01.415","ISSN":"18770428","abstract":"Earnings management have been considered as one of the methods used by the business leaders to mislead their stakeholders to report unrealistic numbers, despite the various check and balances (e.g. corporate governance code) on the process. Nigeria experienced two corporate governance codes issued by SEC, code 2003 and code 2011. This study tends to measure the effectiveness of these two codes and make comparisons using audit committee and audit quality against earnings management in the pre- and post-code 2011.","author":[{"dropping-particle":"","family":"Miko","given":"Nuraddeen Usman","non-dropping-particle":"","parse-names":false,"suffix":""},{"dropping-particle":"","family":"Kamardin","given":"Hasnah","non-dropping-particle":"","parse-names":false,"suffix":""}],"container-title":"Procedia - Social and Behavioral Sciences","id":"ITEM-1","issued":{"date-parts":[["2015"]]},"page":"651-657","title":"Impact of Audit Committee and Audit Quality on Preventing Earnings Management in the Pre- and Post- Nigerian Corporate Governance Code 2011","type":"article-journal","volume":"172"},"uris":["http://www.mendeley.com/documents/?uuid=7d2cdd48-f59e-42d7-8ae4-4021640eb47d"]}],"mendeley":{"formattedCitation":"(Miko &amp; Kamardin, 2015)","manualFormatting":"(Miko and Kamardin, 2015)","plainTextFormattedCitation":"(Miko &amp; Kamardin, 2015)","previouslyFormattedCitation":"(Miko &amp; Kamardin, 2015)"},"properties":{"noteIndex":0},"schema":"https://github.com/citation-style-language/schema/raw/master/csl-citation.json"}</w:instrText>
            </w:r>
            <w:r>
              <w:fldChar w:fldCharType="separate"/>
            </w:r>
            <w:r>
              <w:rPr>
                <w:noProof/>
              </w:rPr>
              <w:t>Miko and Kamardin, ( 2015)</w:t>
            </w:r>
            <w:r>
              <w:fldChar w:fldCharType="end"/>
            </w:r>
          </w:p>
        </w:tc>
      </w:tr>
      <w:tr w:rsidR="00FA1AC4">
        <w:tc>
          <w:tcPr>
            <w:tcW w:w="559" w:type="dxa"/>
          </w:tcPr>
          <w:p w:rsidR="00FA1AC4" w:rsidRDefault="00B11CCA">
            <w:pPr>
              <w:spacing w:line="360" w:lineRule="auto"/>
              <w:rPr>
                <w:sz w:val="22"/>
                <w:szCs w:val="22"/>
              </w:rPr>
            </w:pPr>
            <w:r>
              <w:rPr>
                <w:sz w:val="22"/>
                <w:szCs w:val="22"/>
              </w:rPr>
              <w:t>3.</w:t>
            </w:r>
          </w:p>
        </w:tc>
        <w:tc>
          <w:tcPr>
            <w:tcW w:w="1634" w:type="dxa"/>
          </w:tcPr>
          <w:p w:rsidR="00FA1AC4" w:rsidRDefault="00B11CCA">
            <w:pPr>
              <w:spacing w:line="360" w:lineRule="auto"/>
              <w:rPr>
                <w:sz w:val="22"/>
                <w:szCs w:val="22"/>
              </w:rPr>
            </w:pPr>
            <w:r>
              <w:rPr>
                <w:sz w:val="22"/>
                <w:szCs w:val="22"/>
              </w:rPr>
              <w:t>Audit Committee Meeting</w:t>
            </w:r>
          </w:p>
        </w:tc>
        <w:tc>
          <w:tcPr>
            <w:tcW w:w="901" w:type="dxa"/>
          </w:tcPr>
          <w:p w:rsidR="00FA1AC4" w:rsidRDefault="00B11CCA">
            <w:pPr>
              <w:spacing w:line="360" w:lineRule="auto"/>
              <w:rPr>
                <w:sz w:val="22"/>
                <w:szCs w:val="22"/>
              </w:rPr>
            </w:pPr>
            <w:r>
              <w:rPr>
                <w:sz w:val="22"/>
                <w:szCs w:val="22"/>
              </w:rPr>
              <w:t>ACM</w:t>
            </w:r>
          </w:p>
        </w:tc>
        <w:tc>
          <w:tcPr>
            <w:tcW w:w="4011" w:type="dxa"/>
          </w:tcPr>
          <w:p w:rsidR="00FA1AC4" w:rsidRDefault="00B11CCA">
            <w:pPr>
              <w:spacing w:line="360" w:lineRule="auto"/>
              <w:rPr>
                <w:rFonts w:eastAsia="Calibri"/>
                <w:sz w:val="22"/>
                <w:szCs w:val="22"/>
              </w:rPr>
            </w:pPr>
            <w:r>
              <w:rPr>
                <w:rFonts w:eastAsia="Calibri"/>
                <w:sz w:val="22"/>
                <w:szCs w:val="22"/>
              </w:rPr>
              <w:t>Total number of meeting held by audit committee members in a year</w:t>
            </w:r>
          </w:p>
        </w:tc>
        <w:tc>
          <w:tcPr>
            <w:tcW w:w="2245" w:type="dxa"/>
          </w:tcPr>
          <w:p w:rsidR="00FA1AC4" w:rsidRDefault="00B11CCA">
            <w:pPr>
              <w:spacing w:line="360" w:lineRule="auto"/>
              <w:rPr>
                <w:sz w:val="22"/>
                <w:szCs w:val="22"/>
              </w:rPr>
            </w:pPr>
            <w:r>
              <w:fldChar w:fldCharType="begin"/>
            </w:r>
            <w:r>
              <w:instrText>ADDIN CSL_CITATION {"citationItems":[{"id":"ITEM-1","itemData":{"DOI":"10.1016/j.sbspro.2014.06.042","ISSN":"18770428","abstract":"This study examines the influence of audit committee characteristics on voluntary ethics disclosures of the top 94 companies listed on Bursa Malaysia. The study employs content analysis of company's annual report and multiple linear regressions to look at the relationships between voluntary ethics disclosure and audit committee characteristics. The result from the study suggests that only two audit committee characteristics (tenure and multiple directorships) are associated with the voluntary ethics disclosure, whilst independence, expertise, meeting frequency and size were inconsistent. This study serves to assist the stakeholders in putting greater emphasis on audit committee in determining ethics disclosure of companies.","author":[{"dropping-particle":"","family":"Othman","given":"Rohana","non-dropping-particle":"","parse-names":false,"suffix":""},{"dropping-particle":"","family":"Ishak","given":"Ili Farhana","non-dropping-particle":"","parse-names":false,"suffix":""},{"dropping-particle":"","family":"Arif","given":"Siti Maznah Mohd","non-dropping-particle":"","parse-names":false,"suffix":""},{"dropping-particle":"","family":"Aris","given":"Nooraslinda Abdul","non-dropping-particle":"","parse-names":false,"suffix":""}],"container-title":"Procedia - Social and Behavioral Sciences","id":"ITEM-1","issued":{"date-parts":[["2014"]]},"page":"330-342","title":"Influence of Audit Committee Characteristics on Voluntary Ethics Disclosure","type":"article-journal","volume":"145"},"uris":["http://www.mendeley.com/documents/?uuid=57fc4d9d-a7de-4e85-a8c1-8faf37493d79"]}],"mendeley":{"formattedCitation":"(Othman et al., 2014)","manualFormatting":"(Othman et al., 2014","plainTextFormattedCitation":"(Othman et al., 2014)","previouslyFormattedCitation":"(Othman et al., 2014)"},"properties":{"noteIndex":0},"schema":"https://github.com/citation-style-language/schema/raw/master/csl-citation.json"}</w:instrText>
            </w:r>
            <w:r>
              <w:fldChar w:fldCharType="separate"/>
            </w:r>
            <w:r>
              <w:rPr>
                <w:noProof/>
              </w:rPr>
              <w:t xml:space="preserve">Othman </w:t>
            </w:r>
            <w:r>
              <w:rPr>
                <w:i/>
                <w:noProof/>
              </w:rPr>
              <w:t>et al</w:t>
            </w:r>
            <w:r>
              <w:rPr>
                <w:noProof/>
              </w:rPr>
              <w:t>., (2014</w:t>
            </w:r>
            <w:r>
              <w:fldChar w:fldCharType="end"/>
            </w:r>
            <w:r>
              <w:t xml:space="preserve">; </w:t>
            </w:r>
            <w:r>
              <w:fldChar w:fldCharType="begin"/>
            </w:r>
            <w:r>
              <w:instrText>ADDIN CSL_CITATION {"citationItems":[{"id":"ITEM-1","itemData":{"DOI":"10.1108/MAJ-06-2018-1897","author":[{"dropping-particle":"","family":"Bala","given":"Hussaini","non-dropping-particle":"","parse-names":false,"suffix":""},{"dropping-particle":"","family":"Amran","given":"Noor Afza","non-dropping-particle":"","parse-names":false,"suffix":""},{"dropping-particle":"","family":"Shaari","given":"Hasnah","non-dropping-particle":"","parse-names":false,"suffix":""}],"id":"ITEM-1","issue":"2","issued":{"date-parts":[["2020"]]},"page":"177-206","title":"Audit committee attributes and cosmetic accounting in Nigeria The moderating effect of audit price","type":"article-journal","volume":"35"},"uris":["http://www.mendeley.com/documents/?uuid=f837641c-fd0d-449b-a949-9328af1e3252"]}],"mendeley":{"formattedCitation":"(Bala et al., 2020)","manualFormatting":"Bala et al., 2020)","plainTextFormattedCitation":"(Bala et al., 2020)","previouslyFormattedCitation":"(Bala et al., 2020)"},"properties":{"noteIndex":0},"schema":"https://github.com/citation-style-language/schema/raw/master/csl-citation.json"}</w:instrText>
            </w:r>
            <w:r>
              <w:fldChar w:fldCharType="separate"/>
            </w:r>
            <w:r>
              <w:rPr>
                <w:noProof/>
              </w:rPr>
              <w:t xml:space="preserve">Bala </w:t>
            </w:r>
            <w:r>
              <w:rPr>
                <w:i/>
                <w:noProof/>
              </w:rPr>
              <w:t>et al</w:t>
            </w:r>
            <w:r>
              <w:rPr>
                <w:noProof/>
              </w:rPr>
              <w:t>., (2020)</w:t>
            </w:r>
            <w:r>
              <w:fldChar w:fldCharType="end"/>
            </w:r>
          </w:p>
        </w:tc>
      </w:tr>
      <w:tr w:rsidR="00FA1AC4">
        <w:tc>
          <w:tcPr>
            <w:tcW w:w="559" w:type="dxa"/>
          </w:tcPr>
          <w:p w:rsidR="00FA1AC4" w:rsidRDefault="00B11CCA">
            <w:pPr>
              <w:spacing w:line="360" w:lineRule="auto"/>
              <w:rPr>
                <w:sz w:val="22"/>
                <w:szCs w:val="22"/>
              </w:rPr>
            </w:pPr>
            <w:r>
              <w:rPr>
                <w:sz w:val="22"/>
                <w:szCs w:val="22"/>
              </w:rPr>
              <w:t>4.</w:t>
            </w:r>
          </w:p>
        </w:tc>
        <w:tc>
          <w:tcPr>
            <w:tcW w:w="1634" w:type="dxa"/>
          </w:tcPr>
          <w:p w:rsidR="00FA1AC4" w:rsidRDefault="00B11CCA">
            <w:pPr>
              <w:spacing w:line="360" w:lineRule="auto"/>
              <w:rPr>
                <w:sz w:val="22"/>
                <w:szCs w:val="22"/>
              </w:rPr>
            </w:pPr>
            <w:r>
              <w:rPr>
                <w:sz w:val="22"/>
                <w:szCs w:val="22"/>
              </w:rPr>
              <w:t>Audit Committee</w:t>
            </w:r>
          </w:p>
          <w:p w:rsidR="00FA1AC4" w:rsidRDefault="00B11CCA">
            <w:pPr>
              <w:spacing w:line="360" w:lineRule="auto"/>
              <w:rPr>
                <w:sz w:val="22"/>
                <w:szCs w:val="22"/>
              </w:rPr>
            </w:pPr>
            <w:r>
              <w:rPr>
                <w:sz w:val="22"/>
                <w:szCs w:val="22"/>
              </w:rPr>
              <w:t>Composition</w:t>
            </w:r>
          </w:p>
        </w:tc>
        <w:tc>
          <w:tcPr>
            <w:tcW w:w="901" w:type="dxa"/>
          </w:tcPr>
          <w:p w:rsidR="00FA1AC4" w:rsidRDefault="00B11CCA">
            <w:pPr>
              <w:spacing w:line="360" w:lineRule="auto"/>
              <w:rPr>
                <w:sz w:val="22"/>
                <w:szCs w:val="22"/>
              </w:rPr>
            </w:pPr>
            <w:r>
              <w:rPr>
                <w:sz w:val="22"/>
                <w:szCs w:val="22"/>
              </w:rPr>
              <w:t>ACC</w:t>
            </w:r>
          </w:p>
        </w:tc>
        <w:tc>
          <w:tcPr>
            <w:tcW w:w="4011" w:type="dxa"/>
          </w:tcPr>
          <w:p w:rsidR="00FA1AC4" w:rsidRDefault="00B11CCA">
            <w:pPr>
              <w:spacing w:line="360" w:lineRule="auto"/>
              <w:rPr>
                <w:rFonts w:eastAsia="Calibri"/>
                <w:sz w:val="22"/>
                <w:szCs w:val="22"/>
              </w:rPr>
            </w:pPr>
            <w:r>
              <w:rPr>
                <w:rFonts w:eastAsia="Calibri"/>
                <w:sz w:val="22"/>
                <w:szCs w:val="22"/>
              </w:rPr>
              <w:t>Number of non-executive members in the total number of audit committee members</w:t>
            </w:r>
          </w:p>
        </w:tc>
        <w:tc>
          <w:tcPr>
            <w:tcW w:w="2245" w:type="dxa"/>
          </w:tcPr>
          <w:p w:rsidR="00FA1AC4" w:rsidRDefault="00B11CCA">
            <w:pPr>
              <w:spacing w:line="360" w:lineRule="auto"/>
              <w:rPr>
                <w:sz w:val="22"/>
                <w:szCs w:val="22"/>
              </w:rPr>
            </w:pPr>
            <w:r>
              <w:fldChar w:fldCharType="begin"/>
            </w:r>
            <w:r>
              <w:instrText>ADDIN CSL_CITATION {"citationItems":[{"id":"ITEM-1","itemData":{"DOI":"10.1016/j.jaccpubpol.2010.09.001","ISSN":"02784254","abstract":"Regulators and others recently highlighted the increasingly important role of internal auditing in supporting and interacting with the audit committee to ensure the integrity and quality of financial reporting. Likewise, one of the roles of the audit committee is to oversee the quality of monitoring mechanisms implemented by the firm, which includes the internal audit function. However, our understanding of the relationship between the audit committee and internal auditing is limited. We fill this void by providing the first empirical evidence of the association between audit committee characteristics and the investment in internal auditing. Our analyses, from a sample of 181 SEC registrants, suggest that the investment in internal auditing (internal audit budget) is negatively related to the presence of auditing experts on the committee and the average tenure of audit committee members, but positively related to the number of audit committee meetings (a proxy for audit committee diligence). These observations suggest potential complementary and substitution effects between the audit committee and internal auditing, and thus raise important implications for future research. © 2010 Elsevier Inc.","author":[{"dropping-particle":"","family":"Barua","given":"Abhijit","non-dropping-particle":"","parse-names":false,"suffix":""},{"dropping-particle":"V.","family":"Rama","given":"Dasaratha","non-dropping-particle":"","parse-names":false,"suffix":""},{"dropping-particle":"","family":"Sharma","given":"Vineeta","non-dropping-particle":"","parse-names":false,"suffix":""}],"container-title":"Journal of Accounting and Public Policy","id":"ITEM-1","issue":"5","issued":{"date-parts":[["2010"]]},"page":"503-513","title":"Audit committee characteristics and investment in internal auditing","type":"article-journal","volume":"29"},"uris":["http://www.mendeley.com/documents/?uuid=bc70f7ee-4219-4ae4-a276-90cdb0bce6b8"]}],"mendeley":{"formattedCitation":"(Barua et al., 2010)","plainTextFormattedCitation":"(Barua et al., 2010)","previouslyFormattedCitation":"(Barua et al., 2010)"},"properties":{"noteIndex":0},"schema":"https://github.com/citation-style-language/schema/raw/master/csl-citation.json"}</w:instrText>
            </w:r>
            <w:r>
              <w:fldChar w:fldCharType="separate"/>
            </w:r>
            <w:r>
              <w:rPr>
                <w:noProof/>
              </w:rPr>
              <w:t xml:space="preserve">Barua </w:t>
            </w:r>
            <w:r>
              <w:rPr>
                <w:i/>
                <w:noProof/>
              </w:rPr>
              <w:t>et al</w:t>
            </w:r>
            <w:r>
              <w:rPr>
                <w:noProof/>
              </w:rPr>
              <w:t>., (2010)</w:t>
            </w:r>
            <w:r>
              <w:fldChar w:fldCharType="end"/>
            </w:r>
            <w:r>
              <w:t>.</w:t>
            </w:r>
          </w:p>
        </w:tc>
      </w:tr>
      <w:tr w:rsidR="00FA1AC4">
        <w:tc>
          <w:tcPr>
            <w:tcW w:w="559" w:type="dxa"/>
          </w:tcPr>
          <w:p w:rsidR="00FA1AC4" w:rsidRDefault="00B11CCA">
            <w:pPr>
              <w:spacing w:line="360" w:lineRule="auto"/>
              <w:rPr>
                <w:sz w:val="22"/>
                <w:szCs w:val="22"/>
              </w:rPr>
            </w:pPr>
            <w:r>
              <w:rPr>
                <w:sz w:val="22"/>
                <w:szCs w:val="22"/>
              </w:rPr>
              <w:t>5.</w:t>
            </w:r>
          </w:p>
        </w:tc>
        <w:tc>
          <w:tcPr>
            <w:tcW w:w="1634" w:type="dxa"/>
          </w:tcPr>
          <w:p w:rsidR="00FA1AC4" w:rsidRDefault="00B11CCA">
            <w:pPr>
              <w:spacing w:line="360" w:lineRule="auto"/>
              <w:rPr>
                <w:sz w:val="22"/>
                <w:szCs w:val="22"/>
              </w:rPr>
            </w:pPr>
            <w:r>
              <w:rPr>
                <w:sz w:val="22"/>
                <w:szCs w:val="22"/>
              </w:rPr>
              <w:t>Audit Committee Female Members</w:t>
            </w:r>
          </w:p>
        </w:tc>
        <w:tc>
          <w:tcPr>
            <w:tcW w:w="901" w:type="dxa"/>
          </w:tcPr>
          <w:p w:rsidR="00FA1AC4" w:rsidRDefault="00B11CCA">
            <w:pPr>
              <w:spacing w:line="360" w:lineRule="auto"/>
              <w:rPr>
                <w:sz w:val="22"/>
                <w:szCs w:val="22"/>
              </w:rPr>
            </w:pPr>
            <w:r>
              <w:rPr>
                <w:sz w:val="22"/>
                <w:szCs w:val="22"/>
              </w:rPr>
              <w:t>ACFM</w:t>
            </w:r>
          </w:p>
        </w:tc>
        <w:tc>
          <w:tcPr>
            <w:tcW w:w="4011" w:type="dxa"/>
          </w:tcPr>
          <w:p w:rsidR="00FA1AC4" w:rsidRDefault="00B11CCA">
            <w:pPr>
              <w:spacing w:line="360" w:lineRule="auto"/>
              <w:rPr>
                <w:rFonts w:eastAsia="Calibri"/>
                <w:sz w:val="22"/>
                <w:szCs w:val="22"/>
              </w:rPr>
            </w:pPr>
            <w:r>
              <w:rPr>
                <w:rFonts w:eastAsia="Calibri"/>
                <w:sz w:val="22"/>
                <w:szCs w:val="22"/>
              </w:rPr>
              <w:t>Number of female members in the total number of audit committee members</w:t>
            </w:r>
          </w:p>
        </w:tc>
        <w:tc>
          <w:tcPr>
            <w:tcW w:w="2245" w:type="dxa"/>
          </w:tcPr>
          <w:p w:rsidR="00FA1AC4" w:rsidRDefault="00B11CCA">
            <w:pPr>
              <w:spacing w:line="360" w:lineRule="auto"/>
              <w:rPr>
                <w:sz w:val="22"/>
                <w:szCs w:val="22"/>
              </w:rPr>
            </w:pPr>
            <w:r>
              <w:fldChar w:fldCharType="begin"/>
            </w:r>
            <w:r>
              <w:instrText>ADDIN CSL_CITATION {"citationItems":[{"id":"ITEM-1","itemData":{"author":[{"dropping-particle":"","family":"Olowookere","given":"J. K.","non-dropping-particle":"","parse-names":false,"suffix":""},{"dropping-particle":"","family":"Oyewole","given":"O. M.","non-dropping-particle":"","parse-names":false,"suffix":""},{"dropping-particle":"","family":"Lamidi","given":"W. A.","non-dropping-particle":"","parse-names":false,"suffix":""}],"id":"ITEM-1","issue":"3","issued":{"date-parts":[["2021"]]},"page":"111-120","title":"Effects of Audit Committee Diversity on Financial Reporting Quality among Listed Consumer Goods Companies in Nigeria","type":"article-journal","volume":"11"},"uris":["http://www.mendeley.com/documents/?uuid=5ab712d1-2963-4bb9-b2af-e48069121318"]}],"mendeley":{"formattedCitation":"(Olowookere et al., 2021)","manualFormatting":"(Olowookere, Oyewole and lamidi, 2021)","plainTextFormattedCitation":"(Olowookere et al., 2021)","previouslyFormattedCitation":"(Olowookere et al., 2021)"},"properties":{"noteIndex":0},"schema":"https://github.com/citation-style-language/schema/raw/master/csl-citation.json"}</w:instrText>
            </w:r>
            <w:r>
              <w:fldChar w:fldCharType="separate"/>
            </w:r>
            <w:r>
              <w:rPr>
                <w:noProof/>
              </w:rPr>
              <w:t>Olowookere, Oyewole and lamidi, (2021)</w:t>
            </w:r>
            <w:r>
              <w:fldChar w:fldCharType="end"/>
            </w:r>
            <w:r>
              <w:t>.</w:t>
            </w:r>
          </w:p>
        </w:tc>
      </w:tr>
      <w:tr w:rsidR="00FA1AC4">
        <w:tc>
          <w:tcPr>
            <w:tcW w:w="559" w:type="dxa"/>
          </w:tcPr>
          <w:p w:rsidR="00FA1AC4" w:rsidRDefault="00B11CCA">
            <w:pPr>
              <w:spacing w:line="360" w:lineRule="auto"/>
              <w:rPr>
                <w:sz w:val="22"/>
                <w:szCs w:val="22"/>
              </w:rPr>
            </w:pPr>
            <w:r>
              <w:rPr>
                <w:sz w:val="22"/>
                <w:szCs w:val="22"/>
              </w:rPr>
              <w:t>4.</w:t>
            </w:r>
          </w:p>
        </w:tc>
        <w:tc>
          <w:tcPr>
            <w:tcW w:w="1634" w:type="dxa"/>
          </w:tcPr>
          <w:p w:rsidR="00FA1AC4" w:rsidRDefault="00B11CCA">
            <w:pPr>
              <w:spacing w:line="360" w:lineRule="auto"/>
              <w:rPr>
                <w:sz w:val="22"/>
                <w:szCs w:val="22"/>
              </w:rPr>
            </w:pPr>
            <w:r>
              <w:rPr>
                <w:sz w:val="22"/>
                <w:szCs w:val="22"/>
              </w:rPr>
              <w:t>Control Activities</w:t>
            </w:r>
          </w:p>
        </w:tc>
        <w:tc>
          <w:tcPr>
            <w:tcW w:w="901" w:type="dxa"/>
          </w:tcPr>
          <w:p w:rsidR="00FA1AC4" w:rsidRDefault="00B11CCA">
            <w:pPr>
              <w:spacing w:line="360" w:lineRule="auto"/>
              <w:rPr>
                <w:sz w:val="22"/>
                <w:szCs w:val="22"/>
              </w:rPr>
            </w:pPr>
            <w:r>
              <w:rPr>
                <w:sz w:val="22"/>
                <w:szCs w:val="22"/>
              </w:rPr>
              <w:t>COTA</w:t>
            </w:r>
          </w:p>
        </w:tc>
        <w:tc>
          <w:tcPr>
            <w:tcW w:w="4011" w:type="dxa"/>
          </w:tcPr>
          <w:p w:rsidR="00FA1AC4" w:rsidRDefault="00B11CCA">
            <w:pPr>
              <w:spacing w:line="360" w:lineRule="auto"/>
              <w:rPr>
                <w:rFonts w:eastAsia="Calibri"/>
                <w:sz w:val="22"/>
                <w:szCs w:val="22"/>
              </w:rPr>
            </w:pPr>
            <w:r>
              <w:rPr>
                <w:rFonts w:eastAsia="Calibri"/>
                <w:sz w:val="22"/>
                <w:szCs w:val="22"/>
              </w:rPr>
              <w:t>Survey Questionnaire Statement 1,6 and12</w:t>
            </w:r>
          </w:p>
        </w:tc>
        <w:tc>
          <w:tcPr>
            <w:tcW w:w="2245" w:type="dxa"/>
          </w:tcPr>
          <w:p w:rsidR="00FA1AC4" w:rsidRDefault="00B11CCA">
            <w:pPr>
              <w:spacing w:line="360" w:lineRule="auto"/>
              <w:rPr>
                <w:sz w:val="22"/>
                <w:szCs w:val="22"/>
              </w:rPr>
            </w:pPr>
            <w:r>
              <w:rPr>
                <w:sz w:val="22"/>
                <w:szCs w:val="22"/>
              </w:rPr>
              <w:fldChar w:fldCharType="begin"/>
            </w:r>
            <w:r>
              <w:rPr>
                <w:sz w:val="22"/>
                <w:szCs w:val="22"/>
              </w:rPr>
              <w:instrText>ADDIN CSL_CITATION {"citationItems":[{"id":"ITEM-1","itemData":{"DOI":"10.1016/S2212-5671(12)00145-1","author":[{"dropping-particle":"","family":"Spatacean","given":"Ioan-ovidiu","non-dropping-particle":"","parse-names":false,"suffix":""}],"container-title":"Procedia Economics and Finance","id":"ITEM-1","issue":"12","issued":{"date-parts":[["2012"]]},"page":"230-235","title":"Addressing Fraud Risk by Testing the Effectiveness of Internal Control over Financial Reporting Case of Romanian Financial Investment Companies","type":"article-journal","volume":"3"},"uris":["http://www.mendeley.com/documents/?uuid=051c8c4e-f3fa-408d-8c80-456873d19917"]}],"mendeley":{"formattedCitation":"(Spatacean, 2012)","plainTextFormattedCitation":"(Spatacean, 2012)","previouslyFormattedCitation":"(Spatacean, 2012)"},"properties":{"noteIndex":0},"schema":"https://github.com/citation-style-language/schema/raw/master/csl-citation.json"}</w:instrText>
            </w:r>
            <w:r>
              <w:rPr>
                <w:sz w:val="22"/>
                <w:szCs w:val="22"/>
              </w:rPr>
              <w:fldChar w:fldCharType="separate"/>
            </w:r>
            <w:r>
              <w:rPr>
                <w:noProof/>
                <w:sz w:val="22"/>
                <w:szCs w:val="22"/>
              </w:rPr>
              <w:t>Spatacean, (2012)</w:t>
            </w:r>
            <w:r>
              <w:rPr>
                <w:sz w:val="22"/>
                <w:szCs w:val="22"/>
              </w:rPr>
              <w:fldChar w:fldCharType="end"/>
            </w:r>
          </w:p>
        </w:tc>
      </w:tr>
      <w:tr w:rsidR="00FA1AC4">
        <w:tc>
          <w:tcPr>
            <w:tcW w:w="559" w:type="dxa"/>
          </w:tcPr>
          <w:p w:rsidR="00FA1AC4" w:rsidRDefault="00B11CCA">
            <w:pPr>
              <w:spacing w:line="360" w:lineRule="auto"/>
              <w:rPr>
                <w:sz w:val="22"/>
                <w:szCs w:val="22"/>
              </w:rPr>
            </w:pPr>
            <w:r>
              <w:rPr>
                <w:sz w:val="22"/>
                <w:szCs w:val="22"/>
              </w:rPr>
              <w:t>5.</w:t>
            </w:r>
          </w:p>
        </w:tc>
        <w:tc>
          <w:tcPr>
            <w:tcW w:w="1634" w:type="dxa"/>
          </w:tcPr>
          <w:p w:rsidR="00FA1AC4" w:rsidRDefault="00B11CCA">
            <w:pPr>
              <w:spacing w:line="360" w:lineRule="auto"/>
              <w:rPr>
                <w:sz w:val="22"/>
                <w:szCs w:val="22"/>
              </w:rPr>
            </w:pPr>
            <w:r>
              <w:rPr>
                <w:sz w:val="22"/>
                <w:szCs w:val="22"/>
              </w:rPr>
              <w:t>Risk Assessment</w:t>
            </w:r>
          </w:p>
        </w:tc>
        <w:tc>
          <w:tcPr>
            <w:tcW w:w="901" w:type="dxa"/>
          </w:tcPr>
          <w:p w:rsidR="00FA1AC4" w:rsidRDefault="00B11CCA">
            <w:pPr>
              <w:spacing w:line="360" w:lineRule="auto"/>
              <w:rPr>
                <w:sz w:val="22"/>
                <w:szCs w:val="22"/>
              </w:rPr>
            </w:pPr>
            <w:r>
              <w:rPr>
                <w:sz w:val="22"/>
                <w:szCs w:val="22"/>
              </w:rPr>
              <w:t>RIASS</w:t>
            </w:r>
          </w:p>
        </w:tc>
        <w:tc>
          <w:tcPr>
            <w:tcW w:w="4011" w:type="dxa"/>
          </w:tcPr>
          <w:p w:rsidR="00FA1AC4" w:rsidRDefault="00B11CCA">
            <w:pPr>
              <w:spacing w:line="360" w:lineRule="auto"/>
              <w:rPr>
                <w:rFonts w:eastAsia="Calibri"/>
                <w:sz w:val="22"/>
                <w:szCs w:val="22"/>
              </w:rPr>
            </w:pPr>
            <w:r>
              <w:rPr>
                <w:rFonts w:eastAsia="Calibri"/>
                <w:sz w:val="22"/>
                <w:szCs w:val="22"/>
              </w:rPr>
              <w:t>Survey Questionnaire Statement 5, 11 and 9</w:t>
            </w:r>
          </w:p>
        </w:tc>
        <w:tc>
          <w:tcPr>
            <w:tcW w:w="2245" w:type="dxa"/>
          </w:tcPr>
          <w:p w:rsidR="00FA1AC4" w:rsidRDefault="00B11CCA">
            <w:pPr>
              <w:spacing w:line="360" w:lineRule="auto"/>
              <w:rPr>
                <w:sz w:val="22"/>
                <w:szCs w:val="22"/>
              </w:rPr>
            </w:pPr>
            <w:r>
              <w:rPr>
                <w:sz w:val="22"/>
                <w:szCs w:val="22"/>
              </w:rPr>
              <w:fldChar w:fldCharType="begin"/>
            </w:r>
            <w:r>
              <w:rPr>
                <w:sz w:val="22"/>
                <w:szCs w:val="22"/>
              </w:rPr>
              <w:instrText>ADDIN CSL_CITATION {"citationItems":[{"id":"ITEM-1","itemData":{"DOI":"10.5373/JARDCS/V12SP4/20201567","ISSN":"1943023X","abstract":"This paper primarily examines how internal control affects the financial performance of the six banking sectors in Iraq. The inductive approach used in this paper entails the surveying, studying, comparing and summarizing of all papers published in prominent journals in the past seven years. This paper found that internal control is weak in Iraq compared to developing countries in the analyzed studies. It also found that internal control is more positively correlated to financial performance 94.28 % than negatively linked to it 5.72 %. After defining the studies through a systematic review, the researchers concluded that most studies on the two variables i.e. internal control and financial performance had indicated a significant and positive relationship between both. In addition, the researchers also found that none of the previous studies had addressed the abovementioned correlation in the context of the Iraqi banking sector.","author":[{"dropping-particle":"","family":"Hanoon","given":"Raad Naser","non-dropping-particle":"","parse-names":false,"suffix":""},{"dropping-particle":"","family":"Rapani","given":"Nor Hanani Ahamad","non-dropping-particle":"","parse-names":false,"suffix":""},{"dropping-particle":"","family":"Khalid","given":"Azam Abdelhakeem","non-dropping-particle":"","parse-names":false,"suffix":""}],"container-title":"Journal of Advanced Research in Dynamical and Control Systems","id":"ITEM-1","issue":"4 Special Issue","issued":{"date-parts":[["2020"]]},"page":"957-966","title":"The correlation between internal control components and the financial performance of iraqi banks a literature review","type":"article-journal","volume":"12"},"uris":["http://www.mendeley.com/documents/?uuid=ac9b5a7f-b85f-45fd-b44f-63a4a970c8a3"]}],"mendeley":{"formattedCitation":"(Hanoon et al., 2020)","plainTextFormattedCitation":"(Hanoon et al., 2020)","previouslyFormattedCitation":"(Hanoon et al., 2020)"},"properties":{"noteIndex":0},"schema":"https://github.com/citation-style-language/schema/raw/master/csl-citation.json"}</w:instrText>
            </w:r>
            <w:r>
              <w:rPr>
                <w:sz w:val="22"/>
                <w:szCs w:val="22"/>
              </w:rPr>
              <w:fldChar w:fldCharType="separate"/>
            </w:r>
            <w:r>
              <w:rPr>
                <w:noProof/>
                <w:sz w:val="22"/>
                <w:szCs w:val="22"/>
              </w:rPr>
              <w:t xml:space="preserve">Hanoon </w:t>
            </w:r>
            <w:r>
              <w:rPr>
                <w:i/>
                <w:noProof/>
                <w:sz w:val="22"/>
                <w:szCs w:val="22"/>
              </w:rPr>
              <w:t>et al.</w:t>
            </w:r>
            <w:r>
              <w:rPr>
                <w:noProof/>
                <w:sz w:val="22"/>
                <w:szCs w:val="22"/>
              </w:rPr>
              <w:t>, (2020)</w:t>
            </w:r>
            <w:r>
              <w:rPr>
                <w:sz w:val="22"/>
                <w:szCs w:val="22"/>
              </w:rPr>
              <w:fldChar w:fldCharType="end"/>
            </w:r>
          </w:p>
        </w:tc>
      </w:tr>
      <w:tr w:rsidR="00FA1AC4">
        <w:tc>
          <w:tcPr>
            <w:tcW w:w="559" w:type="dxa"/>
          </w:tcPr>
          <w:p w:rsidR="00FA1AC4" w:rsidRDefault="00B11CCA">
            <w:pPr>
              <w:spacing w:line="360" w:lineRule="auto"/>
              <w:rPr>
                <w:sz w:val="22"/>
                <w:szCs w:val="22"/>
              </w:rPr>
            </w:pPr>
            <w:r>
              <w:rPr>
                <w:sz w:val="22"/>
                <w:szCs w:val="22"/>
              </w:rPr>
              <w:t>6.</w:t>
            </w:r>
          </w:p>
        </w:tc>
        <w:tc>
          <w:tcPr>
            <w:tcW w:w="1634" w:type="dxa"/>
          </w:tcPr>
          <w:p w:rsidR="00FA1AC4" w:rsidRDefault="00B11CCA">
            <w:pPr>
              <w:spacing w:line="360" w:lineRule="auto"/>
              <w:rPr>
                <w:sz w:val="22"/>
                <w:szCs w:val="22"/>
              </w:rPr>
            </w:pPr>
            <w:r>
              <w:rPr>
                <w:sz w:val="22"/>
                <w:szCs w:val="22"/>
              </w:rPr>
              <w:t>Monitoring Activities</w:t>
            </w:r>
          </w:p>
        </w:tc>
        <w:tc>
          <w:tcPr>
            <w:tcW w:w="901" w:type="dxa"/>
          </w:tcPr>
          <w:p w:rsidR="00FA1AC4" w:rsidRDefault="00B11CCA">
            <w:pPr>
              <w:spacing w:line="360" w:lineRule="auto"/>
              <w:rPr>
                <w:sz w:val="22"/>
                <w:szCs w:val="22"/>
              </w:rPr>
            </w:pPr>
            <w:r>
              <w:rPr>
                <w:sz w:val="22"/>
                <w:szCs w:val="22"/>
              </w:rPr>
              <w:t>MOTA</w:t>
            </w:r>
          </w:p>
        </w:tc>
        <w:tc>
          <w:tcPr>
            <w:tcW w:w="4011" w:type="dxa"/>
          </w:tcPr>
          <w:p w:rsidR="00FA1AC4" w:rsidRDefault="00B11CCA">
            <w:pPr>
              <w:spacing w:line="360" w:lineRule="auto"/>
              <w:rPr>
                <w:rFonts w:eastAsia="Calibri"/>
                <w:sz w:val="22"/>
                <w:szCs w:val="22"/>
              </w:rPr>
            </w:pPr>
            <w:r>
              <w:rPr>
                <w:rFonts w:eastAsia="Calibri"/>
                <w:sz w:val="22"/>
                <w:szCs w:val="22"/>
              </w:rPr>
              <w:t>Survey Questionnaire Statement 2, 7 and 8</w:t>
            </w:r>
          </w:p>
        </w:tc>
        <w:tc>
          <w:tcPr>
            <w:tcW w:w="2245" w:type="dxa"/>
          </w:tcPr>
          <w:p w:rsidR="00FA1AC4" w:rsidRDefault="00B11CCA">
            <w:pPr>
              <w:spacing w:line="360" w:lineRule="auto"/>
              <w:rPr>
                <w:sz w:val="22"/>
                <w:szCs w:val="22"/>
              </w:rPr>
            </w:pPr>
            <w:r>
              <w:rPr>
                <w:sz w:val="22"/>
                <w:szCs w:val="22"/>
              </w:rPr>
              <w:fldChar w:fldCharType="begin"/>
            </w:r>
            <w:r>
              <w:rPr>
                <w:sz w:val="22"/>
                <w:szCs w:val="22"/>
              </w:rPr>
              <w:instrText>ADDIN CSL_CITATION {"citationItems":[{"id":"ITEM-1","itemData":{"DOI":"10.5373/JARDCS/V12SP4/20201567","ISSN":"1943023X","abstract":"This paper primarily examines how internal control affects the financial performance of the six banking sectors in Iraq. The inductive approach used in this paper entails the surveying, studying, comparing and summarizing of all papers published in prominent journals in the past seven years. This paper found that internal control is weak in Iraq compared to developing countries in the analyzed studies. It also found that internal control is more positively correlated to financial performance 94.28 % than negatively linked to it 5.72 %. After defining the studies through a systematic review, the researchers concluded that most studies on the two variables i.e. internal control and financial performance had indicated a significant and positive relationship between both. In addition, the researchers also found that none of the previous studies had addressed the abovementioned correlation in the context of the Iraqi banking sector.","author":[{"dropping-particle":"","family":"Hanoon","given":"Raad Naser","non-dropping-particle":"","parse-names":false,"suffix":""},{"dropping-particle":"","family":"Rapani","given":"Nor Hanani Ahamad","non-dropping-particle":"","parse-names":false,"suffix":""},{"dropping-particle":"","family":"Khalid","given":"Azam Abdelhakeem","non-dropping-particle":"","parse-names":false,"suffix":""}],"container-title":"Journal of Advanced Research in Dynamical and Control Systems","id":"ITEM-1","issue":"4 Special Issue","issued":{"date-parts":[["2020"]]},"page":"957-966","title":"The correlation between internal control components and the financial performance of iraqi banks a literature review","type":"article-journal","volume":"12"},"uris":["http://www.mendeley.com/documents/?uuid=ac9b5a7f-b85f-45fd-b44f-63a4a970c8a3"]}],"mendeley":{"formattedCitation":"(Hanoon et al., 2020)","plainTextFormattedCitation":"(Hanoon et al., 2020)","previouslyFormattedCitation":"(Hanoon et al., 2020)"},"properties":{"noteIndex":0},"schema":"https://github.com/citation-style-language/schema/raw/master/csl-citation.json"}</w:instrText>
            </w:r>
            <w:r>
              <w:rPr>
                <w:sz w:val="22"/>
                <w:szCs w:val="22"/>
              </w:rPr>
              <w:fldChar w:fldCharType="separate"/>
            </w:r>
            <w:r>
              <w:rPr>
                <w:noProof/>
                <w:sz w:val="22"/>
                <w:szCs w:val="22"/>
              </w:rPr>
              <w:t xml:space="preserve">Hanoon </w:t>
            </w:r>
            <w:r>
              <w:rPr>
                <w:i/>
                <w:noProof/>
                <w:sz w:val="22"/>
                <w:szCs w:val="22"/>
              </w:rPr>
              <w:t>et al.</w:t>
            </w:r>
            <w:r>
              <w:rPr>
                <w:noProof/>
                <w:sz w:val="22"/>
                <w:szCs w:val="22"/>
              </w:rPr>
              <w:t>, (2020)</w:t>
            </w:r>
            <w:r>
              <w:rPr>
                <w:sz w:val="22"/>
                <w:szCs w:val="22"/>
              </w:rPr>
              <w:fldChar w:fldCharType="end"/>
            </w:r>
          </w:p>
        </w:tc>
      </w:tr>
      <w:tr w:rsidR="00FA1AC4">
        <w:tc>
          <w:tcPr>
            <w:tcW w:w="559" w:type="dxa"/>
          </w:tcPr>
          <w:p w:rsidR="00FA1AC4" w:rsidRDefault="00B11CCA">
            <w:pPr>
              <w:spacing w:line="360" w:lineRule="auto"/>
              <w:rPr>
                <w:sz w:val="22"/>
                <w:szCs w:val="22"/>
              </w:rPr>
            </w:pPr>
            <w:r>
              <w:rPr>
                <w:sz w:val="22"/>
                <w:szCs w:val="22"/>
              </w:rPr>
              <w:t>7.</w:t>
            </w:r>
          </w:p>
        </w:tc>
        <w:tc>
          <w:tcPr>
            <w:tcW w:w="1634" w:type="dxa"/>
          </w:tcPr>
          <w:p w:rsidR="00FA1AC4" w:rsidRDefault="00B11CCA">
            <w:pPr>
              <w:spacing w:line="360" w:lineRule="auto"/>
              <w:rPr>
                <w:sz w:val="22"/>
                <w:szCs w:val="22"/>
              </w:rPr>
            </w:pPr>
            <w:r>
              <w:rPr>
                <w:sz w:val="22"/>
                <w:szCs w:val="22"/>
              </w:rPr>
              <w:t>Information and Communication</w:t>
            </w:r>
          </w:p>
        </w:tc>
        <w:tc>
          <w:tcPr>
            <w:tcW w:w="901" w:type="dxa"/>
          </w:tcPr>
          <w:p w:rsidR="00FA1AC4" w:rsidRDefault="00B11CCA">
            <w:pPr>
              <w:spacing w:line="360" w:lineRule="auto"/>
              <w:rPr>
                <w:sz w:val="22"/>
                <w:szCs w:val="22"/>
              </w:rPr>
            </w:pPr>
            <w:r>
              <w:rPr>
                <w:sz w:val="22"/>
                <w:szCs w:val="22"/>
              </w:rPr>
              <w:t>INFOC</w:t>
            </w:r>
          </w:p>
        </w:tc>
        <w:tc>
          <w:tcPr>
            <w:tcW w:w="4011" w:type="dxa"/>
          </w:tcPr>
          <w:p w:rsidR="00FA1AC4" w:rsidRDefault="00B11CCA">
            <w:pPr>
              <w:spacing w:line="360" w:lineRule="auto"/>
              <w:rPr>
                <w:rFonts w:eastAsia="Calibri"/>
                <w:sz w:val="22"/>
                <w:szCs w:val="22"/>
              </w:rPr>
            </w:pPr>
            <w:r>
              <w:rPr>
                <w:rFonts w:eastAsia="Calibri"/>
                <w:sz w:val="22"/>
                <w:szCs w:val="22"/>
              </w:rPr>
              <w:t>Survey Questionnaire Statement 3, 4 and 10</w:t>
            </w:r>
          </w:p>
        </w:tc>
        <w:tc>
          <w:tcPr>
            <w:tcW w:w="2245" w:type="dxa"/>
          </w:tcPr>
          <w:p w:rsidR="00FA1AC4" w:rsidRDefault="00B11CCA">
            <w:pPr>
              <w:spacing w:line="360" w:lineRule="auto"/>
              <w:rPr>
                <w:sz w:val="22"/>
                <w:szCs w:val="22"/>
              </w:rPr>
            </w:pPr>
            <w:r>
              <w:rPr>
                <w:sz w:val="22"/>
                <w:szCs w:val="22"/>
              </w:rPr>
              <w:fldChar w:fldCharType="begin"/>
            </w:r>
            <w:r>
              <w:rPr>
                <w:sz w:val="22"/>
                <w:szCs w:val="22"/>
              </w:rPr>
              <w:instrText>ADDIN CSL_CITATION {"citationItems":[{"id":"ITEM-1","itemData":{"author":[{"dropping-particle":"","family":"Afiah","given":"Nunuy Nur","non-dropping-particle":"","parse-names":false,"suffix":""},{"dropping-particle":"","family":"Azwari","given":"Peny Cahaya","non-dropping-particle":"","parse-names":false,"suffix":""}],"container-title":"Business and Behavioural Sciences","id":"ITEM-1","issued":{"date-parts":[["2015"]]},"page":"811 - 818","title":"The Effect of the Implementation of Government Internal Control System (GICS) on the Quality of Financial Reporting of the Local Government and its Impact on the Principles of Good Governance_ A Research in District, City, and Provincial Government in Sou","type":"article-journal","volume":"211"},"uris":["http://www.mendeley.com/documents/?uuid=67cb3d6e-c0fc-448e-890f-3692f951d1de"]}],"mendeley":{"formattedCitation":"(Afiah &amp; Azwari, 2015)","manualFormatting":"(Afiah and Azwari, 2015)","plainTextFormattedCitation":"(Afiah &amp; Azwari, 2015)","previouslyFormattedCitation":"(Afiah &amp; Azwari, 2015)"},"properties":{"noteIndex":0},"schema":"https://github.com/citation-style-language/schema/raw/master/csl-citation.json"}</w:instrText>
            </w:r>
            <w:r>
              <w:rPr>
                <w:sz w:val="22"/>
                <w:szCs w:val="22"/>
              </w:rPr>
              <w:fldChar w:fldCharType="separate"/>
            </w:r>
            <w:r>
              <w:rPr>
                <w:noProof/>
                <w:sz w:val="22"/>
                <w:szCs w:val="22"/>
              </w:rPr>
              <w:t>Afiah and Azwari, (2015)</w:t>
            </w:r>
            <w:r>
              <w:rPr>
                <w:sz w:val="22"/>
                <w:szCs w:val="22"/>
              </w:rPr>
              <w:fldChar w:fldCharType="end"/>
            </w:r>
          </w:p>
        </w:tc>
      </w:tr>
      <w:tr w:rsidR="00FA1AC4">
        <w:tc>
          <w:tcPr>
            <w:tcW w:w="559" w:type="dxa"/>
          </w:tcPr>
          <w:p w:rsidR="00FA1AC4" w:rsidRDefault="00B11CCA">
            <w:pPr>
              <w:spacing w:line="360" w:lineRule="auto"/>
              <w:rPr>
                <w:sz w:val="22"/>
                <w:szCs w:val="22"/>
              </w:rPr>
            </w:pPr>
            <w:r>
              <w:rPr>
                <w:sz w:val="22"/>
                <w:szCs w:val="22"/>
              </w:rPr>
              <w:t>8.</w:t>
            </w:r>
          </w:p>
        </w:tc>
        <w:tc>
          <w:tcPr>
            <w:tcW w:w="1634" w:type="dxa"/>
          </w:tcPr>
          <w:p w:rsidR="00FA1AC4" w:rsidRDefault="00B11CCA">
            <w:pPr>
              <w:spacing w:line="360" w:lineRule="auto"/>
              <w:rPr>
                <w:sz w:val="22"/>
                <w:szCs w:val="22"/>
              </w:rPr>
            </w:pPr>
            <w:r>
              <w:rPr>
                <w:sz w:val="22"/>
                <w:szCs w:val="22"/>
              </w:rPr>
              <w:t>Firm Age</w:t>
            </w:r>
          </w:p>
        </w:tc>
        <w:tc>
          <w:tcPr>
            <w:tcW w:w="901" w:type="dxa"/>
          </w:tcPr>
          <w:p w:rsidR="00FA1AC4" w:rsidRDefault="00B11CCA">
            <w:pPr>
              <w:spacing w:line="360" w:lineRule="auto"/>
              <w:rPr>
                <w:sz w:val="22"/>
                <w:szCs w:val="22"/>
              </w:rPr>
            </w:pPr>
            <w:r>
              <w:rPr>
                <w:sz w:val="22"/>
                <w:szCs w:val="22"/>
              </w:rPr>
              <w:t>FAGE</w:t>
            </w:r>
          </w:p>
        </w:tc>
        <w:tc>
          <w:tcPr>
            <w:tcW w:w="4011" w:type="dxa"/>
          </w:tcPr>
          <w:p w:rsidR="00FA1AC4" w:rsidRDefault="00B11CCA">
            <w:pPr>
              <w:spacing w:line="360" w:lineRule="auto"/>
              <w:rPr>
                <w:rFonts w:eastAsia="Calibri"/>
                <w:sz w:val="22"/>
                <w:szCs w:val="22"/>
              </w:rPr>
            </w:pPr>
            <w:r>
              <w:rPr>
                <w:rFonts w:eastAsia="Calibri"/>
                <w:sz w:val="22"/>
                <w:szCs w:val="22"/>
              </w:rPr>
              <w:t>The firm year of establishment till date</w:t>
            </w:r>
          </w:p>
        </w:tc>
        <w:tc>
          <w:tcPr>
            <w:tcW w:w="2245" w:type="dxa"/>
          </w:tcPr>
          <w:p w:rsidR="00FA1AC4" w:rsidRDefault="00B11CCA">
            <w:pPr>
              <w:spacing w:line="360" w:lineRule="auto"/>
              <w:rPr>
                <w:sz w:val="22"/>
                <w:szCs w:val="22"/>
              </w:rPr>
            </w:pPr>
            <w:r>
              <w:fldChar w:fldCharType="begin"/>
            </w:r>
            <w:r>
              <w:instrText>ADDIN CSL_CITATION {"citationItems":[{"id":"ITEM-1","itemData":{"DOI":"10.47059/revistageintec.v11i2.1789","author":[{"dropping-particle":"","family":"Qeshta","given":"Mohammed","non-dropping-particle":"","parse-names":false,"suffix":""},{"dropping-particle":"","family":"Abu-Alsoud","given":"Ghassan F.","non-dropping-particle":"","parse-names":false,"suffix":""},{"dropping-particle":"","family":"Hezabr","given":"Abdulqawi","non-dropping-particle":"","parse-names":false,"suffix":""},{"dropping-particle":"","family":"Ali","given":"Basel J.","non-dropping-particle":"","parse-names":false,"suffix":""},{"dropping-particle":"","family":"Qudat","given":"Mohammad Salem","non-dropping-particle":"","parse-names":false,"suffix":""}],"id":"ITEM-1","issue":"June","issued":{"date-parts":[["2021"]]},"title":"Audit Committee Characteristics and Firm Performance : Evidence from the Audit Committee Characteristics and Firm Performance : Evidence from the Insurance Sector in Bahrain","type":"article-journal"},"uris":["http://www.mendeley.com/documents/?uuid=bc4d0abb-e7b5-4028-8661-1bb38b49bfaa"]}],"mendeley":{"formattedCitation":"(Qeshta et al., 2021)","manualFormatting":"Qeshta et al., 2021)","plainTextFormattedCitation":"(Qeshta et al., 2021)","previouslyFormattedCitation":"(Qeshta et al., 2021)"},"properties":{"noteIndex":0},"schema":"https://github.com/citation-style-language/schema/raw/master/csl-citation.json"}</w:instrText>
            </w:r>
            <w:r>
              <w:fldChar w:fldCharType="separate"/>
            </w:r>
            <w:r>
              <w:rPr>
                <w:noProof/>
              </w:rPr>
              <w:t xml:space="preserve">Qeshta </w:t>
            </w:r>
            <w:r>
              <w:rPr>
                <w:i/>
                <w:noProof/>
              </w:rPr>
              <w:t>et al</w:t>
            </w:r>
            <w:r>
              <w:rPr>
                <w:noProof/>
              </w:rPr>
              <w:t>., (2021)</w:t>
            </w:r>
            <w:r>
              <w:fldChar w:fldCharType="end"/>
            </w:r>
          </w:p>
        </w:tc>
      </w:tr>
      <w:tr w:rsidR="00FA1AC4">
        <w:tc>
          <w:tcPr>
            <w:tcW w:w="559" w:type="dxa"/>
          </w:tcPr>
          <w:p w:rsidR="00FA1AC4" w:rsidRDefault="00B11CCA">
            <w:pPr>
              <w:spacing w:line="360" w:lineRule="auto"/>
              <w:rPr>
                <w:sz w:val="22"/>
                <w:szCs w:val="22"/>
              </w:rPr>
            </w:pPr>
            <w:r>
              <w:rPr>
                <w:sz w:val="22"/>
                <w:szCs w:val="22"/>
              </w:rPr>
              <w:t>9.</w:t>
            </w:r>
          </w:p>
        </w:tc>
        <w:tc>
          <w:tcPr>
            <w:tcW w:w="1634" w:type="dxa"/>
          </w:tcPr>
          <w:p w:rsidR="00FA1AC4" w:rsidRDefault="00B11CCA">
            <w:pPr>
              <w:spacing w:line="360" w:lineRule="auto"/>
              <w:rPr>
                <w:sz w:val="22"/>
                <w:szCs w:val="22"/>
              </w:rPr>
            </w:pPr>
            <w:r>
              <w:rPr>
                <w:sz w:val="22"/>
                <w:szCs w:val="22"/>
              </w:rPr>
              <w:t>Firm Size</w:t>
            </w:r>
          </w:p>
        </w:tc>
        <w:tc>
          <w:tcPr>
            <w:tcW w:w="901" w:type="dxa"/>
          </w:tcPr>
          <w:p w:rsidR="00FA1AC4" w:rsidRDefault="00B11CCA">
            <w:pPr>
              <w:spacing w:line="360" w:lineRule="auto"/>
              <w:rPr>
                <w:sz w:val="22"/>
                <w:szCs w:val="22"/>
              </w:rPr>
            </w:pPr>
            <w:r>
              <w:rPr>
                <w:sz w:val="22"/>
                <w:szCs w:val="22"/>
              </w:rPr>
              <w:t>FSIZE</w:t>
            </w:r>
          </w:p>
        </w:tc>
        <w:tc>
          <w:tcPr>
            <w:tcW w:w="4011" w:type="dxa"/>
          </w:tcPr>
          <w:p w:rsidR="00FA1AC4" w:rsidRDefault="00B11CCA">
            <w:pPr>
              <w:spacing w:line="360" w:lineRule="auto"/>
              <w:rPr>
                <w:rFonts w:eastAsia="Calibri"/>
                <w:sz w:val="22"/>
                <w:szCs w:val="22"/>
              </w:rPr>
            </w:pPr>
            <w:r>
              <w:rPr>
                <w:rFonts w:eastAsia="Calibri"/>
                <w:sz w:val="22"/>
                <w:szCs w:val="22"/>
              </w:rPr>
              <w:t>Log of Total Asset of the firm</w:t>
            </w:r>
          </w:p>
        </w:tc>
        <w:tc>
          <w:tcPr>
            <w:tcW w:w="2245" w:type="dxa"/>
          </w:tcPr>
          <w:p w:rsidR="00FA1AC4" w:rsidRDefault="00B11CCA">
            <w:pPr>
              <w:spacing w:line="360" w:lineRule="auto"/>
              <w:rPr>
                <w:sz w:val="22"/>
                <w:szCs w:val="22"/>
              </w:rPr>
            </w:pPr>
            <w:r>
              <w:fldChar w:fldCharType="begin"/>
            </w:r>
            <w:r>
              <w:instrText>ADDIN CSL_CITATION {"citationItems":[{"id":"ITEM-1","itemData":{"ISSN":"15282635","abstract":"This study investigates how corporate attributes of listed firms predicts the overall value of firms by drawing evidence from Nigeria. Thus, secondary data were carefully sourced for a 9-year period (2010-2018) from the financials of 32 listed firms in the financial service subsector. The entire panel data for all variables were analysed by means of descriptive, diagnostic and inferential statistics. Hypothesis was formulated and thereafter tested with the multivariate regression technique. Empirical evidence from the analysis and hypothesis testing revealed that the selected corporate attributes in this study (returns, revenue growth, earnings, leverage, company size and asset tangibility) exerted significant influence on two measures of firm value (share price and Tobin's Q); whereas, no significant relationship was found between the selected corporate attributes of firms and the third measure of firm value (share price to book value). Specifically, while return on assets and earnings per share recorded positive correlation with all three measures of firm value, the same cannot be said for most of the explanatory variables. For instance, Revenue growth and leverage had positive correlation with Tobins'Q, but were negatively correlated with share price and share price to book value. It is however recommended that the management of entities should channel investments to the acquisition of tangible properties and equipments that will enhance the productive capabilities of their respective entities since the size of total assets possibly has proved to have the capability of enhancing share price and Tobins'Q significantly.","author":[{"dropping-particle":"","family":"Jeroh","given":"Edirin","non-dropping-particle":"","parse-names":false,"suffix":""}],"container-title":"Academy of Accounting and Financial Studies Journal","id":"ITEM-1","issue":"2","issued":{"date-parts":[["2020"]]},"page":"1-13","title":"Corporate financial attributes and the value of listed financial service firms: The nigerian evidence","type":"article-journal","volume":"24"},"uris":["http://www.mendeley.com/documents/?uuid=9a6141fb-95f1-4f95-9bea-6dc5e6ab17f9"]}],"mendeley":{"formattedCitation":"(Jeroh, 2020)","plainTextFormattedCitation":"(Jeroh, 2020)","previouslyFormattedCitation":"(Jeroh, 2020)"},"properties":{"noteIndex":0},"schema":"https://github.com/citation-style-language/schema/raw/master/csl-citation.json"}</w:instrText>
            </w:r>
            <w:r>
              <w:fldChar w:fldCharType="separate"/>
            </w:r>
            <w:r>
              <w:rPr>
                <w:noProof/>
              </w:rPr>
              <w:t>Jeroh, (2020)</w:t>
            </w:r>
            <w:r>
              <w:fldChar w:fldCharType="end"/>
            </w:r>
          </w:p>
        </w:tc>
      </w:tr>
    </w:tbl>
    <w:p w:rsidR="00FA1AC4" w:rsidRDefault="00FA1AC4">
      <w:pPr>
        <w:rPr>
          <w:rFonts w:eastAsia="Calibri"/>
          <w:shd w:val="clear" w:color="auto" w:fill="FFFFFF"/>
        </w:rPr>
      </w:pPr>
    </w:p>
    <w:p w:rsidR="00FA1AC4" w:rsidRDefault="00B11CCA">
      <w:pPr>
        <w:pStyle w:val="Heading2"/>
        <w:numPr>
          <w:ilvl w:val="1"/>
          <w:numId w:val="23"/>
        </w:numPr>
        <w:ind w:left="709"/>
        <w:rPr>
          <w:rFonts w:eastAsia="Calibri"/>
          <w:shd w:val="clear" w:color="auto" w:fill="FFFFFF"/>
        </w:rPr>
      </w:pPr>
      <w:bookmarkStart w:id="55" w:name="_Toc112342372"/>
      <w:r>
        <w:rPr>
          <w:rFonts w:eastAsia="Calibri"/>
          <w:shd w:val="clear" w:color="auto" w:fill="FFFFFF"/>
        </w:rPr>
        <w:lastRenderedPageBreak/>
        <w:t>Reliability of Research Instrument</w:t>
      </w:r>
      <w:bookmarkEnd w:id="55"/>
    </w:p>
    <w:p w:rsidR="00FA1AC4" w:rsidRDefault="00B11CCA">
      <w:pPr>
        <w:spacing w:after="240"/>
        <w:rPr>
          <w:rFonts w:eastAsia="Calibri"/>
          <w:color w:val="000000"/>
        </w:rPr>
      </w:pPr>
      <w:r>
        <w:rPr>
          <w:rFonts w:eastAsia="Calibri"/>
          <w:color w:val="000000"/>
        </w:rPr>
        <w:t xml:space="preserve">Reliability is the extent to which test results are unaffected by random events—by the luck of the draw. It provides information on the accuracy with which test results measure something (Livingston, 2018). According to the idea of reliability, all significant results must be repeatable. Reliability is the degree to which any measuring tool corrects for random error, and it refers to the degree of confidence that may be placed in the information obtained via the use of an instrument (Haradhan, 2017). The goal of the researcher is to be as impartial, neutral, and objective as possible. </w:t>
      </w:r>
      <w:r>
        <w:rPr>
          <w:rFonts w:eastAsia="Calibri"/>
        </w:rPr>
        <w:t>The reliability of the data collected through questionnaire was determined using Cronbach’s Alpha. The results obtained as shown in Table 4.5 revealed that the data is reliable at 10.8% which is greater than the benchmark of 6%.</w:t>
      </w:r>
    </w:p>
    <w:p w:rsidR="00FA1AC4" w:rsidRDefault="00B11CCA">
      <w:pPr>
        <w:autoSpaceDE w:val="0"/>
        <w:autoSpaceDN w:val="0"/>
        <w:adjustRightInd w:val="0"/>
        <w:rPr>
          <w:rFonts w:eastAsia="Calibri"/>
          <w:iCs/>
        </w:rPr>
      </w:pPr>
      <w:r>
        <w:rPr>
          <w:rFonts w:eastAsia="Calibri"/>
          <w:iCs/>
        </w:rPr>
        <w:t>Table 3.2: Reliability Test</w:t>
      </w:r>
    </w:p>
    <w:tbl>
      <w:tblPr>
        <w:tblStyle w:val="PlainTable21"/>
        <w:tblW w:w="0" w:type="auto"/>
        <w:tblLook w:val="0620" w:firstRow="1" w:lastRow="0" w:firstColumn="0" w:lastColumn="0" w:noHBand="1" w:noVBand="1"/>
      </w:tblPr>
      <w:tblGrid>
        <w:gridCol w:w="4315"/>
        <w:gridCol w:w="4315"/>
      </w:tblGrid>
      <w:tr w:rsidR="00FA1AC4" w:rsidTr="00FA1AC4">
        <w:trPr>
          <w:cnfStyle w:val="100000000000" w:firstRow="1" w:lastRow="0" w:firstColumn="0" w:lastColumn="0" w:oddVBand="0" w:evenVBand="0" w:oddHBand="0" w:evenHBand="0" w:firstRowFirstColumn="0" w:firstRowLastColumn="0" w:lastRowFirstColumn="0" w:lastRowLastColumn="0"/>
        </w:trPr>
        <w:tc>
          <w:tcPr>
            <w:tcW w:w="4315" w:type="dxa"/>
          </w:tcPr>
          <w:p w:rsidR="00FA1AC4" w:rsidRDefault="00B11CCA">
            <w:pPr>
              <w:autoSpaceDE w:val="0"/>
              <w:autoSpaceDN w:val="0"/>
              <w:adjustRightInd w:val="0"/>
              <w:jc w:val="center"/>
              <w:rPr>
                <w:rFonts w:eastAsia="Calibri"/>
                <w:i/>
                <w:iCs/>
              </w:rPr>
            </w:pPr>
            <w:r>
              <w:rPr>
                <w:b w:val="0"/>
                <w:color w:val="000000"/>
              </w:rPr>
              <w:t>Cronbach's Alpha</w:t>
            </w:r>
          </w:p>
        </w:tc>
        <w:tc>
          <w:tcPr>
            <w:tcW w:w="4315" w:type="dxa"/>
          </w:tcPr>
          <w:p w:rsidR="00FA1AC4" w:rsidRDefault="00B11CCA">
            <w:pPr>
              <w:autoSpaceDE w:val="0"/>
              <w:autoSpaceDN w:val="0"/>
              <w:adjustRightInd w:val="0"/>
              <w:jc w:val="center"/>
              <w:rPr>
                <w:rFonts w:eastAsia="Calibri"/>
                <w:iCs/>
              </w:rPr>
            </w:pPr>
            <w:r>
              <w:rPr>
                <w:b w:val="0"/>
                <w:color w:val="000000"/>
              </w:rPr>
              <w:t>Number of Items</w:t>
            </w:r>
          </w:p>
        </w:tc>
      </w:tr>
      <w:tr w:rsidR="00FA1AC4" w:rsidTr="00FA1AC4">
        <w:tc>
          <w:tcPr>
            <w:tcW w:w="4315" w:type="dxa"/>
          </w:tcPr>
          <w:p w:rsidR="00FA1AC4" w:rsidRDefault="00B11CCA">
            <w:pPr>
              <w:autoSpaceDE w:val="0"/>
              <w:autoSpaceDN w:val="0"/>
              <w:adjustRightInd w:val="0"/>
              <w:jc w:val="center"/>
              <w:rPr>
                <w:rFonts w:eastAsia="Calibri"/>
                <w:iCs/>
              </w:rPr>
            </w:pPr>
            <w:r>
              <w:rPr>
                <w:color w:val="000000"/>
              </w:rPr>
              <w:t>0.108</w:t>
            </w:r>
          </w:p>
        </w:tc>
        <w:tc>
          <w:tcPr>
            <w:tcW w:w="4315" w:type="dxa"/>
          </w:tcPr>
          <w:p w:rsidR="00FA1AC4" w:rsidRDefault="00B11CCA">
            <w:pPr>
              <w:autoSpaceDE w:val="0"/>
              <w:autoSpaceDN w:val="0"/>
              <w:adjustRightInd w:val="0"/>
              <w:jc w:val="center"/>
              <w:rPr>
                <w:rFonts w:eastAsia="Calibri"/>
                <w:iCs/>
              </w:rPr>
            </w:pPr>
            <w:r>
              <w:rPr>
                <w:rFonts w:eastAsia="Calibri"/>
                <w:iCs/>
              </w:rPr>
              <w:t>4</w:t>
            </w:r>
          </w:p>
        </w:tc>
      </w:tr>
    </w:tbl>
    <w:p w:rsidR="00FA1AC4" w:rsidRDefault="00B11CCA">
      <w:pPr>
        <w:autoSpaceDE w:val="0"/>
        <w:autoSpaceDN w:val="0"/>
        <w:adjustRightInd w:val="0"/>
        <w:spacing w:after="240"/>
        <w:rPr>
          <w:rFonts w:eastAsia="Calibri"/>
          <w:i/>
          <w:iCs/>
        </w:rPr>
      </w:pPr>
      <w:r>
        <w:rPr>
          <w:rFonts w:eastAsia="Calibri"/>
          <w:i/>
          <w:iCs/>
        </w:rPr>
        <w:t xml:space="preserve"> </w:t>
      </w:r>
      <w:r>
        <w:rPr>
          <w:rFonts w:eastAsia="Calibri"/>
        </w:rPr>
        <w:t>Source: Author’s Computation, (2022)</w:t>
      </w:r>
    </w:p>
    <w:p w:rsidR="00FA1AC4" w:rsidRDefault="00B11CCA">
      <w:pPr>
        <w:pStyle w:val="ListParagraph"/>
        <w:numPr>
          <w:ilvl w:val="1"/>
          <w:numId w:val="3"/>
        </w:numPr>
        <w:rPr>
          <w:rFonts w:eastAsia="Calibri"/>
          <w:b/>
          <w:color w:val="000000"/>
          <w:sz w:val="28"/>
          <w:szCs w:val="28"/>
          <w:shd w:val="clear" w:color="auto" w:fill="FFFFFF"/>
        </w:rPr>
      </w:pPr>
      <w:r>
        <w:rPr>
          <w:rFonts w:eastAsia="Calibri"/>
          <w:b/>
          <w:color w:val="000000"/>
          <w:sz w:val="28"/>
          <w:szCs w:val="28"/>
          <w:shd w:val="clear" w:color="auto" w:fill="FFFFFF"/>
        </w:rPr>
        <w:t>Validity of Research Instrument</w:t>
      </w:r>
    </w:p>
    <w:p w:rsidR="00FA1AC4" w:rsidRDefault="00B11CCA">
      <w:pPr>
        <w:spacing w:after="240"/>
        <w:rPr>
          <w:rFonts w:eastAsia="Calibri"/>
          <w:color w:val="000000"/>
        </w:rPr>
      </w:pPr>
      <w:r>
        <w:rPr>
          <w:rFonts w:eastAsia="Calibri"/>
          <w:color w:val="000000"/>
          <w:shd w:val="clear" w:color="auto" w:fill="FFFFFF"/>
        </w:rPr>
        <w:t xml:space="preserve">Validity refers to how well the information gathered corresponds to the subject of the study. An instrument is valid if it accurately measures the variable it is designed to measure; in other words, if it accurately measures any prescribed variable, it is regarded a valid instrument for that variable. Face validity, criterion validity, content validity, and construct validity are the four types of validity. </w:t>
      </w:r>
      <w:r>
        <w:rPr>
          <w:rFonts w:eastAsia="Calibri"/>
          <w:color w:val="000000"/>
          <w:shd w:val="clear" w:color="auto" w:fill="FFFFFF"/>
        </w:rPr>
        <w:fldChar w:fldCharType="begin"/>
      </w:r>
      <w:r>
        <w:rPr>
          <w:rFonts w:eastAsia="Calibri"/>
          <w:color w:val="000000"/>
          <w:shd w:val="clear" w:color="auto" w:fill="FFFFFF"/>
        </w:rPr>
        <w:instrText>ADDIN CSL_CITATION {"citationItems":[{"id":"ITEM-1","itemData":{"DOI":"10.2139/ssrn.3205040","author":[{"dropping-particle":"","family":"Taherdoost","given":"Hamed","non-dropping-particle":"","parse-names":false,"suffix":""}],"container-title":"International Journal of Academic Research in Management (IJARM)","id":"ITEM-1","issue":"3","issued":{"date-parts":[["2016"]]},"page":"28-36","title":"Validity and Reliability of the Research Instrument ; How to Test the Validation of a Questionnaire / Survey in a Research","type":"article-journal","volume":"5"},"uris":["http://www.mendeley.com/documents/?uuid=a006103a-a178-462f-b7e0-e89f938afb67"]}],"mendeley":{"formattedCitation":"(Taherdoost, 2016)","manualFormatting":"(Taherdoost, 2016","plainTextFormattedCitation":"(Taherdoost, 2016)","previouslyFormattedCitation":"(Taherdoost, 2016)"},"properties":{"noteIndex":0},"schema":"https://github.com/citation-style-language/schema/raw/master/csl-citation.json"}</w:instrText>
      </w:r>
      <w:r>
        <w:rPr>
          <w:rFonts w:eastAsia="Calibri"/>
          <w:color w:val="000000"/>
          <w:shd w:val="clear" w:color="auto" w:fill="FFFFFF"/>
        </w:rPr>
        <w:fldChar w:fldCharType="separate"/>
      </w:r>
      <w:r>
        <w:rPr>
          <w:rFonts w:eastAsia="Calibri"/>
          <w:noProof/>
          <w:color w:val="000000"/>
          <w:shd w:val="clear" w:color="auto" w:fill="FFFFFF"/>
        </w:rPr>
        <w:t>(Taherdoost, 2016</w:t>
      </w:r>
      <w:r>
        <w:rPr>
          <w:rFonts w:eastAsia="Calibri"/>
          <w:color w:val="000000"/>
          <w:shd w:val="clear" w:color="auto" w:fill="FFFFFF"/>
        </w:rPr>
        <w:fldChar w:fldCharType="end"/>
      </w:r>
      <w:r>
        <w:rPr>
          <w:rFonts w:eastAsia="Calibri"/>
          <w:color w:val="000000"/>
          <w:shd w:val="clear" w:color="auto" w:fill="FFFFFF"/>
        </w:rPr>
        <w:t xml:space="preserve">; </w:t>
      </w:r>
      <w:r>
        <w:rPr>
          <w:rFonts w:eastAsia="Calibri"/>
          <w:color w:val="000000"/>
          <w:shd w:val="clear" w:color="auto" w:fill="FFFFFF"/>
        </w:rPr>
        <w:fldChar w:fldCharType="begin"/>
      </w:r>
      <w:r>
        <w:rPr>
          <w:rFonts w:eastAsia="Calibri"/>
          <w:color w:val="000000"/>
          <w:shd w:val="clear" w:color="auto" w:fill="FFFFFF"/>
        </w:rPr>
        <w:instrText>ADDIN CSL_CITATION {"citationItems":[{"id":"ITEM-1","itemData":{"author":[{"dropping-particle":"","family":"Ghazali","given":"N.","non-dropping-particle":"","parse-names":false,"suffix":""}],"container-title":"International Journal of Evaluation and Research in Education (IJERE)","id":"ITEM-1","issue":"2","issued":{"date-parts":[["2016"]]},"page":"148-157","title":"A Reliability and Validity of an Instrument to Evaluate the School-Based Assessment System : A Pilot Study","type":"article-journal","volume":"5"},"uris":["http://www.mendeley.com/documents/?uuid=d977ede5-941d-4048-91df-ade676aaee48"]}],"mendeley":{"formattedCitation":"(Ghazali, 2016)","manualFormatting":"Ghazali, 2016)","plainTextFormattedCitation":"(Ghazali, 2016)","previouslyFormattedCitation":"(Ghazali, 2016)"},"properties":{"noteIndex":0},"schema":"https://github.com/citation-style-language/schema/raw/master/csl-citation.json"}</w:instrText>
      </w:r>
      <w:r>
        <w:rPr>
          <w:rFonts w:eastAsia="Calibri"/>
          <w:color w:val="000000"/>
          <w:shd w:val="clear" w:color="auto" w:fill="FFFFFF"/>
        </w:rPr>
        <w:fldChar w:fldCharType="separate"/>
      </w:r>
      <w:r>
        <w:rPr>
          <w:rFonts w:eastAsia="Calibri"/>
          <w:noProof/>
          <w:color w:val="000000"/>
          <w:shd w:val="clear" w:color="auto" w:fill="FFFFFF"/>
        </w:rPr>
        <w:t>Ghazali, 2016)</w:t>
      </w:r>
      <w:r>
        <w:rPr>
          <w:rFonts w:eastAsia="Calibri"/>
          <w:color w:val="000000"/>
          <w:shd w:val="clear" w:color="auto" w:fill="FFFFFF"/>
        </w:rPr>
        <w:fldChar w:fldCharType="end"/>
      </w:r>
      <w:r>
        <w:rPr>
          <w:rFonts w:eastAsia="Calibri"/>
          <w:color w:val="000000"/>
          <w:shd w:val="clear" w:color="auto" w:fill="FFFFFF"/>
        </w:rPr>
        <w:t xml:space="preserve">. Validity indicates if the test scores are measuring the proper items for the test's intended purpose </w:t>
      </w:r>
      <w:r>
        <w:rPr>
          <w:rFonts w:eastAsia="Calibri"/>
          <w:color w:val="000000"/>
          <w:shd w:val="clear" w:color="auto" w:fill="FFFFFF"/>
        </w:rPr>
        <w:lastRenderedPageBreak/>
        <w:fldChar w:fldCharType="begin"/>
      </w:r>
      <w:r>
        <w:rPr>
          <w:rFonts w:eastAsia="Calibri"/>
          <w:color w:val="000000"/>
          <w:shd w:val="clear" w:color="auto" w:fill="FFFFFF"/>
        </w:rPr>
        <w:instrText>ADDIN CSL_CITATION {"citationItems":[{"id":"ITEM-1","itemData":{"author":[{"dropping-particle":"","family":"Drost","given":"Ellen A","non-dropping-particle":"","parse-names":false,"suffix":""}],"container-title":"International Perspectives on Higher Education Research","id":"ITEM-1","issue":"1","issued":{"date-parts":[["2015"]]},"title":"Validity and Reliability in Social Science Research Validity and Reliability in Social Science Research","type":"article-journal","volume":"38"},"uris":["http://www.mendeley.com/documents/?uuid=3c565789-4cec-4160-ac23-f1501a143caf"]}],"mendeley":{"formattedCitation":"(Drost, 2015)","plainTextFormattedCitation":"(Drost, 2015)","previouslyFormattedCitation":"(Drost, 2015)"},"properties":{"noteIndex":0},"schema":"https://github.com/citation-style-language/schema/raw/master/csl-citation.json"}</w:instrText>
      </w:r>
      <w:r>
        <w:rPr>
          <w:rFonts w:eastAsia="Calibri"/>
          <w:color w:val="000000"/>
          <w:shd w:val="clear" w:color="auto" w:fill="FFFFFF"/>
        </w:rPr>
        <w:fldChar w:fldCharType="separate"/>
      </w:r>
      <w:r>
        <w:rPr>
          <w:rFonts w:eastAsia="Calibri"/>
          <w:noProof/>
          <w:color w:val="000000"/>
          <w:shd w:val="clear" w:color="auto" w:fill="FFFFFF"/>
        </w:rPr>
        <w:t>(Drost, 2015)</w:t>
      </w:r>
      <w:r>
        <w:rPr>
          <w:rFonts w:eastAsia="Calibri"/>
          <w:color w:val="000000"/>
          <w:shd w:val="clear" w:color="auto" w:fill="FFFFFF"/>
        </w:rPr>
        <w:fldChar w:fldCharType="end"/>
      </w:r>
      <w:r>
        <w:rPr>
          <w:rFonts w:eastAsia="Calibri"/>
          <w:color w:val="000000"/>
          <w:shd w:val="clear" w:color="auto" w:fill="FFFFFF"/>
        </w:rPr>
        <w:t>. Content validity is the validity test that would be employed in this study because the</w:t>
      </w:r>
      <w:r>
        <w:rPr>
          <w:rFonts w:eastAsia="Calibri"/>
          <w:color w:val="000000"/>
        </w:rPr>
        <w:t xml:space="preserve"> goal of content validity is to guarantee that a research instrument is appropriate for the topic.</w:t>
      </w:r>
    </w:p>
    <w:p w:rsidR="00FA1AC4" w:rsidRDefault="00B11CCA">
      <w:pPr>
        <w:pStyle w:val="Heading2"/>
        <w:numPr>
          <w:ilvl w:val="1"/>
          <w:numId w:val="23"/>
        </w:numPr>
        <w:ind w:left="709"/>
        <w:rPr>
          <w:rFonts w:eastAsia="Calibri"/>
          <w:shd w:val="clear" w:color="auto" w:fill="FFFFFF"/>
        </w:rPr>
      </w:pPr>
      <w:bookmarkStart w:id="56" w:name="_Toc112342373"/>
      <w:r>
        <w:rPr>
          <w:rFonts w:eastAsia="Calibri"/>
          <w:shd w:val="clear" w:color="auto" w:fill="FFFFFF"/>
        </w:rPr>
        <w:t>Data Analytical Method/ Techniques</w:t>
      </w:r>
      <w:bookmarkEnd w:id="56"/>
    </w:p>
    <w:p w:rsidR="00FA1AC4" w:rsidRDefault="00B11CCA">
      <w:pPr>
        <w:spacing w:after="240"/>
        <w:rPr>
          <w:rFonts w:eastAsia="Calibri"/>
        </w:rPr>
      </w:pPr>
      <w:r>
        <w:rPr>
          <w:rFonts w:eastAsia="Calibri"/>
        </w:rPr>
        <w:t>Primary and secondary data were gathered, and both quantitative and qualitative research techniques were used to analyze the data. To determine the degree to which the independent variables (audit committee and internal control) predicted the dependent variable, the data were analyzed using multiple linear regression analysis (effective financial reporting). Likert Scale system was used as the qualitative analysis approach for the survey questionnaire's primary data.</w:t>
      </w:r>
    </w:p>
    <w:p w:rsidR="00FA1AC4" w:rsidRDefault="00B11CCA">
      <w:pPr>
        <w:pStyle w:val="Heading2"/>
        <w:numPr>
          <w:ilvl w:val="1"/>
          <w:numId w:val="23"/>
        </w:numPr>
        <w:ind w:left="709"/>
        <w:rPr>
          <w:rFonts w:eastAsia="Calibri"/>
          <w:shd w:val="clear" w:color="auto" w:fill="FFFFFF"/>
        </w:rPr>
      </w:pPr>
      <w:bookmarkStart w:id="57" w:name="_Toc112342374"/>
      <w:r>
        <w:rPr>
          <w:rFonts w:eastAsia="Calibri"/>
          <w:shd w:val="clear" w:color="auto" w:fill="FFFFFF"/>
        </w:rPr>
        <w:t>Model Specification</w:t>
      </w:r>
      <w:bookmarkEnd w:id="57"/>
    </w:p>
    <w:p w:rsidR="00FA1AC4" w:rsidRDefault="00B11CCA">
      <w:pPr>
        <w:rPr>
          <w:rFonts w:eastAsia="Calibri"/>
        </w:rPr>
      </w:pPr>
      <w:r>
        <w:rPr>
          <w:rFonts w:eastAsia="Calibri"/>
        </w:rPr>
        <w:t>The study's model will show how the independent variables (audit committee size, audit committee meetings, audit committee composition, audit committee female member, control environment, information and communication, risk assessment, control activities and monitoring); the dependent variables (financial reporting quality proxy by accruals); and the control variables (firm size and firm age) may be related to one another. The model looks like this for objective 1 and 2:</w:t>
      </w:r>
    </w:p>
    <w:p w:rsidR="00FA1AC4" w:rsidRDefault="00B11CCA">
      <w:pPr>
        <w:rPr>
          <w:rFonts w:eastAsia="Calibri"/>
        </w:rPr>
      </w:pPr>
      <w:r>
        <w:rPr>
          <w:rFonts w:eastAsia="Calibri"/>
        </w:rPr>
        <w:t>Objective 1</w:t>
      </w:r>
    </w:p>
    <w:p w:rsidR="00FA1AC4" w:rsidRDefault="00B11CCA">
      <w:pPr>
        <w:rPr>
          <w:rFonts w:eastAsia="Calibri"/>
          <w:shd w:val="clear" w:color="auto" w:fill="FFFFFF"/>
        </w:rPr>
      </w:pPr>
      <w:r>
        <w:rPr>
          <w:rFonts w:eastAsia="Calibri"/>
          <w:shd w:val="clear" w:color="auto" w:fill="FFFFFF"/>
        </w:rPr>
        <w:t>Y</w:t>
      </w:r>
      <w:r>
        <w:rPr>
          <w:rFonts w:eastAsia="Calibri"/>
          <w:shd w:val="clear" w:color="auto" w:fill="FFFFFF"/>
          <w:vertAlign w:val="subscript"/>
        </w:rPr>
        <w:t xml:space="preserve"> </w:t>
      </w:r>
      <w:r>
        <w:rPr>
          <w:rFonts w:eastAsia="Calibri"/>
          <w:shd w:val="clear" w:color="auto" w:fill="FFFFFF"/>
        </w:rPr>
        <w:t>= ƒ (βo + β</w:t>
      </w:r>
      <w:r>
        <w:rPr>
          <w:rFonts w:eastAsia="Calibri"/>
          <w:shd w:val="clear" w:color="auto" w:fill="FFFFFF"/>
          <w:vertAlign w:val="subscript"/>
        </w:rPr>
        <w:t>1</w:t>
      </w:r>
      <w:r>
        <w:rPr>
          <w:rFonts w:eastAsia="Calibri"/>
          <w:shd w:val="clear" w:color="auto" w:fill="FFFFFF"/>
        </w:rPr>
        <w:t>X</w:t>
      </w:r>
      <w:r>
        <w:rPr>
          <w:rFonts w:eastAsia="Calibri"/>
          <w:shd w:val="clear" w:color="auto" w:fill="FFFFFF"/>
          <w:vertAlign w:val="subscript"/>
        </w:rPr>
        <w:t>1</w:t>
      </w:r>
      <w:r>
        <w:rPr>
          <w:rFonts w:eastAsia="Calibri"/>
          <w:shd w:val="clear" w:color="auto" w:fill="FFFFFF"/>
        </w:rPr>
        <w:t xml:space="preserve"> +β</w:t>
      </w:r>
      <w:r>
        <w:rPr>
          <w:rFonts w:eastAsia="Calibri"/>
          <w:shd w:val="clear" w:color="auto" w:fill="FFFFFF"/>
          <w:vertAlign w:val="subscript"/>
        </w:rPr>
        <w:t>2</w:t>
      </w:r>
      <w:r>
        <w:rPr>
          <w:rFonts w:eastAsia="Calibri"/>
          <w:shd w:val="clear" w:color="auto" w:fill="FFFFFF"/>
        </w:rPr>
        <w:t xml:space="preserve"> X</w:t>
      </w:r>
      <w:r>
        <w:rPr>
          <w:rFonts w:eastAsia="Calibri"/>
          <w:shd w:val="clear" w:color="auto" w:fill="FFFFFF"/>
          <w:vertAlign w:val="subscript"/>
        </w:rPr>
        <w:t>2</w:t>
      </w:r>
      <w:r>
        <w:rPr>
          <w:rFonts w:eastAsia="Calibri"/>
          <w:shd w:val="clear" w:color="auto" w:fill="FFFFFF"/>
        </w:rPr>
        <w:t xml:space="preserve"> +β</w:t>
      </w:r>
      <w:r>
        <w:rPr>
          <w:rFonts w:eastAsia="Calibri"/>
          <w:shd w:val="clear" w:color="auto" w:fill="FFFFFF"/>
          <w:vertAlign w:val="subscript"/>
        </w:rPr>
        <w:t>3</w:t>
      </w:r>
      <w:r>
        <w:rPr>
          <w:rFonts w:eastAsia="Calibri"/>
          <w:shd w:val="clear" w:color="auto" w:fill="FFFFFF"/>
        </w:rPr>
        <w:t xml:space="preserve"> X</w:t>
      </w:r>
      <w:r>
        <w:rPr>
          <w:rFonts w:eastAsia="Calibri"/>
          <w:shd w:val="clear" w:color="auto" w:fill="FFFFFF"/>
          <w:vertAlign w:val="subscript"/>
        </w:rPr>
        <w:t>3</w:t>
      </w:r>
      <w:r>
        <w:rPr>
          <w:rFonts w:eastAsia="Calibri"/>
          <w:shd w:val="clear" w:color="auto" w:fill="FFFFFF"/>
        </w:rPr>
        <w:t>+ β</w:t>
      </w:r>
      <w:r>
        <w:rPr>
          <w:rFonts w:eastAsia="Calibri"/>
          <w:shd w:val="clear" w:color="auto" w:fill="FFFFFF"/>
          <w:vertAlign w:val="subscript"/>
        </w:rPr>
        <w:t>4</w:t>
      </w:r>
      <w:r>
        <w:rPr>
          <w:rFonts w:eastAsia="Calibri"/>
          <w:shd w:val="clear" w:color="auto" w:fill="FFFFFF"/>
        </w:rPr>
        <w:t xml:space="preserve"> X</w:t>
      </w:r>
      <w:r>
        <w:rPr>
          <w:rFonts w:eastAsia="Calibri"/>
          <w:shd w:val="clear" w:color="auto" w:fill="FFFFFF"/>
          <w:vertAlign w:val="subscript"/>
        </w:rPr>
        <w:t>4</w:t>
      </w:r>
      <w:r>
        <w:rPr>
          <w:rFonts w:eastAsia="Calibri"/>
          <w:shd w:val="clear" w:color="auto" w:fill="FFFFFF"/>
        </w:rPr>
        <w:t>+ β</w:t>
      </w:r>
      <w:r>
        <w:rPr>
          <w:rFonts w:eastAsia="Calibri"/>
          <w:shd w:val="clear" w:color="auto" w:fill="FFFFFF"/>
          <w:vertAlign w:val="subscript"/>
        </w:rPr>
        <w:t>5</w:t>
      </w:r>
      <w:r>
        <w:rPr>
          <w:rFonts w:eastAsia="Calibri"/>
          <w:shd w:val="clear" w:color="auto" w:fill="FFFFFF"/>
        </w:rPr>
        <w:t xml:space="preserve"> X</w:t>
      </w:r>
      <w:r>
        <w:rPr>
          <w:rFonts w:eastAsia="Calibri"/>
          <w:shd w:val="clear" w:color="auto" w:fill="FFFFFF"/>
          <w:vertAlign w:val="subscript"/>
        </w:rPr>
        <w:t xml:space="preserve">5 </w:t>
      </w:r>
      <w:r>
        <w:rPr>
          <w:rFonts w:eastAsia="Calibri"/>
          <w:shd w:val="clear" w:color="auto" w:fill="FFFFFF"/>
        </w:rPr>
        <w:t>+ β</w:t>
      </w:r>
      <w:r>
        <w:rPr>
          <w:rFonts w:eastAsia="Calibri"/>
          <w:shd w:val="clear" w:color="auto" w:fill="FFFFFF"/>
          <w:vertAlign w:val="subscript"/>
        </w:rPr>
        <w:t>6</w:t>
      </w:r>
      <w:r>
        <w:rPr>
          <w:rFonts w:eastAsia="Calibri"/>
          <w:shd w:val="clear" w:color="auto" w:fill="FFFFFF"/>
        </w:rPr>
        <w:t xml:space="preserve"> X</w:t>
      </w:r>
      <w:r>
        <w:rPr>
          <w:rFonts w:eastAsia="Calibri"/>
          <w:shd w:val="clear" w:color="auto" w:fill="FFFFFF"/>
          <w:vertAlign w:val="subscript"/>
        </w:rPr>
        <w:t>6</w:t>
      </w:r>
      <w:r>
        <w:rPr>
          <w:rFonts w:eastAsia="Calibri"/>
          <w:shd w:val="clear" w:color="auto" w:fill="FFFFFF"/>
        </w:rPr>
        <w:t xml:space="preserve">) </w:t>
      </w:r>
    </w:p>
    <w:p w:rsidR="00FA1AC4" w:rsidRDefault="00B11CCA">
      <w:pPr>
        <w:rPr>
          <w:rFonts w:eastAsia="Calibri"/>
        </w:rPr>
      </w:pPr>
      <w:r>
        <w:rPr>
          <w:rFonts w:eastAsia="Calibri"/>
          <w:shd w:val="clear" w:color="auto" w:fill="FFFFFF"/>
        </w:rPr>
        <w:t>FRQ</w:t>
      </w:r>
      <w:r>
        <w:rPr>
          <w:rFonts w:eastAsia="Calibri"/>
          <w:shd w:val="clear" w:color="auto" w:fill="FFFFFF"/>
          <w:vertAlign w:val="subscript"/>
        </w:rPr>
        <w:t>it</w:t>
      </w:r>
      <w:r>
        <w:rPr>
          <w:rFonts w:eastAsia="Calibri"/>
          <w:shd w:val="clear" w:color="auto" w:fill="FFFFFF"/>
        </w:rPr>
        <w:t xml:space="preserve"> = (ACM, ACS, ACC, ACFM, FSIZE, FAGE)</w:t>
      </w:r>
    </w:p>
    <w:p w:rsidR="00FA1AC4" w:rsidRDefault="00B11CCA">
      <w:pPr>
        <w:rPr>
          <w:rFonts w:eastAsia="Calibri"/>
          <w:shd w:val="clear" w:color="auto" w:fill="FFFFFF"/>
        </w:rPr>
      </w:pPr>
      <w:r>
        <w:rPr>
          <w:rFonts w:eastAsia="Calibri"/>
          <w:shd w:val="clear" w:color="auto" w:fill="FFFFFF"/>
        </w:rPr>
        <w:t>DACC</w:t>
      </w:r>
      <w:r>
        <w:rPr>
          <w:rFonts w:eastAsia="Calibri"/>
          <w:shd w:val="clear" w:color="auto" w:fill="FFFFFF"/>
          <w:vertAlign w:val="subscript"/>
        </w:rPr>
        <w:t xml:space="preserve">it </w:t>
      </w:r>
      <w:r>
        <w:rPr>
          <w:rFonts w:eastAsia="Calibri"/>
          <w:shd w:val="clear" w:color="auto" w:fill="FFFFFF"/>
        </w:rPr>
        <w:t>= ƒ (βo + β</w:t>
      </w:r>
      <w:r>
        <w:rPr>
          <w:rFonts w:eastAsia="Calibri"/>
          <w:shd w:val="clear" w:color="auto" w:fill="FFFFFF"/>
          <w:vertAlign w:val="subscript"/>
        </w:rPr>
        <w:t>1</w:t>
      </w:r>
      <w:r>
        <w:rPr>
          <w:rFonts w:eastAsia="Calibri"/>
          <w:shd w:val="clear" w:color="auto" w:fill="FFFFFF"/>
        </w:rPr>
        <w:t>ACM +β</w:t>
      </w:r>
      <w:r>
        <w:rPr>
          <w:rFonts w:eastAsia="Calibri"/>
          <w:shd w:val="clear" w:color="auto" w:fill="FFFFFF"/>
          <w:vertAlign w:val="subscript"/>
        </w:rPr>
        <w:t>2</w:t>
      </w:r>
      <w:r>
        <w:rPr>
          <w:rFonts w:eastAsia="Calibri"/>
          <w:shd w:val="clear" w:color="auto" w:fill="FFFFFF"/>
        </w:rPr>
        <w:t>ACS + β</w:t>
      </w:r>
      <w:r>
        <w:rPr>
          <w:rFonts w:eastAsia="Calibri"/>
          <w:shd w:val="clear" w:color="auto" w:fill="FFFFFF"/>
          <w:vertAlign w:val="subscript"/>
        </w:rPr>
        <w:t>3</w:t>
      </w:r>
      <w:r>
        <w:rPr>
          <w:rFonts w:eastAsia="Calibri"/>
          <w:shd w:val="clear" w:color="auto" w:fill="FFFFFF"/>
        </w:rPr>
        <w:t>ACC+ β</w:t>
      </w:r>
      <w:r>
        <w:rPr>
          <w:rFonts w:eastAsia="Calibri"/>
          <w:shd w:val="clear" w:color="auto" w:fill="FFFFFF"/>
          <w:vertAlign w:val="subscript"/>
        </w:rPr>
        <w:t>4</w:t>
      </w:r>
      <w:r>
        <w:rPr>
          <w:rFonts w:eastAsia="Calibri"/>
          <w:shd w:val="clear" w:color="auto" w:fill="FFFFFF"/>
        </w:rPr>
        <w:t>ACFM + β</w:t>
      </w:r>
      <w:r>
        <w:rPr>
          <w:rFonts w:eastAsia="Calibri"/>
          <w:shd w:val="clear" w:color="auto" w:fill="FFFFFF"/>
          <w:vertAlign w:val="subscript"/>
        </w:rPr>
        <w:t>5</w:t>
      </w:r>
      <w:r>
        <w:rPr>
          <w:rFonts w:eastAsia="Calibri"/>
          <w:shd w:val="clear" w:color="auto" w:fill="FFFFFF"/>
        </w:rPr>
        <w:t>FSIZE + β</w:t>
      </w:r>
      <w:r>
        <w:rPr>
          <w:rFonts w:eastAsia="Calibri"/>
          <w:shd w:val="clear" w:color="auto" w:fill="FFFFFF"/>
          <w:vertAlign w:val="subscript"/>
        </w:rPr>
        <w:t>6</w:t>
      </w:r>
      <w:r>
        <w:rPr>
          <w:rFonts w:eastAsia="Calibri"/>
          <w:shd w:val="clear" w:color="auto" w:fill="FFFFFF"/>
        </w:rPr>
        <w:t>FAGE + Ɛ)</w:t>
      </w:r>
    </w:p>
    <w:p w:rsidR="00FA1AC4" w:rsidRDefault="00B11CCA">
      <w:pPr>
        <w:rPr>
          <w:rFonts w:eastAsia="Calibri"/>
          <w:shd w:val="clear" w:color="auto" w:fill="FFFFFF"/>
        </w:rPr>
      </w:pPr>
      <w:r>
        <w:rPr>
          <w:rFonts w:eastAsia="Calibri"/>
          <w:shd w:val="clear" w:color="auto" w:fill="FFFFFF"/>
        </w:rPr>
        <w:t>Objective 2</w:t>
      </w:r>
    </w:p>
    <w:p w:rsidR="00FA1AC4" w:rsidRDefault="00B11CCA">
      <w:pPr>
        <w:rPr>
          <w:rFonts w:eastAsia="Calibri"/>
          <w:shd w:val="clear" w:color="auto" w:fill="FFFFFF"/>
        </w:rPr>
      </w:pPr>
      <w:r>
        <w:rPr>
          <w:rFonts w:eastAsia="Calibri"/>
          <w:shd w:val="clear" w:color="auto" w:fill="FFFFFF"/>
        </w:rPr>
        <w:lastRenderedPageBreak/>
        <w:t>Z</w:t>
      </w:r>
      <w:r>
        <w:rPr>
          <w:rFonts w:eastAsia="Calibri"/>
          <w:shd w:val="clear" w:color="auto" w:fill="FFFFFF"/>
          <w:vertAlign w:val="subscript"/>
        </w:rPr>
        <w:t xml:space="preserve"> </w:t>
      </w:r>
      <w:r>
        <w:rPr>
          <w:rFonts w:eastAsia="Calibri"/>
          <w:shd w:val="clear" w:color="auto" w:fill="FFFFFF"/>
        </w:rPr>
        <w:t>= ƒ (βo +β</w:t>
      </w:r>
      <w:r>
        <w:rPr>
          <w:rFonts w:eastAsia="Calibri"/>
          <w:shd w:val="clear" w:color="auto" w:fill="FFFFFF"/>
          <w:vertAlign w:val="subscript"/>
        </w:rPr>
        <w:t>1</w:t>
      </w:r>
      <w:r>
        <w:rPr>
          <w:rFonts w:eastAsia="Calibri"/>
          <w:shd w:val="clear" w:color="auto" w:fill="FFFFFF"/>
        </w:rPr>
        <w:t xml:space="preserve"> H</w:t>
      </w:r>
      <w:r>
        <w:rPr>
          <w:rFonts w:eastAsia="Calibri"/>
          <w:shd w:val="clear" w:color="auto" w:fill="FFFFFF"/>
          <w:vertAlign w:val="subscript"/>
        </w:rPr>
        <w:t>1</w:t>
      </w:r>
      <w:r>
        <w:rPr>
          <w:rFonts w:eastAsia="Calibri"/>
          <w:shd w:val="clear" w:color="auto" w:fill="FFFFFF"/>
        </w:rPr>
        <w:t xml:space="preserve"> + β</w:t>
      </w:r>
      <w:r>
        <w:rPr>
          <w:rFonts w:eastAsia="Calibri"/>
          <w:shd w:val="clear" w:color="auto" w:fill="FFFFFF"/>
          <w:vertAlign w:val="subscript"/>
        </w:rPr>
        <w:t>2</w:t>
      </w:r>
      <w:r>
        <w:rPr>
          <w:rFonts w:eastAsia="Calibri"/>
          <w:shd w:val="clear" w:color="auto" w:fill="FFFFFF"/>
        </w:rPr>
        <w:t xml:space="preserve"> H</w:t>
      </w:r>
      <w:r>
        <w:rPr>
          <w:rFonts w:eastAsia="Calibri"/>
          <w:shd w:val="clear" w:color="auto" w:fill="FFFFFF"/>
          <w:vertAlign w:val="subscript"/>
        </w:rPr>
        <w:t xml:space="preserve">2 </w:t>
      </w:r>
      <w:r>
        <w:rPr>
          <w:rFonts w:eastAsia="Calibri"/>
          <w:shd w:val="clear" w:color="auto" w:fill="FFFFFF"/>
        </w:rPr>
        <w:t>+ β</w:t>
      </w:r>
      <w:r>
        <w:rPr>
          <w:rFonts w:eastAsia="Calibri"/>
          <w:shd w:val="clear" w:color="auto" w:fill="FFFFFF"/>
          <w:vertAlign w:val="subscript"/>
        </w:rPr>
        <w:t>3</w:t>
      </w:r>
      <w:r>
        <w:rPr>
          <w:rFonts w:eastAsia="Calibri"/>
          <w:shd w:val="clear" w:color="auto" w:fill="FFFFFF"/>
        </w:rPr>
        <w:t xml:space="preserve"> H</w:t>
      </w:r>
      <w:r>
        <w:rPr>
          <w:rFonts w:eastAsia="Calibri"/>
          <w:shd w:val="clear" w:color="auto" w:fill="FFFFFF"/>
          <w:vertAlign w:val="subscript"/>
        </w:rPr>
        <w:t xml:space="preserve">3 </w:t>
      </w:r>
      <w:r>
        <w:rPr>
          <w:rFonts w:eastAsia="Calibri"/>
          <w:shd w:val="clear" w:color="auto" w:fill="FFFFFF"/>
        </w:rPr>
        <w:t>+ β</w:t>
      </w:r>
      <w:r>
        <w:rPr>
          <w:rFonts w:eastAsia="Calibri"/>
          <w:shd w:val="clear" w:color="auto" w:fill="FFFFFF"/>
          <w:vertAlign w:val="subscript"/>
        </w:rPr>
        <w:t>4</w:t>
      </w:r>
      <w:r>
        <w:rPr>
          <w:rFonts w:eastAsia="Calibri"/>
          <w:shd w:val="clear" w:color="auto" w:fill="FFFFFF"/>
        </w:rPr>
        <w:t xml:space="preserve"> H</w:t>
      </w:r>
      <w:r>
        <w:rPr>
          <w:rFonts w:eastAsia="Calibri"/>
          <w:shd w:val="clear" w:color="auto" w:fill="FFFFFF"/>
          <w:vertAlign w:val="subscript"/>
        </w:rPr>
        <w:t xml:space="preserve">4 </w:t>
      </w:r>
      <w:r>
        <w:rPr>
          <w:rFonts w:eastAsia="Calibri"/>
          <w:shd w:val="clear" w:color="auto" w:fill="FFFFFF"/>
        </w:rPr>
        <w:t>+ Ɛ)</w:t>
      </w:r>
    </w:p>
    <w:p w:rsidR="00FA1AC4" w:rsidRDefault="00B11CCA">
      <w:pPr>
        <w:rPr>
          <w:rFonts w:eastAsia="Calibri"/>
          <w:shd w:val="clear" w:color="auto" w:fill="FFFFFF"/>
        </w:rPr>
      </w:pPr>
      <w:r>
        <w:rPr>
          <w:rFonts w:eastAsia="Calibri"/>
          <w:shd w:val="clear" w:color="auto" w:fill="FFFFFF"/>
        </w:rPr>
        <w:t>FRQ</w:t>
      </w:r>
      <w:r>
        <w:rPr>
          <w:rFonts w:eastAsia="Calibri"/>
          <w:shd w:val="clear" w:color="auto" w:fill="FFFFFF"/>
          <w:vertAlign w:val="subscript"/>
        </w:rPr>
        <w:t>it</w:t>
      </w:r>
      <w:r>
        <w:rPr>
          <w:rFonts w:eastAsia="Calibri"/>
          <w:shd w:val="clear" w:color="auto" w:fill="FFFFFF"/>
        </w:rPr>
        <w:t xml:space="preserve"> = (COTEN, RIASS, MOTA, INFOC)</w:t>
      </w:r>
    </w:p>
    <w:p w:rsidR="00FA1AC4" w:rsidRDefault="00B11CCA">
      <w:pPr>
        <w:rPr>
          <w:rFonts w:eastAsia="Calibri"/>
          <w:shd w:val="clear" w:color="auto" w:fill="FFFFFF"/>
        </w:rPr>
      </w:pPr>
      <w:r>
        <w:rPr>
          <w:rFonts w:eastAsia="Calibri"/>
          <w:shd w:val="clear" w:color="auto" w:fill="FFFFFF"/>
        </w:rPr>
        <w:t>DACC</w:t>
      </w:r>
      <w:r>
        <w:rPr>
          <w:rFonts w:eastAsia="Calibri"/>
          <w:shd w:val="clear" w:color="auto" w:fill="FFFFFF"/>
          <w:vertAlign w:val="subscript"/>
        </w:rPr>
        <w:t xml:space="preserve">it </w:t>
      </w:r>
      <w:r>
        <w:rPr>
          <w:rFonts w:eastAsia="Calibri"/>
          <w:shd w:val="clear" w:color="auto" w:fill="FFFFFF"/>
        </w:rPr>
        <w:t>= ƒ (βo + β</w:t>
      </w:r>
      <w:r>
        <w:rPr>
          <w:rFonts w:eastAsia="Calibri"/>
          <w:shd w:val="clear" w:color="auto" w:fill="FFFFFF"/>
          <w:vertAlign w:val="subscript"/>
        </w:rPr>
        <w:t>7</w:t>
      </w:r>
      <w:r>
        <w:rPr>
          <w:rFonts w:eastAsia="Calibri"/>
          <w:shd w:val="clear" w:color="auto" w:fill="FFFFFF"/>
        </w:rPr>
        <w:t>COTA + β</w:t>
      </w:r>
      <w:r>
        <w:rPr>
          <w:rFonts w:eastAsia="Calibri"/>
          <w:shd w:val="clear" w:color="auto" w:fill="FFFFFF"/>
          <w:vertAlign w:val="subscript"/>
        </w:rPr>
        <w:t>8</w:t>
      </w:r>
      <w:r>
        <w:rPr>
          <w:rFonts w:eastAsia="Calibri"/>
          <w:shd w:val="clear" w:color="auto" w:fill="FFFFFF"/>
        </w:rPr>
        <w:t>RIASS + β</w:t>
      </w:r>
      <w:r>
        <w:rPr>
          <w:rFonts w:eastAsia="Calibri"/>
          <w:shd w:val="clear" w:color="auto" w:fill="FFFFFF"/>
          <w:vertAlign w:val="subscript"/>
        </w:rPr>
        <w:t>9</w:t>
      </w:r>
      <w:r>
        <w:rPr>
          <w:rFonts w:eastAsia="Calibri"/>
          <w:shd w:val="clear" w:color="auto" w:fill="FFFFFF"/>
        </w:rPr>
        <w:t>MOTA + β</w:t>
      </w:r>
      <w:r>
        <w:rPr>
          <w:rFonts w:eastAsia="Calibri"/>
          <w:shd w:val="clear" w:color="auto" w:fill="FFFFFF"/>
          <w:vertAlign w:val="subscript"/>
        </w:rPr>
        <w:t>10</w:t>
      </w:r>
      <w:r>
        <w:rPr>
          <w:rFonts w:eastAsia="Calibri"/>
          <w:shd w:val="clear" w:color="auto" w:fill="FFFFFF"/>
        </w:rPr>
        <w:t>INFOC + Ɛ)</w:t>
      </w:r>
    </w:p>
    <w:p w:rsidR="00FA1AC4" w:rsidRDefault="00B11CCA">
      <w:pPr>
        <w:spacing w:line="276" w:lineRule="auto"/>
        <w:rPr>
          <w:rFonts w:eastAsia="Calibri"/>
          <w:sz w:val="22"/>
          <w:szCs w:val="22"/>
          <w:shd w:val="clear" w:color="auto" w:fill="FFFFFF"/>
        </w:rPr>
      </w:pPr>
      <w:r>
        <w:rPr>
          <w:rFonts w:eastAsia="Calibri"/>
          <w:sz w:val="40"/>
          <w:szCs w:val="40"/>
          <w:vertAlign w:val="subscript"/>
        </w:rPr>
        <w:t>Where:</w:t>
      </w:r>
    </w:p>
    <w:p w:rsidR="00FA1AC4" w:rsidRDefault="00B11CCA">
      <w:pPr>
        <w:spacing w:line="360" w:lineRule="auto"/>
        <w:ind w:left="567"/>
        <w:rPr>
          <w:rFonts w:eastAsia="Calibri"/>
          <w:bCs/>
        </w:rPr>
      </w:pPr>
      <w:r>
        <w:rPr>
          <w:rFonts w:eastAsia="Calibri"/>
          <w:bCs/>
        </w:rPr>
        <w:t>EFR= Financial Reporting Quality</w:t>
      </w:r>
    </w:p>
    <w:p w:rsidR="00FA1AC4" w:rsidRDefault="00B11CCA">
      <w:pPr>
        <w:tabs>
          <w:tab w:val="left" w:pos="2370"/>
        </w:tabs>
        <w:spacing w:line="360" w:lineRule="auto"/>
        <w:ind w:left="567"/>
        <w:rPr>
          <w:rFonts w:eastAsia="Calibri"/>
          <w:bCs/>
        </w:rPr>
      </w:pPr>
      <w:r>
        <w:rPr>
          <w:rFonts w:eastAsia="Calibri"/>
          <w:bCs/>
        </w:rPr>
        <w:t>DACC= Accruals</w:t>
      </w:r>
      <w:r>
        <w:rPr>
          <w:rFonts w:eastAsia="Calibri"/>
          <w:bCs/>
        </w:rPr>
        <w:tab/>
      </w:r>
    </w:p>
    <w:p w:rsidR="00FA1AC4" w:rsidRDefault="00B11CCA">
      <w:pPr>
        <w:spacing w:line="360" w:lineRule="auto"/>
        <w:ind w:left="567"/>
        <w:rPr>
          <w:rFonts w:eastAsia="Calibri"/>
          <w:bCs/>
        </w:rPr>
      </w:pPr>
      <w:r>
        <w:rPr>
          <w:rFonts w:eastAsia="Calibri"/>
          <w:bCs/>
        </w:rPr>
        <w:t>ACS = Audit Committee Size</w:t>
      </w:r>
    </w:p>
    <w:p w:rsidR="00FA1AC4" w:rsidRDefault="00B11CCA">
      <w:pPr>
        <w:spacing w:line="360" w:lineRule="auto"/>
        <w:ind w:left="567"/>
        <w:rPr>
          <w:rFonts w:eastAsia="Calibri"/>
          <w:bCs/>
        </w:rPr>
      </w:pPr>
      <w:r>
        <w:rPr>
          <w:rFonts w:eastAsia="Calibri"/>
          <w:bCs/>
        </w:rPr>
        <w:t>ACM = Audit Committee Meeting</w:t>
      </w:r>
    </w:p>
    <w:p w:rsidR="00FA1AC4" w:rsidRDefault="00B11CCA">
      <w:pPr>
        <w:spacing w:line="360" w:lineRule="auto"/>
        <w:ind w:left="567"/>
        <w:rPr>
          <w:rFonts w:eastAsia="Calibri"/>
          <w:bCs/>
        </w:rPr>
      </w:pPr>
      <w:r>
        <w:rPr>
          <w:rFonts w:eastAsia="Calibri"/>
          <w:bCs/>
        </w:rPr>
        <w:t>ACC = Audit Committee Composition</w:t>
      </w:r>
    </w:p>
    <w:p w:rsidR="00FA1AC4" w:rsidRDefault="00B11CCA">
      <w:pPr>
        <w:spacing w:line="360" w:lineRule="auto"/>
        <w:ind w:left="567"/>
        <w:rPr>
          <w:rFonts w:eastAsia="Calibri"/>
          <w:bCs/>
        </w:rPr>
      </w:pPr>
      <w:r>
        <w:rPr>
          <w:rFonts w:eastAsia="Calibri"/>
          <w:bCs/>
        </w:rPr>
        <w:t>ACFM = Audit Committee Female Member</w:t>
      </w:r>
    </w:p>
    <w:p w:rsidR="00FA1AC4" w:rsidRDefault="00B11CCA">
      <w:pPr>
        <w:spacing w:line="360" w:lineRule="auto"/>
        <w:ind w:left="567"/>
        <w:rPr>
          <w:rFonts w:eastAsia="Calibri"/>
          <w:bCs/>
        </w:rPr>
      </w:pPr>
      <w:r>
        <w:rPr>
          <w:rFonts w:eastAsia="Calibri"/>
          <w:bCs/>
        </w:rPr>
        <w:t>COTA = Control Activities</w:t>
      </w:r>
    </w:p>
    <w:p w:rsidR="00FA1AC4" w:rsidRDefault="00B11CCA">
      <w:pPr>
        <w:spacing w:line="360" w:lineRule="auto"/>
        <w:ind w:left="567"/>
        <w:rPr>
          <w:rFonts w:eastAsia="Calibri"/>
          <w:bCs/>
        </w:rPr>
      </w:pPr>
      <w:r>
        <w:rPr>
          <w:rFonts w:eastAsia="Calibri"/>
          <w:bCs/>
        </w:rPr>
        <w:t>RIASS = Risk Assessment</w:t>
      </w:r>
    </w:p>
    <w:p w:rsidR="00FA1AC4" w:rsidRDefault="00B11CCA">
      <w:pPr>
        <w:spacing w:line="360" w:lineRule="auto"/>
        <w:ind w:left="567"/>
        <w:rPr>
          <w:rFonts w:eastAsia="Calibri"/>
          <w:bCs/>
        </w:rPr>
      </w:pPr>
      <w:r>
        <w:rPr>
          <w:rFonts w:eastAsia="Calibri"/>
          <w:bCs/>
        </w:rPr>
        <w:t>MOTA = Monitoring Activities</w:t>
      </w:r>
    </w:p>
    <w:p w:rsidR="00FA1AC4" w:rsidRDefault="00B11CCA">
      <w:pPr>
        <w:spacing w:line="360" w:lineRule="auto"/>
        <w:ind w:left="567"/>
        <w:rPr>
          <w:rFonts w:eastAsia="Calibri"/>
          <w:bCs/>
        </w:rPr>
      </w:pPr>
      <w:r>
        <w:rPr>
          <w:rFonts w:eastAsia="Calibri"/>
          <w:bCs/>
        </w:rPr>
        <w:t>INFOC = Information and Communication</w:t>
      </w:r>
    </w:p>
    <w:p w:rsidR="00FA1AC4" w:rsidRDefault="00B11CCA">
      <w:pPr>
        <w:spacing w:line="360" w:lineRule="auto"/>
        <w:ind w:left="567"/>
        <w:rPr>
          <w:rFonts w:eastAsia="Calibri"/>
          <w:bCs/>
        </w:rPr>
      </w:pPr>
      <w:r>
        <w:rPr>
          <w:rFonts w:eastAsia="Calibri"/>
          <w:bCs/>
        </w:rPr>
        <w:t>FSIZE = Firm Size</w:t>
      </w:r>
    </w:p>
    <w:p w:rsidR="00FA1AC4" w:rsidRDefault="00B11CCA">
      <w:pPr>
        <w:spacing w:line="360" w:lineRule="auto"/>
        <w:ind w:left="567"/>
        <w:rPr>
          <w:rFonts w:eastAsia="Calibri"/>
          <w:bCs/>
        </w:rPr>
      </w:pPr>
      <w:r>
        <w:rPr>
          <w:rFonts w:eastAsia="Calibri"/>
          <w:bCs/>
        </w:rPr>
        <w:t>FAGE = Firm Age</w:t>
      </w:r>
    </w:p>
    <w:p w:rsidR="00FA1AC4" w:rsidRDefault="00B11CCA">
      <w:pPr>
        <w:spacing w:line="360" w:lineRule="auto"/>
        <w:ind w:left="567"/>
        <w:rPr>
          <w:rFonts w:eastAsia="Calibri"/>
          <w:bCs/>
          <w:shd w:val="clear" w:color="auto" w:fill="FFFFFF"/>
        </w:rPr>
      </w:pPr>
      <w:r>
        <w:rPr>
          <w:rFonts w:eastAsia="Calibri"/>
          <w:bCs/>
          <w:shd w:val="clear" w:color="auto" w:fill="FFFFFF"/>
        </w:rPr>
        <w:t>Ɛ = Error Term associated with the regression model</w:t>
      </w:r>
    </w:p>
    <w:p w:rsidR="00FA1AC4" w:rsidRDefault="00B11CCA">
      <w:pPr>
        <w:spacing w:after="240"/>
        <w:ind w:left="567"/>
        <w:rPr>
          <w:rFonts w:eastAsia="Calibri"/>
          <w:bCs/>
          <w:shd w:val="clear" w:color="auto" w:fill="FFFFFF"/>
        </w:rPr>
      </w:pPr>
      <w:r>
        <w:rPr>
          <w:rFonts w:eastAsia="Calibri"/>
          <w:bCs/>
          <w:shd w:val="clear" w:color="auto" w:fill="FFFFFF"/>
        </w:rPr>
        <w:t>Β</w:t>
      </w:r>
      <w:r>
        <w:rPr>
          <w:rFonts w:eastAsia="Calibri"/>
          <w:bCs/>
          <w:shd w:val="clear" w:color="auto" w:fill="FFFFFF"/>
          <w:vertAlign w:val="subscript"/>
        </w:rPr>
        <w:t>0</w:t>
      </w:r>
      <w:r>
        <w:rPr>
          <w:rFonts w:eastAsia="Calibri"/>
          <w:bCs/>
          <w:shd w:val="clear" w:color="auto" w:fill="FFFFFF"/>
        </w:rPr>
        <w:t xml:space="preserve"> = Constant</w:t>
      </w:r>
    </w:p>
    <w:p w:rsidR="00FA1AC4" w:rsidRDefault="00B11CCA">
      <w:pPr>
        <w:spacing w:line="360" w:lineRule="auto"/>
        <w:rPr>
          <w:rFonts w:eastAsia="Calibri"/>
          <w:bCs/>
          <w:shd w:val="clear" w:color="auto" w:fill="FFFFFF"/>
        </w:rPr>
      </w:pPr>
      <w:r>
        <w:rPr>
          <w:rFonts w:eastAsia="Calibri"/>
          <w:bCs/>
          <w:shd w:val="clear" w:color="auto" w:fill="FFFFFF"/>
        </w:rPr>
        <w:t>While Accruals is calculated as thus:</w:t>
      </w:r>
    </w:p>
    <w:p w:rsidR="00FA1AC4" w:rsidRDefault="00B11CCA">
      <w:pPr>
        <w:spacing w:line="360" w:lineRule="auto"/>
      </w:pPr>
      <w:r>
        <w:t>ΔWC</w:t>
      </w:r>
      <w:r>
        <w:rPr>
          <w:vertAlign w:val="subscript"/>
        </w:rPr>
        <w:t>it</w:t>
      </w:r>
      <w:r>
        <w:t xml:space="preserve"> = CFO</w:t>
      </w:r>
      <w:r>
        <w:rPr>
          <w:vertAlign w:val="subscript"/>
        </w:rPr>
        <w:t>it</w:t>
      </w:r>
      <w:r>
        <w:t xml:space="preserve"> – 1 + CFO</w:t>
      </w:r>
      <w:r>
        <w:rPr>
          <w:vertAlign w:val="subscript"/>
        </w:rPr>
        <w:t>it</w:t>
      </w:r>
      <w:r>
        <w:t xml:space="preserve"> + CFO</w:t>
      </w:r>
      <w:r>
        <w:rPr>
          <w:vertAlign w:val="subscript"/>
        </w:rPr>
        <w:t>it</w:t>
      </w:r>
      <w:r>
        <w:t xml:space="preserve"> + 1 + ΔREV</w:t>
      </w:r>
      <w:r>
        <w:rPr>
          <w:vertAlign w:val="subscript"/>
        </w:rPr>
        <w:t>it</w:t>
      </w:r>
      <w:r>
        <w:t xml:space="preserve"> + PPE</w:t>
      </w:r>
      <w:r>
        <w:rPr>
          <w:vertAlign w:val="subscript"/>
        </w:rPr>
        <w:t>it</w:t>
      </w:r>
      <w:r>
        <w:t xml:space="preserve"> + ε</w:t>
      </w:r>
    </w:p>
    <w:p w:rsidR="00FA1AC4" w:rsidRDefault="00B11CCA">
      <w:pPr>
        <w:spacing w:line="360" w:lineRule="auto"/>
      </w:pPr>
      <w:r>
        <w:t xml:space="preserve">ΔWC = the change in working capital accruals or current accruals from the statement of cash flows. </w:t>
      </w:r>
    </w:p>
    <w:p w:rsidR="00FA1AC4" w:rsidRDefault="00B11CCA">
      <w:pPr>
        <w:spacing w:line="360" w:lineRule="auto"/>
      </w:pPr>
      <w:r>
        <w:t xml:space="preserve">CFO = the cash flows from operating activities. </w:t>
      </w:r>
    </w:p>
    <w:p w:rsidR="00FA1AC4" w:rsidRDefault="00B11CCA">
      <w:pPr>
        <w:spacing w:line="360" w:lineRule="auto"/>
      </w:pPr>
      <w:r>
        <w:t xml:space="preserve">ΔREV = change in revenue. </w:t>
      </w:r>
    </w:p>
    <w:p w:rsidR="00FA1AC4" w:rsidRDefault="00B11CCA">
      <w:pPr>
        <w:spacing w:line="360" w:lineRule="auto"/>
        <w:rPr>
          <w:rFonts w:eastAsia="Calibri"/>
          <w:bCs/>
          <w:shd w:val="clear" w:color="auto" w:fill="FFFFFF"/>
        </w:rPr>
      </w:pPr>
      <w:r>
        <w:t>PPE = property, plant and equipment</w:t>
      </w:r>
    </w:p>
    <w:p w:rsidR="00FA1AC4" w:rsidRDefault="00B11CCA">
      <w:pPr>
        <w:pStyle w:val="Heading2"/>
        <w:numPr>
          <w:ilvl w:val="1"/>
          <w:numId w:val="23"/>
        </w:numPr>
        <w:ind w:left="709"/>
        <w:rPr>
          <w:rFonts w:eastAsia="Calibri"/>
        </w:rPr>
      </w:pPr>
      <w:bookmarkStart w:id="58" w:name="_Toc112342375"/>
      <w:r>
        <w:rPr>
          <w:rFonts w:eastAsia="Calibri"/>
        </w:rPr>
        <w:lastRenderedPageBreak/>
        <w:t>Ethical Consideration</w:t>
      </w:r>
      <w:bookmarkEnd w:id="58"/>
    </w:p>
    <w:p w:rsidR="00FA1AC4" w:rsidRDefault="00B11CCA">
      <w:pPr>
        <w:rPr>
          <w:color w:val="000000"/>
        </w:rPr>
      </w:pPr>
      <w:r>
        <w:rPr>
          <w:rFonts w:eastAsia="Calibri"/>
          <w:color w:val="000000"/>
        </w:rPr>
        <w:t xml:space="preserve">Research ethics sets forth the standards of conduct for scientists. It is crucial to abide by ethical standards in order to safeguard the wellbeing, rights, and dignity of study participants. The normative assessment of an individual's or a social group's behaviours and character is referred to as ethics. It entails understanding what is right and wrong, and then doing the right thing — but "doing the right thing" isn't as simple as it appears </w:t>
      </w:r>
      <w:r>
        <w:rPr>
          <w:rFonts w:eastAsia="Calibri"/>
          <w:color w:val="000000"/>
        </w:rPr>
        <w:fldChar w:fldCharType="begin"/>
      </w:r>
      <w:r>
        <w:rPr>
          <w:rFonts w:eastAsia="Calibri"/>
          <w:color w:val="000000"/>
        </w:rPr>
        <w:instrText>ADDIN CSL_CITATION {"citationItems":[{"id":"ITEM-1","itemData":{"ISBN":"0805398015","author":[{"dropping-particle":"","family":"Williams","given":"F. A.","non-dropping-particle":"","parse-names":false,"suffix":""}],"id":"ITEM-1","issued":{"date-parts":[["1985"]]},"title":"Combustion Theory","type":"book"},"uris":["http://www.mendeley.com/documents/?uuid=b6e6470a-e46b-40ce-84dd-3c13367a1049"]}],"mendeley":{"formattedCitation":"(Williams, 1985)","manualFormatting":"(Williams, 1985","plainTextFormattedCitation":"(Williams, 1985)","previouslyFormattedCitation":"(Williams, 1985)"},"properties":{"noteIndex":0},"schema":"https://github.com/citation-style-language/schema/raw/master/csl-citation.json"}</w:instrText>
      </w:r>
      <w:r>
        <w:rPr>
          <w:rFonts w:eastAsia="Calibri"/>
          <w:color w:val="000000"/>
        </w:rPr>
        <w:fldChar w:fldCharType="separate"/>
      </w:r>
      <w:r>
        <w:rPr>
          <w:rFonts w:eastAsia="Calibri"/>
          <w:noProof/>
          <w:color w:val="000000"/>
        </w:rPr>
        <w:t>(Williams, 1985</w:t>
      </w:r>
      <w:r>
        <w:rPr>
          <w:rFonts w:eastAsia="Calibri"/>
          <w:color w:val="000000"/>
        </w:rPr>
        <w:fldChar w:fldCharType="end"/>
      </w:r>
      <w:r>
        <w:rPr>
          <w:rFonts w:eastAsia="Calibri"/>
          <w:color w:val="000000"/>
        </w:rPr>
        <w:t>;</w:t>
      </w:r>
      <w:r>
        <w:rPr>
          <w:rFonts w:eastAsia="Calibri"/>
          <w:color w:val="FF0000"/>
        </w:rPr>
        <w:t xml:space="preserve"> </w:t>
      </w:r>
      <w:r>
        <w:rPr>
          <w:rFonts w:eastAsia="Calibri"/>
          <w:color w:val="000000"/>
        </w:rPr>
        <w:fldChar w:fldCharType="begin"/>
      </w:r>
      <w:r>
        <w:rPr>
          <w:rFonts w:eastAsia="Calibri"/>
          <w:color w:val="000000"/>
        </w:rPr>
        <w:instrText>ADDIN CSL_CITATION {"citationItems":[{"id":"ITEM-1","itemData":{"DOI":"10.2139/ssrn.1781502","abstract":"Young engineer graduating from university has many career choices. He or she can choose to be an entrepreneur, join a small firm or a multinational organization. Each of these organizations operates in business environment that is totally different before two decades. In a globalized era the frame work in which organizations work also have undergone a lot of change. The product life cycles are shortened, downsizing, and lean and mean manufacturing, outsourcing has become some of the competitive strategies of organization. Organizations have no more stable and predictive environment. In this scenario, the young engineer is faced with many dilemmas. The present paper addresses the issues of moral dilemmas and methods to deal with a set of bibliography. Key","author":[{"dropping-particle":"","family":"Krishnamurthy","given":"Prabhakar","non-dropping-particle":"","parse-names":false,"suffix":""}],"container-title":"SSRN Electronic Journal","id":"ITEM-1","issue":"March 2011","issued":{"date-parts":[["2011"]]},"page":"2-21","title":"An Introduction to Ethics","type":"article-journal"},"uris":["http://www.mendeley.com/documents/?uuid=445a6f73-7f79-451d-ab2e-bc3dbcdb8b30"]}],"mendeley":{"formattedCitation":"(Krishnamurthy, 2011)","manualFormatting":"Krishnamurthy, 2011)","plainTextFormattedCitation":"(Krishnamurthy, 2011)","previouslyFormattedCitation":"(Krishnamurthy, 2011)"},"properties":{"noteIndex":0},"schema":"https://github.com/citation-style-language/schema/raw/master/csl-citation.json"}</w:instrText>
      </w:r>
      <w:r>
        <w:rPr>
          <w:rFonts w:eastAsia="Calibri"/>
          <w:color w:val="000000"/>
        </w:rPr>
        <w:fldChar w:fldCharType="separate"/>
      </w:r>
      <w:r>
        <w:rPr>
          <w:rFonts w:eastAsia="Calibri"/>
          <w:noProof/>
          <w:color w:val="000000"/>
        </w:rPr>
        <w:t>Krishnamurthy, 2011)</w:t>
      </w:r>
      <w:r>
        <w:rPr>
          <w:rFonts w:eastAsia="Calibri"/>
          <w:color w:val="000000"/>
        </w:rPr>
        <w:fldChar w:fldCharType="end"/>
      </w:r>
      <w:r>
        <w:rPr>
          <w:rFonts w:eastAsia="Calibri"/>
          <w:color w:val="000000"/>
        </w:rPr>
        <w:t>.</w:t>
      </w:r>
      <w:r>
        <w:rPr>
          <w:rFonts w:eastAsia="Calibri"/>
          <w:color w:val="FF0000"/>
        </w:rPr>
        <w:t xml:space="preserve"> </w:t>
      </w:r>
      <w:r>
        <w:rPr>
          <w:rFonts w:eastAsia="Calibri"/>
          <w:color w:val="000000"/>
        </w:rPr>
        <w:t>Both the respondents and the companies will be assured by the researcher that the study will only be used for academic purposes, which means that their responses will be kept anonymous and only a summary of the data collected will be used. Furthermore, because the exercise was voluntary, respondents had the option of not participating. However, before beginning the exercise, the researcher will obtain permission from the respective firm's management by delivering the university's introduction letter as well as a copy of the questionnaire.</w:t>
      </w:r>
    </w:p>
    <w:p w:rsidR="00FA1AC4" w:rsidRDefault="00B11CCA">
      <w:pPr>
        <w:pStyle w:val="NormalWeb"/>
        <w:spacing w:after="0"/>
        <w:textAlignment w:val="baseline"/>
        <w:rPr>
          <w:color w:val="000000"/>
        </w:rPr>
      </w:pPr>
      <w:r>
        <w:rPr>
          <w:rFonts w:eastAsia="Calibri"/>
          <w:color w:val="000000"/>
        </w:rPr>
        <w:t xml:space="preserve">The need to safeguard financial assets and improve financial reporting quality through increasing legal requirements, regulatory policies, and code of conduct should be continuing operations, as any easing of the fight against financial vices can cause significant harm and skew reporting quality. As a result, this is a wakeup call to be proactive in carrying out their tasks as a watchdog. To promote greater openness and transparency in financial management, regulatory agencies around the world are expected to develop global best practices and reforms in internal control processes and mechanisms, as well as develop a code of corporate governance and ensure its compliance as a new layer of financial security and reporting, as is the case in Nigeria. </w:t>
      </w:r>
      <w:r>
        <w:rPr>
          <w:color w:val="000000"/>
        </w:rPr>
        <w:t xml:space="preserve">Management is more </w:t>
      </w:r>
      <w:r>
        <w:rPr>
          <w:color w:val="000000"/>
        </w:rPr>
        <w:lastRenderedPageBreak/>
        <w:t>accountable for creating, formulating, and overseeing internal control systems and structures to mitigate gaps in the current contingency plan because management is solely responsible for designing, implementing, and running a system of internal control to give reasonable assurance that the organization is operating effectively, efficiently, safeguarding its assets, providing reliable financial reports, and complying with all laws and regulations The governing body, such as the Board of Directors, will be zealous in supervising management and ensuring that it is carrying out its internal control responsibilities. All of this was made possible by the increased awareness that this scientific activity has generated, resulting in additions to bodily knowledge.</w:t>
      </w:r>
    </w:p>
    <w:p w:rsidR="00FA1AC4" w:rsidRDefault="00FA1AC4">
      <w:pPr>
        <w:pStyle w:val="NormalWeb"/>
        <w:spacing w:after="0"/>
        <w:textAlignment w:val="baseline"/>
        <w:rPr>
          <w:color w:val="000000"/>
        </w:rPr>
      </w:pPr>
    </w:p>
    <w:p w:rsidR="00FA1AC4" w:rsidRDefault="00FA1AC4">
      <w:pPr>
        <w:pStyle w:val="NormalWeb"/>
        <w:spacing w:after="0"/>
        <w:textAlignment w:val="baseline"/>
        <w:rPr>
          <w:color w:val="000000"/>
        </w:rPr>
      </w:pPr>
    </w:p>
    <w:p w:rsidR="00FA1AC4" w:rsidRDefault="00FA1AC4">
      <w:pPr>
        <w:pStyle w:val="NormalWeb"/>
        <w:spacing w:after="0"/>
        <w:textAlignment w:val="baseline"/>
        <w:rPr>
          <w:color w:val="000000"/>
        </w:rPr>
      </w:pPr>
    </w:p>
    <w:p w:rsidR="00FA1AC4" w:rsidRDefault="00FA1AC4">
      <w:pPr>
        <w:pStyle w:val="NormalWeb"/>
        <w:spacing w:after="0"/>
        <w:textAlignment w:val="baseline"/>
        <w:rPr>
          <w:color w:val="000000"/>
        </w:rPr>
      </w:pPr>
    </w:p>
    <w:p w:rsidR="00FA1AC4" w:rsidRDefault="00FA1AC4">
      <w:pPr>
        <w:autoSpaceDE w:val="0"/>
        <w:autoSpaceDN w:val="0"/>
        <w:adjustRightInd w:val="0"/>
        <w:jc w:val="center"/>
        <w:rPr>
          <w:rFonts w:eastAsia="Calibri"/>
          <w:b/>
          <w:bCs/>
          <w:sz w:val="32"/>
          <w:szCs w:val="32"/>
        </w:rPr>
      </w:pPr>
    </w:p>
    <w:p w:rsidR="00FA1AC4" w:rsidRDefault="00FA1AC4">
      <w:pPr>
        <w:autoSpaceDE w:val="0"/>
        <w:autoSpaceDN w:val="0"/>
        <w:adjustRightInd w:val="0"/>
        <w:spacing w:before="240"/>
        <w:rPr>
          <w:rFonts w:eastAsia="Calibri"/>
          <w:b/>
          <w:bCs/>
          <w:sz w:val="32"/>
          <w:szCs w:val="32"/>
        </w:rPr>
      </w:pPr>
    </w:p>
    <w:p w:rsidR="00FA1AC4" w:rsidRDefault="00FA1AC4">
      <w:pPr>
        <w:rPr>
          <w:rFonts w:eastAsia="Calibri" w:cs="SimSun"/>
          <w:b/>
          <w:sz w:val="32"/>
          <w:szCs w:val="32"/>
        </w:rPr>
      </w:pPr>
    </w:p>
    <w:p w:rsidR="00FA1AC4" w:rsidRDefault="00FA1AC4">
      <w:pPr>
        <w:rPr>
          <w:rFonts w:eastAsia="Calibri" w:cs="SimSun"/>
          <w:b/>
          <w:sz w:val="32"/>
          <w:szCs w:val="32"/>
        </w:rPr>
      </w:pPr>
    </w:p>
    <w:p w:rsidR="00FA1AC4" w:rsidRDefault="00B11CCA">
      <w:pPr>
        <w:pStyle w:val="Heading1"/>
        <w:spacing w:before="0" w:line="480" w:lineRule="auto"/>
        <w:rPr>
          <w:rFonts w:eastAsia="Calibri"/>
        </w:rPr>
      </w:pPr>
      <w:bookmarkStart w:id="59" w:name="_Toc112342376"/>
      <w:r>
        <w:rPr>
          <w:rFonts w:eastAsia="Calibri"/>
        </w:rPr>
        <w:lastRenderedPageBreak/>
        <w:t>CHAPTER FOUR</w:t>
      </w:r>
      <w:bookmarkEnd w:id="59"/>
    </w:p>
    <w:p w:rsidR="00FA1AC4" w:rsidRDefault="00B11CCA">
      <w:pPr>
        <w:pStyle w:val="Heading1"/>
        <w:rPr>
          <w:rFonts w:eastAsia="Calibri"/>
        </w:rPr>
      </w:pPr>
      <w:bookmarkStart w:id="60" w:name="_Toc112342377"/>
      <w:r>
        <w:rPr>
          <w:rFonts w:eastAsia="Calibri"/>
        </w:rPr>
        <w:t>DATA PRESENTATION, ANALYSIS AND RESULTS</w:t>
      </w:r>
      <w:bookmarkEnd w:id="60"/>
    </w:p>
    <w:p w:rsidR="00FA1AC4" w:rsidRDefault="00FA1AC4">
      <w:pPr>
        <w:autoSpaceDE w:val="0"/>
        <w:autoSpaceDN w:val="0"/>
        <w:adjustRightInd w:val="0"/>
        <w:rPr>
          <w:rFonts w:eastAsia="Calibri"/>
        </w:rPr>
      </w:pPr>
    </w:p>
    <w:p w:rsidR="00FA1AC4" w:rsidRDefault="00B11CCA">
      <w:pPr>
        <w:pStyle w:val="Heading2"/>
        <w:ind w:left="426"/>
        <w:rPr>
          <w:rFonts w:eastAsia="Calibri"/>
        </w:rPr>
      </w:pPr>
      <w:bookmarkStart w:id="61" w:name="_Toc112342378"/>
      <w:r>
        <w:rPr>
          <w:rFonts w:eastAsia="Calibri"/>
        </w:rPr>
        <w:t>.</w:t>
      </w:r>
      <w:r>
        <w:rPr>
          <w:rFonts w:eastAsia="Calibri"/>
        </w:rPr>
        <w:tab/>
        <w:t>Introduction</w:t>
      </w:r>
      <w:bookmarkEnd w:id="61"/>
    </w:p>
    <w:p w:rsidR="00FA1AC4" w:rsidRDefault="00B11CCA">
      <w:pPr>
        <w:autoSpaceDE w:val="0"/>
        <w:autoSpaceDN w:val="0"/>
        <w:adjustRightInd w:val="0"/>
        <w:spacing w:after="240"/>
        <w:rPr>
          <w:rFonts w:eastAsia="Calibri"/>
        </w:rPr>
      </w:pPr>
      <w:r>
        <w:rPr>
          <w:rFonts w:eastAsia="Calibri"/>
        </w:rPr>
        <w:t>This chapter demonstrates the data presentation, analysis, and discussion of the study's conclusions. Data analysis was done with a mixed-methods approach, including quantitative and qualitative techniques. The secondary information were gathered from the yearly reports of listed service firms. The audit committee and internal control components from the annual reports of publicly traded service companies listed on the Nigerian Stock Exchange's trading floors served as the secondary data. The data was analyzed using multiple linear regression analysis to test the research hypotheses for the research difficulties listed in chapter 1 of this research study.</w:t>
      </w:r>
    </w:p>
    <w:p w:rsidR="00FA1AC4" w:rsidRDefault="00B11CCA">
      <w:pPr>
        <w:autoSpaceDE w:val="0"/>
        <w:autoSpaceDN w:val="0"/>
        <w:adjustRightInd w:val="0"/>
        <w:rPr>
          <w:rFonts w:eastAsia="Calibri"/>
        </w:rPr>
      </w:pPr>
      <w:r>
        <w:rPr>
          <w:rFonts w:eastAsia="Calibri"/>
        </w:rPr>
        <w:t>The primary information gathered from the stakeholders was analyzed in the second section of the research study. Using a qualitative research approach, a survey of the firms' stakeholder groups was conducted using survey questionnaire statements sent to 250 of these stakeholder groups, with 189 (76%) respondents responding based on a Likert Scale of 1 to 5, with 5 being strongly in agreement with 1 being strongly disagreeing.</w:t>
      </w:r>
    </w:p>
    <w:p w:rsidR="00FA1AC4" w:rsidRDefault="00B11CCA">
      <w:pPr>
        <w:autoSpaceDE w:val="0"/>
        <w:autoSpaceDN w:val="0"/>
        <w:adjustRightInd w:val="0"/>
        <w:spacing w:after="240"/>
        <w:rPr>
          <w:rFonts w:eastAsia="Calibri"/>
        </w:rPr>
      </w:pPr>
      <w:r>
        <w:rPr>
          <w:rFonts w:eastAsia="Calibri"/>
        </w:rPr>
        <w:t xml:space="preserve">The major paradigms of positivism or the quantitative paradigm, which used quantitative data and samples for this study, were presented using the mixed method approach. The positivist paradigm is concerned with testing hypotheses, and the data is very particular and precise, the research was conducted in an artificial setting, which increased reliability but decreased validity. While the qualitative research are phenomenological or postpositivism </w:t>
      </w:r>
      <w:r>
        <w:rPr>
          <w:rFonts w:eastAsia="Calibri"/>
        </w:rPr>
        <w:lastRenderedPageBreak/>
        <w:t xml:space="preserve">participatory action frameworks Hussey and Hussey, (2003:52) stated that; </w:t>
      </w:r>
      <w:r>
        <w:rPr>
          <w:rFonts w:eastAsia="Calibri"/>
          <w:i/>
          <w:iCs/>
        </w:rPr>
        <w:t xml:space="preserve">“The goal of the phenomenological paradigm is to comprehend human behavior from the perspective of the participant”. </w:t>
      </w:r>
    </w:p>
    <w:p w:rsidR="00FA1AC4" w:rsidRDefault="00B11CCA">
      <w:pPr>
        <w:autoSpaceDE w:val="0"/>
        <w:autoSpaceDN w:val="0"/>
        <w:adjustRightInd w:val="0"/>
        <w:spacing w:after="240"/>
        <w:rPr>
          <w:rFonts w:eastAsia="Calibri"/>
        </w:rPr>
      </w:pPr>
      <w:r>
        <w:rPr>
          <w:rFonts w:eastAsia="Calibri"/>
        </w:rPr>
        <w:t>Using the methods described in chapter three of this study, this chapter presents the research data, results, and discussions that are consistent with the study's objectives. Descriptive statistics are discussed first, followed by diagnostic tests to determine the reliability of the procedures, and finally inferential statistics and their interpretations. A discussion of how the survey questionnaire was constructed and distributed for data collection and the data collected is analysed to show the classes that relate to the company’s control activities of internal control matters which is coded using stakeholder theory model of corporate governance.</w:t>
      </w:r>
    </w:p>
    <w:p w:rsidR="00FA1AC4" w:rsidRDefault="00B11CCA">
      <w:pPr>
        <w:pStyle w:val="Heading2"/>
        <w:numPr>
          <w:ilvl w:val="1"/>
          <w:numId w:val="24"/>
        </w:numPr>
        <w:ind w:left="709"/>
        <w:rPr>
          <w:rFonts w:eastAsia="Calibri"/>
        </w:rPr>
      </w:pPr>
      <w:bookmarkStart w:id="62" w:name="_Toc112342379"/>
      <w:r>
        <w:rPr>
          <w:rStyle w:val="Heading2Char"/>
          <w:b/>
        </w:rPr>
        <w:t>Data Presentation and Analysis</w:t>
      </w:r>
      <w:bookmarkEnd w:id="62"/>
    </w:p>
    <w:p w:rsidR="00FA1AC4" w:rsidRDefault="00B11CCA">
      <w:pPr>
        <w:autoSpaceDE w:val="0"/>
        <w:autoSpaceDN w:val="0"/>
        <w:adjustRightInd w:val="0"/>
        <w:spacing w:after="240"/>
        <w:ind w:left="90"/>
        <w:rPr>
          <w:rFonts w:eastAsia="Calibri"/>
        </w:rPr>
      </w:pPr>
      <w:r>
        <w:rPr>
          <w:rFonts w:eastAsia="Calibri"/>
        </w:rPr>
        <w:t>The annual financial report of 50 listed service firms was obtained from the Nigerian Stock Exchange between 2010 and 2020 (11 years).</w:t>
      </w:r>
      <w:r>
        <w:rPr>
          <w:rFonts w:ascii="Calibri" w:eastAsia="Calibri" w:hAnsi="Calibri" w:cs="Calibri"/>
        </w:rPr>
        <w:t xml:space="preserve"> </w:t>
      </w:r>
      <w:r>
        <w:rPr>
          <w:rFonts w:eastAsia="Calibri"/>
        </w:rPr>
        <w:t>The descriptive statistics shows the characteristics of the variables in the study.</w:t>
      </w:r>
    </w:p>
    <w:p w:rsidR="00FA1AC4" w:rsidRDefault="00B11CCA">
      <w:pPr>
        <w:pStyle w:val="Heading3"/>
        <w:spacing w:line="480" w:lineRule="auto"/>
        <w:rPr>
          <w:rFonts w:eastAsia="Calibri"/>
        </w:rPr>
      </w:pPr>
      <w:bookmarkStart w:id="63" w:name="_Toc112342380"/>
      <w:r>
        <w:rPr>
          <w:rFonts w:eastAsia="Calibri"/>
        </w:rPr>
        <w:t>4.2.1.</w:t>
      </w:r>
      <w:r>
        <w:rPr>
          <w:rFonts w:eastAsia="Calibri"/>
        </w:rPr>
        <w:tab/>
        <w:t>Descriptive Analysis</w:t>
      </w:r>
      <w:bookmarkEnd w:id="63"/>
    </w:p>
    <w:p w:rsidR="00FA1AC4" w:rsidRDefault="00B11CCA">
      <w:pPr>
        <w:autoSpaceDE w:val="0"/>
        <w:autoSpaceDN w:val="0"/>
        <w:adjustRightInd w:val="0"/>
        <w:rPr>
          <w:rFonts w:eastAsia="Calibri"/>
        </w:rPr>
      </w:pPr>
      <w:r>
        <w:rPr>
          <w:rFonts w:eastAsia="Calibri"/>
        </w:rPr>
        <w:t xml:space="preserve">The descriptive data for the 50 listed service companies used in this study are shown in Table 4.1. It can be seen that COTA has a standard deviation value 0.38, indicating that more respondents agreed that Control Activities have a significant impact on EFR. The mean value of 4.71 is also supported by minimum and maximum value of 3.33 and 5.00 respectively. MOTA's standard deviation value of 0.56 shows that more respondents agreed </w:t>
      </w:r>
      <w:r>
        <w:rPr>
          <w:rFonts w:eastAsia="Calibri"/>
        </w:rPr>
        <w:lastRenderedPageBreak/>
        <w:t xml:space="preserve">that monitoring efforts have a significant impact on EFR. The mean value of 4.3616 is also supported by a minimum value of 2.33 and a maximum value of 5.00. ACS has a standard deviation value of 1.00 showing that the size of the audit committee significantly affects EFR. A mean value of 5.41 is supported by a minimum value of 0 and a maximum value of 8. The audit committee meeting has a standard deviation value of 1.10 which indicates that it significantly affects EFR. The mean value of 3.84 is supported by a minimum and maximum value of 0 and 8 respectively. </w:t>
      </w:r>
    </w:p>
    <w:p w:rsidR="00FA1AC4" w:rsidRDefault="00FA1AC4">
      <w:pPr>
        <w:autoSpaceDE w:val="0"/>
        <w:autoSpaceDN w:val="0"/>
        <w:adjustRightInd w:val="0"/>
        <w:rPr>
          <w:rFonts w:eastAsia="Calibri"/>
          <w:iCs/>
        </w:rPr>
      </w:pPr>
    </w:p>
    <w:p w:rsidR="00FA1AC4" w:rsidRDefault="00B11CCA">
      <w:pPr>
        <w:autoSpaceDE w:val="0"/>
        <w:autoSpaceDN w:val="0"/>
        <w:adjustRightInd w:val="0"/>
        <w:rPr>
          <w:rFonts w:eastAsia="Calibri"/>
        </w:rPr>
      </w:pPr>
      <w:r>
        <w:rPr>
          <w:rFonts w:eastAsia="Calibri"/>
          <w:iCs/>
        </w:rPr>
        <w:t>Table 4.1 Descriptive Analysis</w:t>
      </w:r>
    </w:p>
    <w:tbl>
      <w:tblPr>
        <w:tblStyle w:val="PlainTable21"/>
        <w:tblW w:w="0" w:type="auto"/>
        <w:tblLook w:val="06A0" w:firstRow="1" w:lastRow="0" w:firstColumn="1" w:lastColumn="0" w:noHBand="1" w:noVBand="1"/>
      </w:tblPr>
      <w:tblGrid>
        <w:gridCol w:w="1620"/>
        <w:gridCol w:w="1256"/>
        <w:gridCol w:w="1438"/>
        <w:gridCol w:w="1438"/>
        <w:gridCol w:w="1439"/>
        <w:gridCol w:w="1439"/>
      </w:tblGrid>
      <w:tr w:rsidR="00FA1AC4" w:rsidTr="00FA1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rsidR="00FA1AC4" w:rsidRDefault="00FA1AC4">
            <w:pPr>
              <w:autoSpaceDE w:val="0"/>
              <w:autoSpaceDN w:val="0"/>
              <w:adjustRightInd w:val="0"/>
              <w:spacing w:before="240"/>
              <w:rPr>
                <w:rFonts w:eastAsia="Calibri"/>
                <w:sz w:val="28"/>
                <w:szCs w:val="28"/>
              </w:rPr>
            </w:pPr>
          </w:p>
        </w:tc>
        <w:tc>
          <w:tcPr>
            <w:tcW w:w="1256" w:type="dxa"/>
          </w:tcPr>
          <w:p w:rsidR="00FA1AC4" w:rsidRDefault="00B11CCA">
            <w:pPr>
              <w:autoSpaceDE w:val="0"/>
              <w:autoSpaceDN w:val="0"/>
              <w:adjustRightInd w:val="0"/>
              <w:spacing w:before="240"/>
              <w:cnfStyle w:val="100000000000" w:firstRow="1" w:lastRow="0" w:firstColumn="0" w:lastColumn="0" w:oddVBand="0" w:evenVBand="0" w:oddHBand="0" w:evenHBand="0" w:firstRowFirstColumn="0" w:firstRowLastColumn="0" w:lastRowFirstColumn="0" w:lastRowLastColumn="0"/>
              <w:rPr>
                <w:rFonts w:eastAsia="Calibri"/>
                <w:sz w:val="28"/>
                <w:szCs w:val="28"/>
              </w:rPr>
            </w:pPr>
            <w:r>
              <w:rPr>
                <w:rFonts w:ascii="Arial" w:hAnsi="Arial" w:cs="Arial"/>
                <w:color w:val="000000"/>
                <w:sz w:val="18"/>
                <w:szCs w:val="18"/>
              </w:rPr>
              <w:t>N</w:t>
            </w:r>
          </w:p>
        </w:tc>
        <w:tc>
          <w:tcPr>
            <w:tcW w:w="1438" w:type="dxa"/>
          </w:tcPr>
          <w:p w:rsidR="00FA1AC4" w:rsidRDefault="00B11CCA">
            <w:pPr>
              <w:autoSpaceDE w:val="0"/>
              <w:autoSpaceDN w:val="0"/>
              <w:adjustRightInd w:val="0"/>
              <w:spacing w:before="240"/>
              <w:cnfStyle w:val="100000000000" w:firstRow="1" w:lastRow="0" w:firstColumn="0" w:lastColumn="0" w:oddVBand="0" w:evenVBand="0" w:oddHBand="0" w:evenHBand="0" w:firstRowFirstColumn="0" w:firstRowLastColumn="0" w:lastRowFirstColumn="0" w:lastRowLastColumn="0"/>
              <w:rPr>
                <w:rFonts w:eastAsia="Calibri"/>
                <w:sz w:val="28"/>
                <w:szCs w:val="28"/>
              </w:rPr>
            </w:pPr>
            <w:r>
              <w:rPr>
                <w:rFonts w:ascii="Arial" w:hAnsi="Arial" w:cs="Arial"/>
                <w:color w:val="000000"/>
                <w:sz w:val="18"/>
                <w:szCs w:val="18"/>
              </w:rPr>
              <w:t>Minimum</w:t>
            </w:r>
          </w:p>
        </w:tc>
        <w:tc>
          <w:tcPr>
            <w:tcW w:w="1438" w:type="dxa"/>
          </w:tcPr>
          <w:p w:rsidR="00FA1AC4" w:rsidRDefault="00B11CCA">
            <w:pPr>
              <w:autoSpaceDE w:val="0"/>
              <w:autoSpaceDN w:val="0"/>
              <w:adjustRightInd w:val="0"/>
              <w:spacing w:before="240"/>
              <w:cnfStyle w:val="100000000000" w:firstRow="1" w:lastRow="0" w:firstColumn="0" w:lastColumn="0" w:oddVBand="0" w:evenVBand="0" w:oddHBand="0" w:evenHBand="0" w:firstRowFirstColumn="0" w:firstRowLastColumn="0" w:lastRowFirstColumn="0" w:lastRowLastColumn="0"/>
              <w:rPr>
                <w:rFonts w:eastAsia="Calibri"/>
                <w:sz w:val="28"/>
                <w:szCs w:val="28"/>
              </w:rPr>
            </w:pPr>
            <w:r>
              <w:rPr>
                <w:rFonts w:ascii="Arial" w:hAnsi="Arial" w:cs="Arial"/>
                <w:color w:val="000000"/>
                <w:sz w:val="18"/>
                <w:szCs w:val="18"/>
              </w:rPr>
              <w:t>Maximum</w:t>
            </w:r>
          </w:p>
        </w:tc>
        <w:tc>
          <w:tcPr>
            <w:tcW w:w="1439" w:type="dxa"/>
          </w:tcPr>
          <w:p w:rsidR="00FA1AC4" w:rsidRDefault="00B11CCA">
            <w:pPr>
              <w:autoSpaceDE w:val="0"/>
              <w:autoSpaceDN w:val="0"/>
              <w:adjustRightInd w:val="0"/>
              <w:spacing w:before="240"/>
              <w:cnfStyle w:val="100000000000" w:firstRow="1" w:lastRow="0" w:firstColumn="0" w:lastColumn="0" w:oddVBand="0" w:evenVBand="0" w:oddHBand="0" w:evenHBand="0" w:firstRowFirstColumn="0" w:firstRowLastColumn="0" w:lastRowFirstColumn="0" w:lastRowLastColumn="0"/>
              <w:rPr>
                <w:rFonts w:eastAsia="Calibri"/>
                <w:sz w:val="28"/>
                <w:szCs w:val="28"/>
              </w:rPr>
            </w:pPr>
            <w:r>
              <w:rPr>
                <w:rFonts w:ascii="Arial" w:hAnsi="Arial" w:cs="Arial"/>
                <w:color w:val="000000"/>
                <w:sz w:val="18"/>
                <w:szCs w:val="18"/>
              </w:rPr>
              <w:t>Mean</w:t>
            </w:r>
          </w:p>
        </w:tc>
        <w:tc>
          <w:tcPr>
            <w:tcW w:w="1439" w:type="dxa"/>
          </w:tcPr>
          <w:p w:rsidR="00FA1AC4" w:rsidRDefault="00B11CCA">
            <w:pPr>
              <w:autoSpaceDE w:val="0"/>
              <w:autoSpaceDN w:val="0"/>
              <w:adjustRightInd w:val="0"/>
              <w:spacing w:before="240"/>
              <w:cnfStyle w:val="100000000000" w:firstRow="1" w:lastRow="0" w:firstColumn="0" w:lastColumn="0" w:oddVBand="0" w:evenVBand="0" w:oddHBand="0" w:evenHBand="0" w:firstRowFirstColumn="0" w:firstRowLastColumn="0" w:lastRowFirstColumn="0" w:lastRowLastColumn="0"/>
              <w:rPr>
                <w:rFonts w:eastAsia="Calibri"/>
                <w:sz w:val="28"/>
                <w:szCs w:val="28"/>
              </w:rPr>
            </w:pPr>
            <w:r>
              <w:rPr>
                <w:rFonts w:ascii="Arial" w:hAnsi="Arial" w:cs="Arial"/>
                <w:color w:val="000000"/>
                <w:sz w:val="18"/>
                <w:szCs w:val="18"/>
              </w:rPr>
              <w:t>Std. Deviation</w:t>
            </w:r>
          </w:p>
        </w:tc>
      </w:tr>
      <w:tr w:rsidR="00FA1AC4" w:rsidTr="00FA1AC4">
        <w:tc>
          <w:tcPr>
            <w:cnfStyle w:val="001000000000" w:firstRow="0" w:lastRow="0" w:firstColumn="1" w:lastColumn="0" w:oddVBand="0" w:evenVBand="0" w:oddHBand="0" w:evenHBand="0" w:firstRowFirstColumn="0" w:firstRowLastColumn="0" w:lastRowFirstColumn="0" w:lastRowLastColumn="0"/>
            <w:tcW w:w="1620" w:type="dxa"/>
            <w:vAlign w:val="center"/>
          </w:tcPr>
          <w:p w:rsidR="00FA1AC4" w:rsidRDefault="00B11CCA">
            <w:pPr>
              <w:autoSpaceDE w:val="0"/>
              <w:autoSpaceDN w:val="0"/>
              <w:adjustRightInd w:val="0"/>
              <w:spacing w:line="360" w:lineRule="auto"/>
              <w:rPr>
                <w:rFonts w:eastAsia="Calibri"/>
                <w:sz w:val="28"/>
                <w:szCs w:val="28"/>
              </w:rPr>
            </w:pPr>
            <w:r>
              <w:rPr>
                <w:rFonts w:ascii="Arial" w:hAnsi="Arial" w:cs="Arial"/>
                <w:color w:val="000000"/>
                <w:sz w:val="18"/>
                <w:szCs w:val="18"/>
              </w:rPr>
              <w:t>COTA</w:t>
            </w:r>
          </w:p>
        </w:tc>
        <w:tc>
          <w:tcPr>
            <w:tcW w:w="1256"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189</w:t>
            </w:r>
          </w:p>
        </w:tc>
        <w:tc>
          <w:tcPr>
            <w:tcW w:w="1438"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3.33</w:t>
            </w:r>
          </w:p>
        </w:tc>
        <w:tc>
          <w:tcPr>
            <w:tcW w:w="1438"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5.00</w:t>
            </w:r>
          </w:p>
        </w:tc>
        <w:tc>
          <w:tcPr>
            <w:tcW w:w="1439"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4.71</w:t>
            </w:r>
          </w:p>
        </w:tc>
        <w:tc>
          <w:tcPr>
            <w:tcW w:w="1439"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0.38</w:t>
            </w:r>
          </w:p>
        </w:tc>
      </w:tr>
      <w:tr w:rsidR="00FA1AC4" w:rsidTr="00FA1AC4">
        <w:tc>
          <w:tcPr>
            <w:cnfStyle w:val="001000000000" w:firstRow="0" w:lastRow="0" w:firstColumn="1" w:lastColumn="0" w:oddVBand="0" w:evenVBand="0" w:oddHBand="0" w:evenHBand="0" w:firstRowFirstColumn="0" w:firstRowLastColumn="0" w:lastRowFirstColumn="0" w:lastRowLastColumn="0"/>
            <w:tcW w:w="1620" w:type="dxa"/>
            <w:vAlign w:val="center"/>
          </w:tcPr>
          <w:p w:rsidR="00FA1AC4" w:rsidRDefault="00B11CCA">
            <w:pPr>
              <w:autoSpaceDE w:val="0"/>
              <w:autoSpaceDN w:val="0"/>
              <w:adjustRightInd w:val="0"/>
              <w:spacing w:line="360" w:lineRule="auto"/>
              <w:rPr>
                <w:rFonts w:eastAsia="Calibri"/>
                <w:sz w:val="28"/>
                <w:szCs w:val="28"/>
              </w:rPr>
            </w:pPr>
            <w:r>
              <w:rPr>
                <w:rFonts w:ascii="Arial" w:hAnsi="Arial" w:cs="Arial"/>
                <w:color w:val="000000"/>
                <w:sz w:val="18"/>
                <w:szCs w:val="18"/>
              </w:rPr>
              <w:t>RIAS</w:t>
            </w:r>
          </w:p>
        </w:tc>
        <w:tc>
          <w:tcPr>
            <w:tcW w:w="1256"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189</w:t>
            </w:r>
          </w:p>
        </w:tc>
        <w:tc>
          <w:tcPr>
            <w:tcW w:w="1438"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1.33</w:t>
            </w:r>
          </w:p>
        </w:tc>
        <w:tc>
          <w:tcPr>
            <w:tcW w:w="1438"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4.67</w:t>
            </w:r>
          </w:p>
        </w:tc>
        <w:tc>
          <w:tcPr>
            <w:tcW w:w="1439"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3.95</w:t>
            </w:r>
          </w:p>
        </w:tc>
        <w:tc>
          <w:tcPr>
            <w:tcW w:w="1439"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0.75</w:t>
            </w:r>
          </w:p>
        </w:tc>
      </w:tr>
      <w:tr w:rsidR="00FA1AC4" w:rsidTr="00FA1AC4">
        <w:tc>
          <w:tcPr>
            <w:cnfStyle w:val="001000000000" w:firstRow="0" w:lastRow="0" w:firstColumn="1" w:lastColumn="0" w:oddVBand="0" w:evenVBand="0" w:oddHBand="0" w:evenHBand="0" w:firstRowFirstColumn="0" w:firstRowLastColumn="0" w:lastRowFirstColumn="0" w:lastRowLastColumn="0"/>
            <w:tcW w:w="1620" w:type="dxa"/>
            <w:vAlign w:val="center"/>
          </w:tcPr>
          <w:p w:rsidR="00FA1AC4" w:rsidRDefault="00B11CCA">
            <w:pPr>
              <w:autoSpaceDE w:val="0"/>
              <w:autoSpaceDN w:val="0"/>
              <w:adjustRightInd w:val="0"/>
              <w:spacing w:line="360" w:lineRule="auto"/>
              <w:rPr>
                <w:rFonts w:eastAsia="Calibri"/>
                <w:sz w:val="28"/>
                <w:szCs w:val="28"/>
              </w:rPr>
            </w:pPr>
            <w:r>
              <w:rPr>
                <w:rFonts w:ascii="Arial" w:hAnsi="Arial" w:cs="Arial"/>
                <w:color w:val="000000"/>
                <w:sz w:val="18"/>
                <w:szCs w:val="18"/>
              </w:rPr>
              <w:t>MOTA</w:t>
            </w:r>
          </w:p>
        </w:tc>
        <w:tc>
          <w:tcPr>
            <w:tcW w:w="1256"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189</w:t>
            </w:r>
          </w:p>
        </w:tc>
        <w:tc>
          <w:tcPr>
            <w:tcW w:w="1438"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2.00</w:t>
            </w:r>
          </w:p>
        </w:tc>
        <w:tc>
          <w:tcPr>
            <w:tcW w:w="1438"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5.00</w:t>
            </w:r>
          </w:p>
        </w:tc>
        <w:tc>
          <w:tcPr>
            <w:tcW w:w="1439"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3.94</w:t>
            </w:r>
          </w:p>
        </w:tc>
        <w:tc>
          <w:tcPr>
            <w:tcW w:w="1439"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0.56</w:t>
            </w:r>
          </w:p>
        </w:tc>
      </w:tr>
      <w:tr w:rsidR="00FA1AC4" w:rsidTr="00FA1AC4">
        <w:tc>
          <w:tcPr>
            <w:cnfStyle w:val="001000000000" w:firstRow="0" w:lastRow="0" w:firstColumn="1" w:lastColumn="0" w:oddVBand="0" w:evenVBand="0" w:oddHBand="0" w:evenHBand="0" w:firstRowFirstColumn="0" w:firstRowLastColumn="0" w:lastRowFirstColumn="0" w:lastRowLastColumn="0"/>
            <w:tcW w:w="1620" w:type="dxa"/>
            <w:vAlign w:val="center"/>
          </w:tcPr>
          <w:p w:rsidR="00FA1AC4" w:rsidRDefault="00B11CCA">
            <w:pPr>
              <w:autoSpaceDE w:val="0"/>
              <w:autoSpaceDN w:val="0"/>
              <w:adjustRightInd w:val="0"/>
              <w:spacing w:line="360" w:lineRule="auto"/>
              <w:rPr>
                <w:rFonts w:eastAsia="Calibri"/>
                <w:sz w:val="28"/>
                <w:szCs w:val="28"/>
              </w:rPr>
            </w:pPr>
            <w:r>
              <w:rPr>
                <w:rFonts w:ascii="Arial" w:hAnsi="Arial" w:cs="Arial"/>
                <w:color w:val="000000"/>
                <w:sz w:val="18"/>
                <w:szCs w:val="18"/>
              </w:rPr>
              <w:t>INFOC</w:t>
            </w:r>
          </w:p>
        </w:tc>
        <w:tc>
          <w:tcPr>
            <w:tcW w:w="1256"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189</w:t>
            </w:r>
          </w:p>
        </w:tc>
        <w:tc>
          <w:tcPr>
            <w:tcW w:w="1438"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2.33</w:t>
            </w:r>
          </w:p>
        </w:tc>
        <w:tc>
          <w:tcPr>
            <w:tcW w:w="1438"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5.00</w:t>
            </w:r>
          </w:p>
        </w:tc>
        <w:tc>
          <w:tcPr>
            <w:tcW w:w="1439"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4.36</w:t>
            </w:r>
          </w:p>
        </w:tc>
        <w:tc>
          <w:tcPr>
            <w:tcW w:w="1439"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0.63</w:t>
            </w:r>
          </w:p>
        </w:tc>
      </w:tr>
      <w:tr w:rsidR="00FA1AC4" w:rsidTr="00FA1AC4">
        <w:tc>
          <w:tcPr>
            <w:cnfStyle w:val="001000000000" w:firstRow="0" w:lastRow="0" w:firstColumn="1" w:lastColumn="0" w:oddVBand="0" w:evenVBand="0" w:oddHBand="0" w:evenHBand="0" w:firstRowFirstColumn="0" w:firstRowLastColumn="0" w:lastRowFirstColumn="0" w:lastRowLastColumn="0"/>
            <w:tcW w:w="1620" w:type="dxa"/>
            <w:vAlign w:val="center"/>
          </w:tcPr>
          <w:p w:rsidR="00FA1AC4" w:rsidRDefault="00B11CCA">
            <w:pPr>
              <w:autoSpaceDE w:val="0"/>
              <w:autoSpaceDN w:val="0"/>
              <w:adjustRightInd w:val="0"/>
              <w:spacing w:line="360" w:lineRule="auto"/>
              <w:rPr>
                <w:rFonts w:eastAsia="Calibri"/>
                <w:sz w:val="28"/>
                <w:szCs w:val="28"/>
              </w:rPr>
            </w:pPr>
            <w:r>
              <w:rPr>
                <w:rFonts w:ascii="Arial" w:hAnsi="Arial" w:cs="Arial"/>
                <w:color w:val="000000"/>
                <w:sz w:val="18"/>
                <w:szCs w:val="18"/>
              </w:rPr>
              <w:t>ACS</w:t>
            </w:r>
          </w:p>
        </w:tc>
        <w:tc>
          <w:tcPr>
            <w:tcW w:w="1256"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550</w:t>
            </w:r>
          </w:p>
        </w:tc>
        <w:tc>
          <w:tcPr>
            <w:tcW w:w="1438"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0.00</w:t>
            </w:r>
          </w:p>
        </w:tc>
        <w:tc>
          <w:tcPr>
            <w:tcW w:w="1438"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8.00</w:t>
            </w:r>
          </w:p>
        </w:tc>
        <w:tc>
          <w:tcPr>
            <w:tcW w:w="1439"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5.41</w:t>
            </w:r>
          </w:p>
        </w:tc>
        <w:tc>
          <w:tcPr>
            <w:tcW w:w="1439"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1.00</w:t>
            </w:r>
          </w:p>
        </w:tc>
      </w:tr>
      <w:tr w:rsidR="00FA1AC4" w:rsidTr="00FA1AC4">
        <w:tc>
          <w:tcPr>
            <w:cnfStyle w:val="001000000000" w:firstRow="0" w:lastRow="0" w:firstColumn="1" w:lastColumn="0" w:oddVBand="0" w:evenVBand="0" w:oddHBand="0" w:evenHBand="0" w:firstRowFirstColumn="0" w:firstRowLastColumn="0" w:lastRowFirstColumn="0" w:lastRowLastColumn="0"/>
            <w:tcW w:w="1620" w:type="dxa"/>
            <w:vAlign w:val="center"/>
          </w:tcPr>
          <w:p w:rsidR="00FA1AC4" w:rsidRDefault="00B11CCA">
            <w:pPr>
              <w:autoSpaceDE w:val="0"/>
              <w:autoSpaceDN w:val="0"/>
              <w:adjustRightInd w:val="0"/>
              <w:spacing w:line="360" w:lineRule="auto"/>
              <w:rPr>
                <w:rFonts w:eastAsia="Calibri"/>
                <w:sz w:val="28"/>
                <w:szCs w:val="28"/>
              </w:rPr>
            </w:pPr>
            <w:r>
              <w:rPr>
                <w:rFonts w:ascii="Arial" w:hAnsi="Arial" w:cs="Arial"/>
                <w:color w:val="000000"/>
                <w:sz w:val="18"/>
                <w:szCs w:val="18"/>
              </w:rPr>
              <w:t>ACFM</w:t>
            </w:r>
          </w:p>
        </w:tc>
        <w:tc>
          <w:tcPr>
            <w:tcW w:w="1256"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550</w:t>
            </w:r>
          </w:p>
        </w:tc>
        <w:tc>
          <w:tcPr>
            <w:tcW w:w="1438"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0.00</w:t>
            </w:r>
          </w:p>
        </w:tc>
        <w:tc>
          <w:tcPr>
            <w:tcW w:w="1438"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3.00</w:t>
            </w:r>
          </w:p>
        </w:tc>
        <w:tc>
          <w:tcPr>
            <w:tcW w:w="1439"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0.76</w:t>
            </w:r>
          </w:p>
        </w:tc>
        <w:tc>
          <w:tcPr>
            <w:tcW w:w="1439"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0.76</w:t>
            </w:r>
          </w:p>
        </w:tc>
      </w:tr>
      <w:tr w:rsidR="00FA1AC4" w:rsidTr="00FA1AC4">
        <w:tc>
          <w:tcPr>
            <w:cnfStyle w:val="001000000000" w:firstRow="0" w:lastRow="0" w:firstColumn="1" w:lastColumn="0" w:oddVBand="0" w:evenVBand="0" w:oddHBand="0" w:evenHBand="0" w:firstRowFirstColumn="0" w:firstRowLastColumn="0" w:lastRowFirstColumn="0" w:lastRowLastColumn="0"/>
            <w:tcW w:w="1620" w:type="dxa"/>
            <w:vAlign w:val="center"/>
          </w:tcPr>
          <w:p w:rsidR="00FA1AC4" w:rsidRDefault="00B11CCA">
            <w:pPr>
              <w:autoSpaceDE w:val="0"/>
              <w:autoSpaceDN w:val="0"/>
              <w:adjustRightInd w:val="0"/>
              <w:spacing w:line="360" w:lineRule="auto"/>
              <w:rPr>
                <w:rFonts w:eastAsia="Calibri"/>
                <w:sz w:val="28"/>
                <w:szCs w:val="28"/>
              </w:rPr>
            </w:pPr>
            <w:r>
              <w:rPr>
                <w:rFonts w:ascii="Arial" w:hAnsi="Arial" w:cs="Arial"/>
                <w:color w:val="000000"/>
                <w:sz w:val="18"/>
                <w:szCs w:val="18"/>
              </w:rPr>
              <w:t>ACC</w:t>
            </w:r>
          </w:p>
        </w:tc>
        <w:tc>
          <w:tcPr>
            <w:tcW w:w="1256"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550</w:t>
            </w:r>
          </w:p>
        </w:tc>
        <w:tc>
          <w:tcPr>
            <w:tcW w:w="1438"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0.00</w:t>
            </w:r>
          </w:p>
        </w:tc>
        <w:tc>
          <w:tcPr>
            <w:tcW w:w="1438"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5.00</w:t>
            </w:r>
          </w:p>
        </w:tc>
        <w:tc>
          <w:tcPr>
            <w:tcW w:w="1439"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2.74</w:t>
            </w:r>
          </w:p>
        </w:tc>
        <w:tc>
          <w:tcPr>
            <w:tcW w:w="1439"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0.53</w:t>
            </w:r>
          </w:p>
        </w:tc>
      </w:tr>
      <w:tr w:rsidR="00FA1AC4" w:rsidTr="00FA1AC4">
        <w:tc>
          <w:tcPr>
            <w:cnfStyle w:val="001000000000" w:firstRow="0" w:lastRow="0" w:firstColumn="1" w:lastColumn="0" w:oddVBand="0" w:evenVBand="0" w:oddHBand="0" w:evenHBand="0" w:firstRowFirstColumn="0" w:firstRowLastColumn="0" w:lastRowFirstColumn="0" w:lastRowLastColumn="0"/>
            <w:tcW w:w="1620" w:type="dxa"/>
            <w:vAlign w:val="center"/>
          </w:tcPr>
          <w:p w:rsidR="00FA1AC4" w:rsidRDefault="00B11CC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ACM</w:t>
            </w:r>
          </w:p>
        </w:tc>
        <w:tc>
          <w:tcPr>
            <w:tcW w:w="1256"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549</w:t>
            </w:r>
          </w:p>
        </w:tc>
        <w:tc>
          <w:tcPr>
            <w:tcW w:w="1438"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0.00</w:t>
            </w:r>
          </w:p>
        </w:tc>
        <w:tc>
          <w:tcPr>
            <w:tcW w:w="1438"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8.00</w:t>
            </w:r>
          </w:p>
        </w:tc>
        <w:tc>
          <w:tcPr>
            <w:tcW w:w="1439"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3.84</w:t>
            </w:r>
          </w:p>
        </w:tc>
        <w:tc>
          <w:tcPr>
            <w:tcW w:w="1439"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1.10</w:t>
            </w:r>
          </w:p>
        </w:tc>
      </w:tr>
      <w:tr w:rsidR="00FA1AC4" w:rsidTr="00FA1AC4">
        <w:tc>
          <w:tcPr>
            <w:cnfStyle w:val="001000000000" w:firstRow="0" w:lastRow="0" w:firstColumn="1" w:lastColumn="0" w:oddVBand="0" w:evenVBand="0" w:oddHBand="0" w:evenHBand="0" w:firstRowFirstColumn="0" w:firstRowLastColumn="0" w:lastRowFirstColumn="0" w:lastRowLastColumn="0"/>
            <w:tcW w:w="1620" w:type="dxa"/>
            <w:vAlign w:val="center"/>
          </w:tcPr>
          <w:p w:rsidR="00FA1AC4" w:rsidRDefault="00B11CC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FAGE</w:t>
            </w:r>
          </w:p>
        </w:tc>
        <w:tc>
          <w:tcPr>
            <w:tcW w:w="1256"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550</w:t>
            </w:r>
          </w:p>
        </w:tc>
        <w:tc>
          <w:tcPr>
            <w:tcW w:w="1438"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2.00</w:t>
            </w:r>
          </w:p>
        </w:tc>
        <w:tc>
          <w:tcPr>
            <w:tcW w:w="1438"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126.00</w:t>
            </w:r>
          </w:p>
        </w:tc>
        <w:tc>
          <w:tcPr>
            <w:tcW w:w="1439"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38.00</w:t>
            </w:r>
          </w:p>
        </w:tc>
        <w:tc>
          <w:tcPr>
            <w:tcW w:w="1439"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22.20</w:t>
            </w:r>
          </w:p>
        </w:tc>
      </w:tr>
      <w:tr w:rsidR="00FA1AC4" w:rsidTr="00FA1AC4">
        <w:tc>
          <w:tcPr>
            <w:cnfStyle w:val="001000000000" w:firstRow="0" w:lastRow="0" w:firstColumn="1" w:lastColumn="0" w:oddVBand="0" w:evenVBand="0" w:oddHBand="0" w:evenHBand="0" w:firstRowFirstColumn="0" w:firstRowLastColumn="0" w:lastRowFirstColumn="0" w:lastRowLastColumn="0"/>
            <w:tcW w:w="1620" w:type="dxa"/>
            <w:vAlign w:val="center"/>
          </w:tcPr>
          <w:p w:rsidR="00FA1AC4" w:rsidRDefault="00B11CC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FSIZE</w:t>
            </w:r>
          </w:p>
        </w:tc>
        <w:tc>
          <w:tcPr>
            <w:tcW w:w="1256"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550</w:t>
            </w:r>
          </w:p>
        </w:tc>
        <w:tc>
          <w:tcPr>
            <w:tcW w:w="1438"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5.32</w:t>
            </w:r>
          </w:p>
        </w:tc>
        <w:tc>
          <w:tcPr>
            <w:tcW w:w="1438"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9.88</w:t>
            </w:r>
          </w:p>
        </w:tc>
        <w:tc>
          <w:tcPr>
            <w:tcW w:w="1439"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7.48</w:t>
            </w:r>
          </w:p>
        </w:tc>
        <w:tc>
          <w:tcPr>
            <w:tcW w:w="1439"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1.00</w:t>
            </w:r>
          </w:p>
        </w:tc>
      </w:tr>
      <w:tr w:rsidR="00FA1AC4" w:rsidTr="00FA1AC4">
        <w:tc>
          <w:tcPr>
            <w:cnfStyle w:val="001000000000" w:firstRow="0" w:lastRow="0" w:firstColumn="1" w:lastColumn="0" w:oddVBand="0" w:evenVBand="0" w:oddHBand="0" w:evenHBand="0" w:firstRowFirstColumn="0" w:firstRowLastColumn="0" w:lastRowFirstColumn="0" w:lastRowLastColumn="0"/>
            <w:tcW w:w="1620" w:type="dxa"/>
            <w:vAlign w:val="center"/>
          </w:tcPr>
          <w:p w:rsidR="00FA1AC4" w:rsidRDefault="00B11CC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LEFR</w:t>
            </w:r>
          </w:p>
        </w:tc>
        <w:tc>
          <w:tcPr>
            <w:tcW w:w="1256"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550</w:t>
            </w:r>
          </w:p>
        </w:tc>
        <w:tc>
          <w:tcPr>
            <w:tcW w:w="1438"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3.99</w:t>
            </w:r>
          </w:p>
        </w:tc>
        <w:tc>
          <w:tcPr>
            <w:tcW w:w="1438"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10.04</w:t>
            </w:r>
          </w:p>
        </w:tc>
        <w:tc>
          <w:tcPr>
            <w:tcW w:w="1439"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6.83</w:t>
            </w:r>
          </w:p>
        </w:tc>
        <w:tc>
          <w:tcPr>
            <w:tcW w:w="1439"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1.03</w:t>
            </w:r>
          </w:p>
        </w:tc>
      </w:tr>
      <w:tr w:rsidR="00FA1AC4" w:rsidTr="00FA1AC4">
        <w:tc>
          <w:tcPr>
            <w:cnfStyle w:val="001000000000" w:firstRow="0" w:lastRow="0" w:firstColumn="1" w:lastColumn="0" w:oddVBand="0" w:evenVBand="0" w:oddHBand="0" w:evenHBand="0" w:firstRowFirstColumn="0" w:firstRowLastColumn="0" w:lastRowFirstColumn="0" w:lastRowLastColumn="0"/>
            <w:tcW w:w="1620" w:type="dxa"/>
            <w:vAlign w:val="center"/>
          </w:tcPr>
          <w:p w:rsidR="00FA1AC4" w:rsidRDefault="00B11CCA">
            <w:pPr>
              <w:autoSpaceDE w:val="0"/>
              <w:autoSpaceDN w:val="0"/>
              <w:adjustRightInd w:val="0"/>
              <w:spacing w:line="360" w:lineRule="auto"/>
              <w:rPr>
                <w:rFonts w:ascii="Arial" w:hAnsi="Arial" w:cs="Arial"/>
                <w:color w:val="000000"/>
                <w:sz w:val="16"/>
                <w:szCs w:val="16"/>
              </w:rPr>
            </w:pPr>
            <w:r>
              <w:rPr>
                <w:rFonts w:ascii="Arial" w:hAnsi="Arial" w:cs="Arial"/>
                <w:color w:val="000000"/>
                <w:sz w:val="16"/>
                <w:szCs w:val="16"/>
              </w:rPr>
              <w:t>Valid N (listwise)</w:t>
            </w:r>
          </w:p>
        </w:tc>
        <w:tc>
          <w:tcPr>
            <w:tcW w:w="1256"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r>
              <w:rPr>
                <w:rFonts w:ascii="Arial" w:hAnsi="Arial" w:cs="Arial"/>
                <w:color w:val="000000"/>
                <w:sz w:val="18"/>
                <w:szCs w:val="18"/>
              </w:rPr>
              <w:t>188</w:t>
            </w:r>
          </w:p>
        </w:tc>
        <w:tc>
          <w:tcPr>
            <w:tcW w:w="1438" w:type="dxa"/>
          </w:tcPr>
          <w:p w:rsidR="00FA1AC4" w:rsidRDefault="00FA1AC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p>
        </w:tc>
        <w:tc>
          <w:tcPr>
            <w:tcW w:w="1438" w:type="dxa"/>
          </w:tcPr>
          <w:p w:rsidR="00FA1AC4" w:rsidRDefault="00FA1AC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p>
        </w:tc>
        <w:tc>
          <w:tcPr>
            <w:tcW w:w="1439" w:type="dxa"/>
          </w:tcPr>
          <w:p w:rsidR="00FA1AC4" w:rsidRDefault="00FA1AC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p>
        </w:tc>
        <w:tc>
          <w:tcPr>
            <w:tcW w:w="1439" w:type="dxa"/>
          </w:tcPr>
          <w:p w:rsidR="00FA1AC4" w:rsidRDefault="00FA1AC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b/>
                <w:sz w:val="28"/>
                <w:szCs w:val="28"/>
              </w:rPr>
            </w:pPr>
          </w:p>
        </w:tc>
      </w:tr>
    </w:tbl>
    <w:p w:rsidR="00FA1AC4" w:rsidRDefault="00B11CCA">
      <w:pPr>
        <w:autoSpaceDE w:val="0"/>
        <w:autoSpaceDN w:val="0"/>
        <w:adjustRightInd w:val="0"/>
        <w:spacing w:line="400" w:lineRule="atLeast"/>
        <w:rPr>
          <w:rFonts w:eastAsia="Calibri"/>
        </w:rPr>
      </w:pPr>
      <w:r>
        <w:rPr>
          <w:rFonts w:eastAsia="Calibri"/>
        </w:rPr>
        <w:t>Source: Author’s Computation, (2022)</w:t>
      </w:r>
    </w:p>
    <w:p w:rsidR="00FA1AC4" w:rsidRDefault="00FA1AC4">
      <w:pPr>
        <w:autoSpaceDE w:val="0"/>
        <w:autoSpaceDN w:val="0"/>
        <w:adjustRightInd w:val="0"/>
        <w:spacing w:line="400" w:lineRule="atLeast"/>
        <w:rPr>
          <w:rFonts w:eastAsia="Calibri"/>
        </w:rPr>
      </w:pPr>
    </w:p>
    <w:p w:rsidR="00FA1AC4" w:rsidRDefault="00FA1AC4">
      <w:pPr>
        <w:autoSpaceDE w:val="0"/>
        <w:autoSpaceDN w:val="0"/>
        <w:adjustRightInd w:val="0"/>
        <w:spacing w:line="400" w:lineRule="atLeast"/>
        <w:rPr>
          <w:rFonts w:eastAsia="Calibri"/>
        </w:rPr>
      </w:pPr>
    </w:p>
    <w:p w:rsidR="00FA1AC4" w:rsidRDefault="00FA1AC4">
      <w:pPr>
        <w:autoSpaceDE w:val="0"/>
        <w:autoSpaceDN w:val="0"/>
        <w:adjustRightInd w:val="0"/>
        <w:spacing w:line="400" w:lineRule="atLeast"/>
        <w:rPr>
          <w:rFonts w:eastAsia="Calibri"/>
        </w:rPr>
      </w:pPr>
    </w:p>
    <w:p w:rsidR="00FA1AC4" w:rsidRDefault="00FA1AC4">
      <w:pPr>
        <w:autoSpaceDE w:val="0"/>
        <w:autoSpaceDN w:val="0"/>
        <w:adjustRightInd w:val="0"/>
        <w:spacing w:line="400" w:lineRule="atLeast"/>
        <w:rPr>
          <w:rFonts w:eastAsia="Calibri"/>
        </w:rPr>
      </w:pPr>
    </w:p>
    <w:p w:rsidR="00FA1AC4" w:rsidRDefault="00FA1AC4">
      <w:pPr>
        <w:autoSpaceDE w:val="0"/>
        <w:autoSpaceDN w:val="0"/>
        <w:adjustRightInd w:val="0"/>
        <w:spacing w:line="400" w:lineRule="atLeast"/>
        <w:rPr>
          <w:rFonts w:eastAsia="Calibri"/>
        </w:rPr>
      </w:pPr>
    </w:p>
    <w:p w:rsidR="00FA1AC4" w:rsidRDefault="00FA1AC4">
      <w:pPr>
        <w:autoSpaceDE w:val="0"/>
        <w:autoSpaceDN w:val="0"/>
        <w:adjustRightInd w:val="0"/>
        <w:spacing w:line="400" w:lineRule="atLeast"/>
        <w:rPr>
          <w:rFonts w:eastAsia="Calibri"/>
        </w:rPr>
      </w:pPr>
    </w:p>
    <w:p w:rsidR="00FA1AC4" w:rsidRDefault="00B11CCA">
      <w:pPr>
        <w:pStyle w:val="Heading3"/>
        <w:spacing w:line="480" w:lineRule="auto"/>
        <w:rPr>
          <w:rFonts w:eastAsia="Calibri"/>
        </w:rPr>
      </w:pPr>
      <w:bookmarkStart w:id="64" w:name="_Toc112342381"/>
      <w:r>
        <w:rPr>
          <w:rFonts w:eastAsia="Calibri"/>
        </w:rPr>
        <w:t>4.2.2.</w:t>
      </w:r>
      <w:r>
        <w:rPr>
          <w:rFonts w:eastAsia="Calibri"/>
        </w:rPr>
        <w:tab/>
        <w:t>Histogram Chart</w:t>
      </w:r>
      <w:bookmarkEnd w:id="64"/>
    </w:p>
    <w:p w:rsidR="00FA1AC4" w:rsidRDefault="00B11CCA">
      <w:pPr>
        <w:autoSpaceDE w:val="0"/>
        <w:autoSpaceDN w:val="0"/>
        <w:adjustRightInd w:val="0"/>
        <w:rPr>
          <w:rFonts w:eastAsia="Calibri"/>
        </w:rPr>
      </w:pPr>
      <w:r>
        <w:rPr>
          <w:rFonts w:eastAsia="Calibri"/>
        </w:rPr>
        <w:t>Figure 4.1 shows the Effective Financial Reporting (EFR) computed from the data used. This is a bell-shaped curve which depicts that the data is fairly regularly distributed.</w:t>
      </w:r>
    </w:p>
    <w:p w:rsidR="00FA1AC4" w:rsidRDefault="00FA1AC4">
      <w:pPr>
        <w:autoSpaceDE w:val="0"/>
        <w:autoSpaceDN w:val="0"/>
        <w:adjustRightInd w:val="0"/>
        <w:spacing w:line="400" w:lineRule="atLeast"/>
        <w:rPr>
          <w:rFonts w:eastAsia="Calibri"/>
        </w:rPr>
      </w:pPr>
    </w:p>
    <w:p w:rsidR="00FA1AC4" w:rsidRDefault="00B11CCA">
      <w:pPr>
        <w:autoSpaceDE w:val="0"/>
        <w:autoSpaceDN w:val="0"/>
        <w:adjustRightInd w:val="0"/>
        <w:spacing w:line="400" w:lineRule="atLeast"/>
        <w:rPr>
          <w:rFonts w:eastAsia="Calibri"/>
        </w:rPr>
      </w:pPr>
      <w:r>
        <w:rPr>
          <w:noProof/>
          <w:lang w:val="en-US"/>
        </w:rPr>
        <w:drawing>
          <wp:inline distT="0" distB="0" distL="0" distR="0">
            <wp:extent cx="5943600" cy="4752975"/>
            <wp:effectExtent l="0" t="0" r="0" b="9525"/>
            <wp:docPr id="1067"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8"/>
                    <pic:cNvPicPr/>
                  </pic:nvPicPr>
                  <pic:blipFill>
                    <a:blip r:embed="rId10" cstate="print"/>
                    <a:srcRect/>
                    <a:stretch/>
                  </pic:blipFill>
                  <pic:spPr>
                    <a:xfrm>
                      <a:off x="0" y="0"/>
                      <a:ext cx="5943600" cy="4752975"/>
                    </a:xfrm>
                    <a:prstGeom prst="rect">
                      <a:avLst/>
                    </a:prstGeom>
                    <a:ln>
                      <a:noFill/>
                    </a:ln>
                  </pic:spPr>
                </pic:pic>
              </a:graphicData>
            </a:graphic>
          </wp:inline>
        </w:drawing>
      </w:r>
    </w:p>
    <w:p w:rsidR="00FA1AC4" w:rsidRDefault="00B11CCA">
      <w:pPr>
        <w:autoSpaceDE w:val="0"/>
        <w:autoSpaceDN w:val="0"/>
        <w:adjustRightInd w:val="0"/>
        <w:spacing w:line="360" w:lineRule="auto"/>
        <w:jc w:val="center"/>
        <w:rPr>
          <w:rFonts w:eastAsia="Calibri"/>
        </w:rPr>
      </w:pPr>
      <w:r>
        <w:rPr>
          <w:rFonts w:eastAsia="Calibri"/>
          <w:b/>
        </w:rPr>
        <w:t>Figure 4.1:</w:t>
      </w:r>
      <w:r>
        <w:rPr>
          <w:rFonts w:eastAsia="Calibri"/>
        </w:rPr>
        <w:t xml:space="preserve"> Histogram Illustrating Effective Financial Reporting</w:t>
      </w:r>
    </w:p>
    <w:p w:rsidR="00FA1AC4" w:rsidRDefault="00B11CCA">
      <w:pPr>
        <w:autoSpaceDE w:val="0"/>
        <w:autoSpaceDN w:val="0"/>
        <w:adjustRightInd w:val="0"/>
        <w:spacing w:after="240" w:line="360" w:lineRule="auto"/>
        <w:jc w:val="center"/>
        <w:rPr>
          <w:rFonts w:eastAsia="Calibri"/>
        </w:rPr>
      </w:pPr>
      <w:r>
        <w:rPr>
          <w:rFonts w:eastAsia="Calibri"/>
        </w:rPr>
        <w:t>Source: Author’s Computation, (2022)</w:t>
      </w:r>
    </w:p>
    <w:p w:rsidR="00FA1AC4" w:rsidRDefault="00B11CCA">
      <w:pPr>
        <w:pStyle w:val="Heading3"/>
        <w:spacing w:line="480" w:lineRule="auto"/>
      </w:pPr>
      <w:bookmarkStart w:id="65" w:name="_Toc112342382"/>
      <w:r>
        <w:lastRenderedPageBreak/>
        <w:t>4.2.3.</w:t>
      </w:r>
      <w:r>
        <w:tab/>
        <w:t>Test for Outliers</w:t>
      </w:r>
      <w:bookmarkEnd w:id="65"/>
    </w:p>
    <w:p w:rsidR="00FA1AC4" w:rsidRDefault="00B11CCA">
      <w:pPr>
        <w:rPr>
          <w:color w:val="000000"/>
        </w:rPr>
      </w:pPr>
      <w:r>
        <w:rPr>
          <w:color w:val="000000"/>
        </w:rPr>
        <w:t>This study employed box plot to test for outliers as presented in Figure 4.2 shown below. It reveals that there are outliers but the outliers noticed do not have asterisks. Hence, it cannot undermine the result of the study and it implies that the data is good for further analysis.</w:t>
      </w:r>
    </w:p>
    <w:p w:rsidR="00FA1AC4" w:rsidRDefault="00B11CCA">
      <w:pPr>
        <w:autoSpaceDE w:val="0"/>
        <w:autoSpaceDN w:val="0"/>
        <w:adjustRightInd w:val="0"/>
      </w:pPr>
      <w:r>
        <w:rPr>
          <w:noProof/>
          <w:lang w:val="en-US"/>
        </w:rPr>
        <w:drawing>
          <wp:inline distT="0" distB="0" distL="0" distR="0">
            <wp:extent cx="5257800" cy="3716215"/>
            <wp:effectExtent l="0" t="0" r="0" b="0"/>
            <wp:docPr id="106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6"/>
                    <pic:cNvPicPr/>
                  </pic:nvPicPr>
                  <pic:blipFill>
                    <a:blip r:embed="rId11" cstate="print"/>
                    <a:srcRect/>
                    <a:stretch/>
                  </pic:blipFill>
                  <pic:spPr>
                    <a:xfrm>
                      <a:off x="0" y="0"/>
                      <a:ext cx="5257800" cy="3716215"/>
                    </a:xfrm>
                    <a:prstGeom prst="rect">
                      <a:avLst/>
                    </a:prstGeom>
                    <a:ln>
                      <a:noFill/>
                    </a:ln>
                  </pic:spPr>
                </pic:pic>
              </a:graphicData>
            </a:graphic>
          </wp:inline>
        </w:drawing>
      </w:r>
    </w:p>
    <w:p w:rsidR="00FA1AC4" w:rsidRDefault="00B11CCA">
      <w:pPr>
        <w:pStyle w:val="ListParagraph"/>
        <w:spacing w:line="360" w:lineRule="auto"/>
        <w:ind w:left="90"/>
        <w:jc w:val="center"/>
        <w:rPr>
          <w:color w:val="000000"/>
        </w:rPr>
      </w:pPr>
      <w:r>
        <w:rPr>
          <w:b/>
          <w:color w:val="000000"/>
        </w:rPr>
        <w:t>Figure 4.2:</w:t>
      </w:r>
      <w:r>
        <w:rPr>
          <w:color w:val="000000"/>
        </w:rPr>
        <w:t xml:space="preserve">  Test for Outliers</w:t>
      </w:r>
    </w:p>
    <w:p w:rsidR="00FA1AC4" w:rsidRDefault="00B11CCA">
      <w:pPr>
        <w:pStyle w:val="ListParagraph"/>
        <w:spacing w:after="240" w:line="360" w:lineRule="auto"/>
        <w:ind w:left="90"/>
        <w:jc w:val="center"/>
        <w:rPr>
          <w:color w:val="000000"/>
          <w:sz w:val="20"/>
          <w:szCs w:val="20"/>
        </w:rPr>
      </w:pPr>
      <w:r>
        <w:rPr>
          <w:color w:val="000000"/>
        </w:rPr>
        <w:t>Source:</w:t>
      </w:r>
      <w:r>
        <w:rPr>
          <w:color w:val="000000"/>
          <w:sz w:val="20"/>
          <w:szCs w:val="20"/>
        </w:rPr>
        <w:t xml:space="preserve"> </w:t>
      </w:r>
      <w:r>
        <w:rPr>
          <w:rFonts w:eastAsia="Calibri"/>
        </w:rPr>
        <w:t>Author’s Computation, (2022)</w:t>
      </w:r>
    </w:p>
    <w:p w:rsidR="00FA1AC4" w:rsidRDefault="00B11CCA">
      <w:pPr>
        <w:pStyle w:val="Heading3"/>
        <w:spacing w:line="480" w:lineRule="auto"/>
        <w:rPr>
          <w:rFonts w:eastAsia="Calibri"/>
        </w:rPr>
      </w:pPr>
      <w:bookmarkStart w:id="66" w:name="_Toc112342383"/>
      <w:r>
        <w:rPr>
          <w:rFonts w:eastAsia="Calibri"/>
        </w:rPr>
        <w:t>4.2.4.</w:t>
      </w:r>
      <w:r>
        <w:rPr>
          <w:rFonts w:eastAsia="Calibri"/>
        </w:rPr>
        <w:tab/>
        <w:t>Colinearity Test</w:t>
      </w:r>
      <w:bookmarkEnd w:id="66"/>
    </w:p>
    <w:p w:rsidR="00FA1AC4" w:rsidRDefault="00B11CCA">
      <w:pPr>
        <w:autoSpaceDE w:val="0"/>
        <w:autoSpaceDN w:val="0"/>
        <w:adjustRightInd w:val="0"/>
        <w:rPr>
          <w:rFonts w:eastAsia="Calibri"/>
        </w:rPr>
      </w:pPr>
      <w:r>
        <w:rPr>
          <w:rFonts w:eastAsia="Calibri"/>
        </w:rPr>
        <w:t xml:space="preserve">This study employed the tolerance test and variance inflation factor statistic to test for colinearity of the data variables. Evidence from Table 4.2 revealed that COTA has 0.957 tolerance value, RIAS has 0.897 tolerance value MOTA has a tolerance value of 0.884, INFOC has a tolerance value of 0.908, ACS has a tolerance value of 0.365, ACFM has </w:t>
      </w:r>
      <w:r>
        <w:rPr>
          <w:rFonts w:eastAsia="Calibri"/>
        </w:rPr>
        <w:lastRenderedPageBreak/>
        <w:t>0.877 tolerance value ACC has a tolerance value of 0.354, ACM has 0.865 tolerance value, FAGE has a tolerance value of 0.900 while FSIZE has 0.747 tolerance value. Hence, these tolerance values are all greater than the benchmark of 0.1. In addition, the VIF of COTA, RIAS, MOTA, INFOC, ACS, ACFM, ACC, ACM, FAGE were FSIZE were noticed, and the values are all below the benchmark of 10 which makes it all to be acceptable because it shows that there is no multicolinearity.</w:t>
      </w:r>
    </w:p>
    <w:p w:rsidR="00FA1AC4" w:rsidRDefault="00B11CCA">
      <w:pPr>
        <w:autoSpaceDE w:val="0"/>
        <w:autoSpaceDN w:val="0"/>
        <w:adjustRightInd w:val="0"/>
        <w:spacing w:line="360" w:lineRule="auto"/>
        <w:rPr>
          <w:rFonts w:eastAsia="Calibri"/>
        </w:rPr>
      </w:pPr>
      <w:r>
        <w:rPr>
          <w:rFonts w:eastAsia="Calibri"/>
        </w:rPr>
        <w:t>Table 4.2: Colinearity</w:t>
      </w:r>
    </w:p>
    <w:tbl>
      <w:tblPr>
        <w:tblStyle w:val="PlainTable21"/>
        <w:tblW w:w="0" w:type="auto"/>
        <w:tblLook w:val="06A0" w:firstRow="1" w:lastRow="0" w:firstColumn="1" w:lastColumn="0" w:noHBand="1" w:noVBand="1"/>
      </w:tblPr>
      <w:tblGrid>
        <w:gridCol w:w="2876"/>
        <w:gridCol w:w="2877"/>
        <w:gridCol w:w="2877"/>
      </w:tblGrid>
      <w:tr w:rsidR="00FA1AC4" w:rsidTr="00FA1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vMerge w:val="restart"/>
          </w:tcPr>
          <w:p w:rsidR="00FA1AC4" w:rsidRDefault="00B11CCA">
            <w:pPr>
              <w:autoSpaceDE w:val="0"/>
              <w:autoSpaceDN w:val="0"/>
              <w:adjustRightInd w:val="0"/>
              <w:spacing w:line="360" w:lineRule="auto"/>
              <w:rPr>
                <w:rFonts w:eastAsia="Calibri"/>
              </w:rPr>
            </w:pPr>
            <w:r>
              <w:rPr>
                <w:rFonts w:eastAsia="Calibri"/>
                <w:b w:val="0"/>
              </w:rPr>
              <w:t>Model</w:t>
            </w:r>
          </w:p>
        </w:tc>
        <w:tc>
          <w:tcPr>
            <w:tcW w:w="5754" w:type="dxa"/>
            <w:gridSpan w:val="2"/>
          </w:tcPr>
          <w:p w:rsidR="00FA1AC4" w:rsidRDefault="00B11CCA">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b w:val="0"/>
              </w:rPr>
              <w:t xml:space="preserve">             Colinearity Statistics</w:t>
            </w:r>
          </w:p>
        </w:tc>
      </w:tr>
      <w:tr w:rsidR="00FA1AC4" w:rsidTr="00FA1AC4">
        <w:tc>
          <w:tcPr>
            <w:cnfStyle w:val="001000000000" w:firstRow="0" w:lastRow="0" w:firstColumn="1" w:lastColumn="0" w:oddVBand="0" w:evenVBand="0" w:oddHBand="0" w:evenHBand="0" w:firstRowFirstColumn="0" w:firstRowLastColumn="0" w:lastRowFirstColumn="0" w:lastRowLastColumn="0"/>
            <w:tcW w:w="2876" w:type="dxa"/>
            <w:vMerge/>
          </w:tcPr>
          <w:p w:rsidR="00FA1AC4" w:rsidRDefault="00FA1AC4">
            <w:pPr>
              <w:autoSpaceDE w:val="0"/>
              <w:autoSpaceDN w:val="0"/>
              <w:adjustRightInd w:val="0"/>
              <w:spacing w:line="360" w:lineRule="auto"/>
              <w:rPr>
                <w:rFonts w:eastAsia="Calibri"/>
              </w:rPr>
            </w:pPr>
          </w:p>
        </w:tc>
        <w:tc>
          <w:tcPr>
            <w:tcW w:w="2877"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Tolerance</w:t>
            </w:r>
          </w:p>
        </w:tc>
        <w:tc>
          <w:tcPr>
            <w:tcW w:w="2877"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VIF</w:t>
            </w:r>
          </w:p>
        </w:tc>
      </w:tr>
      <w:tr w:rsidR="00FA1AC4" w:rsidTr="00FA1AC4">
        <w:tc>
          <w:tcPr>
            <w:cnfStyle w:val="001000000000" w:firstRow="0" w:lastRow="0" w:firstColumn="1" w:lastColumn="0" w:oddVBand="0" w:evenVBand="0" w:oddHBand="0" w:evenHBand="0" w:firstRowFirstColumn="0" w:firstRowLastColumn="0" w:lastRowFirstColumn="0" w:lastRowLastColumn="0"/>
            <w:tcW w:w="2876" w:type="dxa"/>
            <w:vAlign w:val="center"/>
          </w:tcPr>
          <w:p w:rsidR="00FA1AC4" w:rsidRDefault="00B11CCA">
            <w:pPr>
              <w:autoSpaceDE w:val="0"/>
              <w:autoSpaceDN w:val="0"/>
              <w:adjustRightInd w:val="0"/>
              <w:spacing w:line="360" w:lineRule="auto"/>
              <w:rPr>
                <w:rFonts w:eastAsia="Calibri"/>
              </w:rPr>
            </w:pPr>
            <w:r>
              <w:rPr>
                <w:b w:val="0"/>
                <w:color w:val="000000"/>
              </w:rPr>
              <w:t>COTA</w:t>
            </w:r>
          </w:p>
        </w:tc>
        <w:tc>
          <w:tcPr>
            <w:tcW w:w="2877"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rPr>
            </w:pPr>
            <w:r>
              <w:rPr>
                <w:color w:val="000000"/>
              </w:rPr>
              <w:t>0.957</w:t>
            </w:r>
          </w:p>
        </w:tc>
        <w:tc>
          <w:tcPr>
            <w:tcW w:w="2877"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rPr>
            </w:pPr>
            <w:r>
              <w:rPr>
                <w:color w:val="000000"/>
              </w:rPr>
              <w:t>1.045</w:t>
            </w:r>
          </w:p>
        </w:tc>
      </w:tr>
      <w:tr w:rsidR="00FA1AC4" w:rsidTr="00FA1AC4">
        <w:tc>
          <w:tcPr>
            <w:cnfStyle w:val="001000000000" w:firstRow="0" w:lastRow="0" w:firstColumn="1" w:lastColumn="0" w:oddVBand="0" w:evenVBand="0" w:oddHBand="0" w:evenHBand="0" w:firstRowFirstColumn="0" w:firstRowLastColumn="0" w:lastRowFirstColumn="0" w:lastRowLastColumn="0"/>
            <w:tcW w:w="2876" w:type="dxa"/>
            <w:vAlign w:val="center"/>
          </w:tcPr>
          <w:p w:rsidR="00FA1AC4" w:rsidRDefault="00B11CCA">
            <w:pPr>
              <w:autoSpaceDE w:val="0"/>
              <w:autoSpaceDN w:val="0"/>
              <w:adjustRightInd w:val="0"/>
              <w:spacing w:line="360" w:lineRule="auto"/>
              <w:rPr>
                <w:rFonts w:eastAsia="Calibri"/>
              </w:rPr>
            </w:pPr>
            <w:r>
              <w:rPr>
                <w:b w:val="0"/>
                <w:color w:val="000000"/>
              </w:rPr>
              <w:t>RIAS</w:t>
            </w:r>
          </w:p>
        </w:tc>
        <w:tc>
          <w:tcPr>
            <w:tcW w:w="2877"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rPr>
            </w:pPr>
            <w:r>
              <w:rPr>
                <w:color w:val="000000"/>
              </w:rPr>
              <w:t>0.897</w:t>
            </w:r>
          </w:p>
        </w:tc>
        <w:tc>
          <w:tcPr>
            <w:tcW w:w="2877"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rPr>
            </w:pPr>
            <w:r>
              <w:rPr>
                <w:color w:val="000000"/>
              </w:rPr>
              <w:t>1.114</w:t>
            </w:r>
          </w:p>
        </w:tc>
      </w:tr>
      <w:tr w:rsidR="00FA1AC4" w:rsidTr="00FA1AC4">
        <w:tc>
          <w:tcPr>
            <w:cnfStyle w:val="001000000000" w:firstRow="0" w:lastRow="0" w:firstColumn="1" w:lastColumn="0" w:oddVBand="0" w:evenVBand="0" w:oddHBand="0" w:evenHBand="0" w:firstRowFirstColumn="0" w:firstRowLastColumn="0" w:lastRowFirstColumn="0" w:lastRowLastColumn="0"/>
            <w:tcW w:w="2876" w:type="dxa"/>
            <w:vAlign w:val="center"/>
          </w:tcPr>
          <w:p w:rsidR="00FA1AC4" w:rsidRDefault="00B11CCA">
            <w:pPr>
              <w:autoSpaceDE w:val="0"/>
              <w:autoSpaceDN w:val="0"/>
              <w:adjustRightInd w:val="0"/>
              <w:spacing w:line="360" w:lineRule="auto"/>
              <w:rPr>
                <w:rFonts w:eastAsia="Calibri"/>
              </w:rPr>
            </w:pPr>
            <w:r>
              <w:rPr>
                <w:b w:val="0"/>
                <w:color w:val="000000"/>
              </w:rPr>
              <w:t>MOTA</w:t>
            </w:r>
          </w:p>
        </w:tc>
        <w:tc>
          <w:tcPr>
            <w:tcW w:w="2877"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rPr>
            </w:pPr>
            <w:r>
              <w:rPr>
                <w:color w:val="000000"/>
              </w:rPr>
              <w:t>0.884</w:t>
            </w:r>
          </w:p>
        </w:tc>
        <w:tc>
          <w:tcPr>
            <w:tcW w:w="2877"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rPr>
            </w:pPr>
            <w:r>
              <w:rPr>
                <w:color w:val="000000"/>
              </w:rPr>
              <w:t>1.131</w:t>
            </w:r>
          </w:p>
        </w:tc>
      </w:tr>
      <w:tr w:rsidR="00FA1AC4" w:rsidTr="00FA1AC4">
        <w:tc>
          <w:tcPr>
            <w:cnfStyle w:val="001000000000" w:firstRow="0" w:lastRow="0" w:firstColumn="1" w:lastColumn="0" w:oddVBand="0" w:evenVBand="0" w:oddHBand="0" w:evenHBand="0" w:firstRowFirstColumn="0" w:firstRowLastColumn="0" w:lastRowFirstColumn="0" w:lastRowLastColumn="0"/>
            <w:tcW w:w="2876" w:type="dxa"/>
            <w:vAlign w:val="center"/>
          </w:tcPr>
          <w:p w:rsidR="00FA1AC4" w:rsidRDefault="00B11CCA">
            <w:pPr>
              <w:autoSpaceDE w:val="0"/>
              <w:autoSpaceDN w:val="0"/>
              <w:adjustRightInd w:val="0"/>
              <w:spacing w:line="360" w:lineRule="auto"/>
              <w:rPr>
                <w:rFonts w:eastAsia="Calibri"/>
              </w:rPr>
            </w:pPr>
            <w:r>
              <w:rPr>
                <w:b w:val="0"/>
                <w:color w:val="000000"/>
              </w:rPr>
              <w:t>INFOC</w:t>
            </w:r>
          </w:p>
        </w:tc>
        <w:tc>
          <w:tcPr>
            <w:tcW w:w="2877"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rPr>
            </w:pPr>
            <w:r>
              <w:rPr>
                <w:color w:val="000000"/>
              </w:rPr>
              <w:t>0.908</w:t>
            </w:r>
          </w:p>
        </w:tc>
        <w:tc>
          <w:tcPr>
            <w:tcW w:w="2877"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rPr>
            </w:pPr>
            <w:r>
              <w:rPr>
                <w:color w:val="000000"/>
              </w:rPr>
              <w:t>1.101</w:t>
            </w:r>
          </w:p>
        </w:tc>
      </w:tr>
      <w:tr w:rsidR="00FA1AC4" w:rsidTr="00FA1AC4">
        <w:tc>
          <w:tcPr>
            <w:cnfStyle w:val="001000000000" w:firstRow="0" w:lastRow="0" w:firstColumn="1" w:lastColumn="0" w:oddVBand="0" w:evenVBand="0" w:oddHBand="0" w:evenHBand="0" w:firstRowFirstColumn="0" w:firstRowLastColumn="0" w:lastRowFirstColumn="0" w:lastRowLastColumn="0"/>
            <w:tcW w:w="2876" w:type="dxa"/>
            <w:vAlign w:val="center"/>
          </w:tcPr>
          <w:p w:rsidR="00FA1AC4" w:rsidRDefault="00B11CCA">
            <w:pPr>
              <w:autoSpaceDE w:val="0"/>
              <w:autoSpaceDN w:val="0"/>
              <w:adjustRightInd w:val="0"/>
              <w:spacing w:line="360" w:lineRule="auto"/>
              <w:rPr>
                <w:rFonts w:eastAsia="Calibri"/>
              </w:rPr>
            </w:pPr>
            <w:r>
              <w:rPr>
                <w:b w:val="0"/>
                <w:color w:val="000000"/>
              </w:rPr>
              <w:t>ACS</w:t>
            </w:r>
          </w:p>
        </w:tc>
        <w:tc>
          <w:tcPr>
            <w:tcW w:w="2877"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rPr>
            </w:pPr>
            <w:r>
              <w:rPr>
                <w:color w:val="000000"/>
              </w:rPr>
              <w:t>0.365</w:t>
            </w:r>
          </w:p>
        </w:tc>
        <w:tc>
          <w:tcPr>
            <w:tcW w:w="2877"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rPr>
            </w:pPr>
            <w:r>
              <w:rPr>
                <w:color w:val="000000"/>
              </w:rPr>
              <w:t>2.741</w:t>
            </w:r>
          </w:p>
        </w:tc>
      </w:tr>
      <w:tr w:rsidR="00FA1AC4" w:rsidTr="00FA1AC4">
        <w:tc>
          <w:tcPr>
            <w:cnfStyle w:val="001000000000" w:firstRow="0" w:lastRow="0" w:firstColumn="1" w:lastColumn="0" w:oddVBand="0" w:evenVBand="0" w:oddHBand="0" w:evenHBand="0" w:firstRowFirstColumn="0" w:firstRowLastColumn="0" w:lastRowFirstColumn="0" w:lastRowLastColumn="0"/>
            <w:tcW w:w="2876" w:type="dxa"/>
            <w:vAlign w:val="center"/>
          </w:tcPr>
          <w:p w:rsidR="00FA1AC4" w:rsidRDefault="00B11CCA">
            <w:pPr>
              <w:autoSpaceDE w:val="0"/>
              <w:autoSpaceDN w:val="0"/>
              <w:adjustRightInd w:val="0"/>
              <w:spacing w:line="360" w:lineRule="auto"/>
              <w:rPr>
                <w:rFonts w:eastAsia="Calibri"/>
              </w:rPr>
            </w:pPr>
            <w:r>
              <w:rPr>
                <w:b w:val="0"/>
                <w:color w:val="000000"/>
              </w:rPr>
              <w:t>ACFM</w:t>
            </w:r>
          </w:p>
        </w:tc>
        <w:tc>
          <w:tcPr>
            <w:tcW w:w="2877"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rPr>
            </w:pPr>
            <w:r>
              <w:rPr>
                <w:color w:val="000000"/>
              </w:rPr>
              <w:t>0.877</w:t>
            </w:r>
          </w:p>
        </w:tc>
        <w:tc>
          <w:tcPr>
            <w:tcW w:w="2877"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rPr>
            </w:pPr>
            <w:r>
              <w:rPr>
                <w:color w:val="000000"/>
              </w:rPr>
              <w:t>1.140</w:t>
            </w:r>
          </w:p>
        </w:tc>
      </w:tr>
      <w:tr w:rsidR="00FA1AC4" w:rsidTr="00FA1AC4">
        <w:tc>
          <w:tcPr>
            <w:cnfStyle w:val="001000000000" w:firstRow="0" w:lastRow="0" w:firstColumn="1" w:lastColumn="0" w:oddVBand="0" w:evenVBand="0" w:oddHBand="0" w:evenHBand="0" w:firstRowFirstColumn="0" w:firstRowLastColumn="0" w:lastRowFirstColumn="0" w:lastRowLastColumn="0"/>
            <w:tcW w:w="2876" w:type="dxa"/>
            <w:vAlign w:val="center"/>
          </w:tcPr>
          <w:p w:rsidR="00FA1AC4" w:rsidRDefault="00B11CCA">
            <w:pPr>
              <w:autoSpaceDE w:val="0"/>
              <w:autoSpaceDN w:val="0"/>
              <w:adjustRightInd w:val="0"/>
              <w:spacing w:line="360" w:lineRule="auto"/>
              <w:rPr>
                <w:color w:val="000000"/>
              </w:rPr>
            </w:pPr>
            <w:r>
              <w:rPr>
                <w:b w:val="0"/>
                <w:color w:val="000000"/>
              </w:rPr>
              <w:t>ACC</w:t>
            </w:r>
          </w:p>
        </w:tc>
        <w:tc>
          <w:tcPr>
            <w:tcW w:w="2877"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rPr>
            </w:pPr>
            <w:r>
              <w:rPr>
                <w:color w:val="000000"/>
              </w:rPr>
              <w:t>0.354</w:t>
            </w:r>
          </w:p>
        </w:tc>
        <w:tc>
          <w:tcPr>
            <w:tcW w:w="2877"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rPr>
            </w:pPr>
            <w:r>
              <w:rPr>
                <w:color w:val="000000"/>
              </w:rPr>
              <w:t>2.827</w:t>
            </w:r>
          </w:p>
        </w:tc>
      </w:tr>
      <w:tr w:rsidR="00FA1AC4" w:rsidTr="00FA1AC4">
        <w:tc>
          <w:tcPr>
            <w:cnfStyle w:val="001000000000" w:firstRow="0" w:lastRow="0" w:firstColumn="1" w:lastColumn="0" w:oddVBand="0" w:evenVBand="0" w:oddHBand="0" w:evenHBand="0" w:firstRowFirstColumn="0" w:firstRowLastColumn="0" w:lastRowFirstColumn="0" w:lastRowLastColumn="0"/>
            <w:tcW w:w="2876" w:type="dxa"/>
            <w:vAlign w:val="center"/>
          </w:tcPr>
          <w:p w:rsidR="00FA1AC4" w:rsidRDefault="00B11CCA">
            <w:pPr>
              <w:autoSpaceDE w:val="0"/>
              <w:autoSpaceDN w:val="0"/>
              <w:adjustRightInd w:val="0"/>
              <w:spacing w:line="360" w:lineRule="auto"/>
              <w:rPr>
                <w:color w:val="000000"/>
              </w:rPr>
            </w:pPr>
            <w:r>
              <w:rPr>
                <w:b w:val="0"/>
                <w:color w:val="000000"/>
              </w:rPr>
              <w:t>ACM</w:t>
            </w:r>
          </w:p>
        </w:tc>
        <w:tc>
          <w:tcPr>
            <w:tcW w:w="2877"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rPr>
            </w:pPr>
            <w:r>
              <w:rPr>
                <w:color w:val="000000"/>
              </w:rPr>
              <w:t>0.865</w:t>
            </w:r>
          </w:p>
        </w:tc>
        <w:tc>
          <w:tcPr>
            <w:tcW w:w="2877"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rPr>
            </w:pPr>
            <w:r>
              <w:rPr>
                <w:color w:val="000000"/>
              </w:rPr>
              <w:t>1.156</w:t>
            </w:r>
          </w:p>
        </w:tc>
      </w:tr>
      <w:tr w:rsidR="00FA1AC4" w:rsidTr="00FA1AC4">
        <w:tc>
          <w:tcPr>
            <w:cnfStyle w:val="001000000000" w:firstRow="0" w:lastRow="0" w:firstColumn="1" w:lastColumn="0" w:oddVBand="0" w:evenVBand="0" w:oddHBand="0" w:evenHBand="0" w:firstRowFirstColumn="0" w:firstRowLastColumn="0" w:lastRowFirstColumn="0" w:lastRowLastColumn="0"/>
            <w:tcW w:w="2876" w:type="dxa"/>
            <w:vAlign w:val="center"/>
          </w:tcPr>
          <w:p w:rsidR="00FA1AC4" w:rsidRDefault="00B11CCA">
            <w:pPr>
              <w:autoSpaceDE w:val="0"/>
              <w:autoSpaceDN w:val="0"/>
              <w:adjustRightInd w:val="0"/>
              <w:spacing w:line="360" w:lineRule="auto"/>
              <w:rPr>
                <w:color w:val="000000"/>
              </w:rPr>
            </w:pPr>
            <w:r>
              <w:rPr>
                <w:b w:val="0"/>
                <w:color w:val="000000"/>
              </w:rPr>
              <w:t>FAGE</w:t>
            </w:r>
          </w:p>
        </w:tc>
        <w:tc>
          <w:tcPr>
            <w:tcW w:w="2877"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rPr>
            </w:pPr>
            <w:r>
              <w:rPr>
                <w:color w:val="000000"/>
              </w:rPr>
              <w:t>0.900</w:t>
            </w:r>
          </w:p>
        </w:tc>
        <w:tc>
          <w:tcPr>
            <w:tcW w:w="2877"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rPr>
            </w:pPr>
            <w:r>
              <w:rPr>
                <w:color w:val="000000"/>
              </w:rPr>
              <w:t>1.111</w:t>
            </w:r>
          </w:p>
        </w:tc>
      </w:tr>
      <w:tr w:rsidR="00FA1AC4" w:rsidTr="00FA1AC4">
        <w:tc>
          <w:tcPr>
            <w:cnfStyle w:val="001000000000" w:firstRow="0" w:lastRow="0" w:firstColumn="1" w:lastColumn="0" w:oddVBand="0" w:evenVBand="0" w:oddHBand="0" w:evenHBand="0" w:firstRowFirstColumn="0" w:firstRowLastColumn="0" w:lastRowFirstColumn="0" w:lastRowLastColumn="0"/>
            <w:tcW w:w="2876" w:type="dxa"/>
            <w:vAlign w:val="center"/>
          </w:tcPr>
          <w:p w:rsidR="00FA1AC4" w:rsidRDefault="00B11CCA">
            <w:pPr>
              <w:autoSpaceDE w:val="0"/>
              <w:autoSpaceDN w:val="0"/>
              <w:adjustRightInd w:val="0"/>
              <w:spacing w:line="360" w:lineRule="auto"/>
              <w:rPr>
                <w:color w:val="000000"/>
              </w:rPr>
            </w:pPr>
            <w:r>
              <w:rPr>
                <w:b w:val="0"/>
                <w:color w:val="000000"/>
              </w:rPr>
              <w:t>FSIZE</w:t>
            </w:r>
          </w:p>
        </w:tc>
        <w:tc>
          <w:tcPr>
            <w:tcW w:w="2877"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rPr>
            </w:pPr>
            <w:r>
              <w:rPr>
                <w:color w:val="000000"/>
              </w:rPr>
              <w:t>0.747</w:t>
            </w:r>
          </w:p>
        </w:tc>
        <w:tc>
          <w:tcPr>
            <w:tcW w:w="2877" w:type="dxa"/>
          </w:tcPr>
          <w:p w:rsidR="00FA1AC4" w:rsidRDefault="00B11CC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rPr>
            </w:pPr>
            <w:r>
              <w:rPr>
                <w:color w:val="000000"/>
              </w:rPr>
              <w:t>1.339</w:t>
            </w:r>
          </w:p>
        </w:tc>
      </w:tr>
    </w:tbl>
    <w:p w:rsidR="00FA1AC4" w:rsidRDefault="00B11CCA">
      <w:pPr>
        <w:spacing w:after="240" w:line="360" w:lineRule="auto"/>
        <w:rPr>
          <w:rFonts w:eastAsia="Calibri"/>
        </w:rPr>
      </w:pPr>
      <w:r>
        <w:rPr>
          <w:color w:val="000000"/>
        </w:rPr>
        <w:t>Source</w:t>
      </w:r>
      <w:r>
        <w:rPr>
          <w:color w:val="000000"/>
          <w:sz w:val="20"/>
          <w:szCs w:val="20"/>
        </w:rPr>
        <w:t xml:space="preserve">: </w:t>
      </w:r>
      <w:r>
        <w:rPr>
          <w:rFonts w:eastAsia="Calibri"/>
        </w:rPr>
        <w:t>Author’s Computation, (2022)</w:t>
      </w:r>
    </w:p>
    <w:p w:rsidR="00FA1AC4" w:rsidRDefault="00FA1AC4">
      <w:pPr>
        <w:spacing w:after="240" w:line="360" w:lineRule="auto"/>
        <w:rPr>
          <w:rFonts w:eastAsia="Calibri"/>
        </w:rPr>
      </w:pPr>
    </w:p>
    <w:p w:rsidR="00FA1AC4" w:rsidRDefault="00FA1AC4">
      <w:pPr>
        <w:spacing w:after="240" w:line="360" w:lineRule="auto"/>
        <w:rPr>
          <w:rFonts w:eastAsia="Calibri"/>
        </w:rPr>
      </w:pPr>
    </w:p>
    <w:p w:rsidR="00FA1AC4" w:rsidRDefault="00FA1AC4">
      <w:pPr>
        <w:spacing w:after="240" w:line="360" w:lineRule="auto"/>
        <w:rPr>
          <w:rFonts w:eastAsia="Calibri"/>
        </w:rPr>
      </w:pPr>
    </w:p>
    <w:p w:rsidR="00FA1AC4" w:rsidRDefault="00FA1AC4">
      <w:pPr>
        <w:spacing w:after="240" w:line="360" w:lineRule="auto"/>
        <w:rPr>
          <w:color w:val="000000"/>
          <w:sz w:val="20"/>
          <w:szCs w:val="20"/>
        </w:rPr>
      </w:pPr>
    </w:p>
    <w:p w:rsidR="00FA1AC4" w:rsidRDefault="00B11CCA">
      <w:pPr>
        <w:pStyle w:val="Heading2"/>
        <w:numPr>
          <w:ilvl w:val="1"/>
          <w:numId w:val="24"/>
        </w:numPr>
        <w:ind w:left="709"/>
        <w:rPr>
          <w:rFonts w:eastAsia="Calibri"/>
        </w:rPr>
      </w:pPr>
      <w:bookmarkStart w:id="67" w:name="_Toc112342384"/>
      <w:r>
        <w:rPr>
          <w:rFonts w:eastAsia="Calibri"/>
        </w:rPr>
        <w:lastRenderedPageBreak/>
        <w:t>Analysis of Data from the Survey Questionnaires</w:t>
      </w:r>
      <w:bookmarkEnd w:id="67"/>
    </w:p>
    <w:p w:rsidR="00FA1AC4" w:rsidRDefault="00B11CCA">
      <w:pPr>
        <w:autoSpaceDE w:val="0"/>
        <w:autoSpaceDN w:val="0"/>
        <w:adjustRightInd w:val="0"/>
        <w:rPr>
          <w:rFonts w:eastAsia="Calibri"/>
        </w:rPr>
      </w:pPr>
      <w:r>
        <w:rPr>
          <w:rFonts w:eastAsia="Calibri"/>
        </w:rPr>
        <w:t>The primary data used in this study was gathered from the stakeholders of the companies under study through surveys, questionnaires, and annual reports of listed service firms traded publicly on the floors of the Nigerian Stock Exchange. It includes research information, findings, and analysis that are consistent with the study's goals. Survey of Independent auditors and stakeholders of listed service firms in Nigeria</w:t>
      </w:r>
    </w:p>
    <w:p w:rsidR="00FA1AC4" w:rsidRDefault="00B11CCA">
      <w:pPr>
        <w:spacing w:after="160" w:line="259" w:lineRule="auto"/>
        <w:jc w:val="left"/>
        <w:rPr>
          <w:rFonts w:eastAsia="Calibri"/>
        </w:rPr>
      </w:pPr>
      <w:r>
        <w:rPr>
          <w:rFonts w:eastAsia="Calibri"/>
        </w:rPr>
        <w:br w:type="page"/>
      </w:r>
    </w:p>
    <w:p w:rsidR="00FA1AC4" w:rsidRDefault="00B11CCA">
      <w:pPr>
        <w:pStyle w:val="Heading3"/>
        <w:numPr>
          <w:ilvl w:val="2"/>
          <w:numId w:val="8"/>
        </w:numPr>
        <w:spacing w:line="480" w:lineRule="auto"/>
        <w:rPr>
          <w:rFonts w:eastAsia="Calibri"/>
        </w:rPr>
      </w:pPr>
      <w:bookmarkStart w:id="68" w:name="_Toc112342385"/>
      <w:r>
        <w:rPr>
          <w:rFonts w:eastAsia="Calibri"/>
        </w:rPr>
        <w:lastRenderedPageBreak/>
        <w:t>Coded Survey Questionnaire Statement</w:t>
      </w:r>
      <w:bookmarkEnd w:id="68"/>
      <w:r>
        <w:rPr>
          <w:rFonts w:eastAsia="Calibri"/>
        </w:rPr>
        <w:t xml:space="preserve"> </w:t>
      </w:r>
    </w:p>
    <w:p w:rsidR="00FA1AC4" w:rsidRDefault="00B11CCA">
      <w:pPr>
        <w:autoSpaceDE w:val="0"/>
        <w:autoSpaceDN w:val="0"/>
        <w:adjustRightInd w:val="0"/>
        <w:spacing w:after="240"/>
        <w:rPr>
          <w:rFonts w:eastAsia="Calibri"/>
          <w:iCs/>
        </w:rPr>
      </w:pPr>
      <w:r>
        <w:rPr>
          <w:rFonts w:eastAsia="Calibri"/>
          <w:iCs/>
        </w:rPr>
        <w:t>Survey data collected from the Stakeholder groups of the company understudy is coded as provided in Table 4.3:</w:t>
      </w:r>
    </w:p>
    <w:p w:rsidR="00FA1AC4" w:rsidRDefault="00B11CCA">
      <w:pPr>
        <w:autoSpaceDE w:val="0"/>
        <w:autoSpaceDN w:val="0"/>
        <w:adjustRightInd w:val="0"/>
        <w:rPr>
          <w:rFonts w:eastAsia="Calibri"/>
          <w:b/>
          <w:iCs/>
        </w:rPr>
      </w:pPr>
      <w:r>
        <w:rPr>
          <w:rFonts w:eastAsia="Calibri"/>
          <w:iCs/>
        </w:rPr>
        <w:t xml:space="preserve">Table 4.3: Coded Survey </w:t>
      </w:r>
      <w:r>
        <w:rPr>
          <w:rFonts w:eastAsia="Calibri"/>
          <w:bCs/>
        </w:rPr>
        <w:t>Questionnaire Statement</w:t>
      </w:r>
      <w:r>
        <w:rPr>
          <w:rFonts w:eastAsia="Calibri"/>
          <w:b/>
          <w:bCs/>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57"/>
        <w:gridCol w:w="1072"/>
        <w:gridCol w:w="962"/>
        <w:gridCol w:w="1223"/>
        <w:gridCol w:w="1224"/>
        <w:gridCol w:w="1090"/>
        <w:gridCol w:w="1361"/>
      </w:tblGrid>
      <w:tr w:rsidR="00FA1AC4">
        <w:trPr>
          <w:jc w:val="center"/>
        </w:trPr>
        <w:tc>
          <w:tcPr>
            <w:tcW w:w="1857"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b/>
                <w:bCs/>
                <w:sz w:val="22"/>
                <w:szCs w:val="22"/>
              </w:rPr>
            </w:pPr>
            <w:r>
              <w:rPr>
                <w:rFonts w:eastAsia="Calibri"/>
                <w:b/>
                <w:bCs/>
                <w:sz w:val="22"/>
                <w:szCs w:val="22"/>
              </w:rPr>
              <w:t>STATEMENTS</w:t>
            </w:r>
          </w:p>
        </w:tc>
        <w:tc>
          <w:tcPr>
            <w:tcW w:w="1072"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b/>
                <w:bCs/>
                <w:sz w:val="22"/>
                <w:szCs w:val="22"/>
              </w:rPr>
            </w:pPr>
            <w:r>
              <w:rPr>
                <w:rFonts w:eastAsia="Calibri"/>
                <w:b/>
                <w:bCs/>
                <w:sz w:val="22"/>
                <w:szCs w:val="22"/>
              </w:rPr>
              <w:t>SA</w:t>
            </w:r>
          </w:p>
        </w:tc>
        <w:tc>
          <w:tcPr>
            <w:tcW w:w="962"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b/>
                <w:bCs/>
                <w:sz w:val="22"/>
                <w:szCs w:val="22"/>
              </w:rPr>
            </w:pPr>
            <w:r>
              <w:rPr>
                <w:rFonts w:eastAsia="Calibri"/>
                <w:b/>
                <w:bCs/>
                <w:sz w:val="22"/>
                <w:szCs w:val="22"/>
              </w:rPr>
              <w:t>A</w:t>
            </w:r>
          </w:p>
        </w:tc>
        <w:tc>
          <w:tcPr>
            <w:tcW w:w="1223"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b/>
                <w:bCs/>
                <w:sz w:val="22"/>
                <w:szCs w:val="22"/>
              </w:rPr>
            </w:pPr>
            <w:r>
              <w:rPr>
                <w:rFonts w:eastAsia="Calibri"/>
                <w:b/>
                <w:bCs/>
                <w:sz w:val="22"/>
                <w:szCs w:val="22"/>
              </w:rPr>
              <w:t>NV</w:t>
            </w:r>
          </w:p>
        </w:tc>
        <w:tc>
          <w:tcPr>
            <w:tcW w:w="1224"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b/>
                <w:bCs/>
                <w:sz w:val="22"/>
                <w:szCs w:val="22"/>
              </w:rPr>
            </w:pPr>
            <w:r>
              <w:rPr>
                <w:rFonts w:eastAsia="Calibri"/>
                <w:b/>
                <w:bCs/>
                <w:sz w:val="22"/>
                <w:szCs w:val="22"/>
              </w:rPr>
              <w:t>D</w:t>
            </w:r>
          </w:p>
        </w:tc>
        <w:tc>
          <w:tcPr>
            <w:tcW w:w="1090"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b/>
                <w:bCs/>
                <w:sz w:val="22"/>
                <w:szCs w:val="22"/>
              </w:rPr>
            </w:pPr>
            <w:r>
              <w:rPr>
                <w:rFonts w:eastAsia="Calibri"/>
                <w:b/>
                <w:bCs/>
                <w:sz w:val="22"/>
                <w:szCs w:val="22"/>
              </w:rPr>
              <w:t>SD</w:t>
            </w:r>
          </w:p>
        </w:tc>
        <w:tc>
          <w:tcPr>
            <w:tcW w:w="1361" w:type="dxa"/>
            <w:tcBorders>
              <w:top w:val="single" w:sz="4" w:space="0" w:color="auto"/>
              <w:left w:val="single" w:sz="4" w:space="0" w:color="auto"/>
              <w:bottom w:val="single" w:sz="4" w:space="0" w:color="auto"/>
            </w:tcBorders>
          </w:tcPr>
          <w:p w:rsidR="00FA1AC4" w:rsidRDefault="00B11CCA">
            <w:pPr>
              <w:autoSpaceDE w:val="0"/>
              <w:autoSpaceDN w:val="0"/>
              <w:adjustRightInd w:val="0"/>
              <w:jc w:val="center"/>
              <w:rPr>
                <w:rFonts w:eastAsia="Calibri"/>
                <w:b/>
                <w:bCs/>
                <w:sz w:val="22"/>
                <w:szCs w:val="22"/>
              </w:rPr>
            </w:pPr>
            <w:r>
              <w:rPr>
                <w:rFonts w:eastAsia="Calibri"/>
                <w:b/>
                <w:bCs/>
                <w:sz w:val="22"/>
                <w:szCs w:val="22"/>
              </w:rPr>
              <w:t>NO.</w:t>
            </w:r>
          </w:p>
        </w:tc>
      </w:tr>
      <w:tr w:rsidR="00FA1AC4">
        <w:trPr>
          <w:jc w:val="center"/>
        </w:trPr>
        <w:tc>
          <w:tcPr>
            <w:tcW w:w="1857"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sz w:val="22"/>
                <w:szCs w:val="22"/>
              </w:rPr>
            </w:pPr>
            <w:r>
              <w:rPr>
                <w:rFonts w:eastAsia="Calibri"/>
                <w:sz w:val="22"/>
                <w:szCs w:val="22"/>
              </w:rPr>
              <w:t>1</w:t>
            </w:r>
          </w:p>
        </w:tc>
        <w:tc>
          <w:tcPr>
            <w:tcW w:w="107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150</w:t>
            </w:r>
          </w:p>
        </w:tc>
        <w:tc>
          <w:tcPr>
            <w:tcW w:w="96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34</w:t>
            </w:r>
          </w:p>
        </w:tc>
        <w:tc>
          <w:tcPr>
            <w:tcW w:w="1223"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2</w:t>
            </w:r>
          </w:p>
        </w:tc>
        <w:tc>
          <w:tcPr>
            <w:tcW w:w="122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0</w:t>
            </w:r>
          </w:p>
        </w:tc>
        <w:tc>
          <w:tcPr>
            <w:tcW w:w="1090"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3</w:t>
            </w:r>
          </w:p>
        </w:tc>
        <w:tc>
          <w:tcPr>
            <w:tcW w:w="136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189</w:t>
            </w:r>
          </w:p>
        </w:tc>
      </w:tr>
      <w:tr w:rsidR="00FA1AC4">
        <w:trPr>
          <w:jc w:val="center"/>
        </w:trPr>
        <w:tc>
          <w:tcPr>
            <w:tcW w:w="1857"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sz w:val="22"/>
                <w:szCs w:val="22"/>
              </w:rPr>
            </w:pPr>
            <w:r>
              <w:rPr>
                <w:rFonts w:eastAsia="Calibri"/>
                <w:sz w:val="22"/>
                <w:szCs w:val="22"/>
              </w:rPr>
              <w:t>2</w:t>
            </w:r>
          </w:p>
        </w:tc>
        <w:tc>
          <w:tcPr>
            <w:tcW w:w="107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83</w:t>
            </w:r>
          </w:p>
        </w:tc>
        <w:tc>
          <w:tcPr>
            <w:tcW w:w="96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95</w:t>
            </w:r>
          </w:p>
        </w:tc>
        <w:tc>
          <w:tcPr>
            <w:tcW w:w="1223"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0</w:t>
            </w:r>
          </w:p>
        </w:tc>
        <w:tc>
          <w:tcPr>
            <w:tcW w:w="122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6</w:t>
            </w:r>
          </w:p>
        </w:tc>
        <w:tc>
          <w:tcPr>
            <w:tcW w:w="1090"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5</w:t>
            </w:r>
          </w:p>
        </w:tc>
        <w:tc>
          <w:tcPr>
            <w:tcW w:w="136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189</w:t>
            </w:r>
          </w:p>
        </w:tc>
      </w:tr>
      <w:tr w:rsidR="00FA1AC4">
        <w:trPr>
          <w:jc w:val="center"/>
        </w:trPr>
        <w:tc>
          <w:tcPr>
            <w:tcW w:w="1857"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sz w:val="22"/>
                <w:szCs w:val="22"/>
              </w:rPr>
            </w:pPr>
            <w:r>
              <w:rPr>
                <w:rFonts w:eastAsia="Calibri"/>
                <w:sz w:val="22"/>
                <w:szCs w:val="22"/>
              </w:rPr>
              <w:t>3</w:t>
            </w:r>
          </w:p>
        </w:tc>
        <w:tc>
          <w:tcPr>
            <w:tcW w:w="107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103</w:t>
            </w:r>
          </w:p>
        </w:tc>
        <w:tc>
          <w:tcPr>
            <w:tcW w:w="96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59</w:t>
            </w:r>
          </w:p>
        </w:tc>
        <w:tc>
          <w:tcPr>
            <w:tcW w:w="1223"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5</w:t>
            </w:r>
          </w:p>
        </w:tc>
        <w:tc>
          <w:tcPr>
            <w:tcW w:w="122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10</w:t>
            </w:r>
          </w:p>
        </w:tc>
        <w:tc>
          <w:tcPr>
            <w:tcW w:w="1090"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12</w:t>
            </w:r>
          </w:p>
        </w:tc>
        <w:tc>
          <w:tcPr>
            <w:tcW w:w="136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189</w:t>
            </w:r>
          </w:p>
        </w:tc>
      </w:tr>
      <w:tr w:rsidR="00FA1AC4">
        <w:trPr>
          <w:jc w:val="center"/>
        </w:trPr>
        <w:tc>
          <w:tcPr>
            <w:tcW w:w="1857"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sz w:val="22"/>
                <w:szCs w:val="22"/>
              </w:rPr>
            </w:pPr>
            <w:r>
              <w:rPr>
                <w:rFonts w:eastAsia="Calibri"/>
                <w:sz w:val="22"/>
                <w:szCs w:val="22"/>
              </w:rPr>
              <w:t>4</w:t>
            </w:r>
          </w:p>
        </w:tc>
        <w:tc>
          <w:tcPr>
            <w:tcW w:w="107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124</w:t>
            </w:r>
          </w:p>
        </w:tc>
        <w:tc>
          <w:tcPr>
            <w:tcW w:w="96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44</w:t>
            </w:r>
          </w:p>
        </w:tc>
        <w:tc>
          <w:tcPr>
            <w:tcW w:w="1223"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3</w:t>
            </w:r>
          </w:p>
        </w:tc>
        <w:tc>
          <w:tcPr>
            <w:tcW w:w="122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21</w:t>
            </w:r>
          </w:p>
        </w:tc>
        <w:tc>
          <w:tcPr>
            <w:tcW w:w="1090"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0</w:t>
            </w:r>
          </w:p>
        </w:tc>
        <w:tc>
          <w:tcPr>
            <w:tcW w:w="136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189</w:t>
            </w:r>
          </w:p>
        </w:tc>
      </w:tr>
      <w:tr w:rsidR="00FA1AC4">
        <w:trPr>
          <w:jc w:val="center"/>
        </w:trPr>
        <w:tc>
          <w:tcPr>
            <w:tcW w:w="1857"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sz w:val="22"/>
                <w:szCs w:val="22"/>
              </w:rPr>
            </w:pPr>
            <w:r>
              <w:rPr>
                <w:rFonts w:eastAsia="Calibri"/>
                <w:sz w:val="22"/>
                <w:szCs w:val="22"/>
              </w:rPr>
              <w:t>5</w:t>
            </w:r>
          </w:p>
        </w:tc>
        <w:tc>
          <w:tcPr>
            <w:tcW w:w="107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0</w:t>
            </w:r>
          </w:p>
        </w:tc>
        <w:tc>
          <w:tcPr>
            <w:tcW w:w="96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0</w:t>
            </w:r>
          </w:p>
        </w:tc>
        <w:tc>
          <w:tcPr>
            <w:tcW w:w="1223"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9</w:t>
            </w:r>
          </w:p>
        </w:tc>
        <w:tc>
          <w:tcPr>
            <w:tcW w:w="122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105</w:t>
            </w:r>
          </w:p>
        </w:tc>
        <w:tc>
          <w:tcPr>
            <w:tcW w:w="1090"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75</w:t>
            </w:r>
          </w:p>
        </w:tc>
        <w:tc>
          <w:tcPr>
            <w:tcW w:w="136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189</w:t>
            </w:r>
          </w:p>
        </w:tc>
      </w:tr>
      <w:tr w:rsidR="00FA1AC4">
        <w:trPr>
          <w:jc w:val="center"/>
        </w:trPr>
        <w:tc>
          <w:tcPr>
            <w:tcW w:w="1857"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sz w:val="22"/>
                <w:szCs w:val="22"/>
              </w:rPr>
            </w:pPr>
            <w:r>
              <w:rPr>
                <w:rFonts w:eastAsia="Calibri"/>
                <w:sz w:val="22"/>
                <w:szCs w:val="22"/>
              </w:rPr>
              <w:t>6</w:t>
            </w:r>
          </w:p>
        </w:tc>
        <w:tc>
          <w:tcPr>
            <w:tcW w:w="107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119</w:t>
            </w:r>
          </w:p>
        </w:tc>
        <w:tc>
          <w:tcPr>
            <w:tcW w:w="96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60</w:t>
            </w:r>
          </w:p>
        </w:tc>
        <w:tc>
          <w:tcPr>
            <w:tcW w:w="1223"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0</w:t>
            </w:r>
          </w:p>
        </w:tc>
        <w:tc>
          <w:tcPr>
            <w:tcW w:w="122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7</w:t>
            </w:r>
          </w:p>
        </w:tc>
        <w:tc>
          <w:tcPr>
            <w:tcW w:w="1090"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3</w:t>
            </w:r>
          </w:p>
        </w:tc>
        <w:tc>
          <w:tcPr>
            <w:tcW w:w="136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189</w:t>
            </w:r>
          </w:p>
        </w:tc>
      </w:tr>
      <w:tr w:rsidR="00FA1AC4">
        <w:trPr>
          <w:jc w:val="center"/>
        </w:trPr>
        <w:tc>
          <w:tcPr>
            <w:tcW w:w="1857"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sz w:val="22"/>
                <w:szCs w:val="22"/>
              </w:rPr>
            </w:pPr>
            <w:r>
              <w:rPr>
                <w:rFonts w:eastAsia="Calibri"/>
                <w:sz w:val="22"/>
                <w:szCs w:val="22"/>
              </w:rPr>
              <w:t>7</w:t>
            </w:r>
          </w:p>
        </w:tc>
        <w:tc>
          <w:tcPr>
            <w:tcW w:w="107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20</w:t>
            </w:r>
          </w:p>
        </w:tc>
        <w:tc>
          <w:tcPr>
            <w:tcW w:w="96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131</w:t>
            </w:r>
          </w:p>
        </w:tc>
        <w:tc>
          <w:tcPr>
            <w:tcW w:w="1223"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6</w:t>
            </w:r>
          </w:p>
        </w:tc>
        <w:tc>
          <w:tcPr>
            <w:tcW w:w="122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23</w:t>
            </w:r>
          </w:p>
        </w:tc>
        <w:tc>
          <w:tcPr>
            <w:tcW w:w="1090"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9</w:t>
            </w:r>
          </w:p>
        </w:tc>
        <w:tc>
          <w:tcPr>
            <w:tcW w:w="136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189</w:t>
            </w:r>
          </w:p>
        </w:tc>
      </w:tr>
      <w:tr w:rsidR="00FA1AC4">
        <w:trPr>
          <w:jc w:val="center"/>
        </w:trPr>
        <w:tc>
          <w:tcPr>
            <w:tcW w:w="1857"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sz w:val="22"/>
                <w:szCs w:val="22"/>
              </w:rPr>
            </w:pPr>
            <w:r>
              <w:rPr>
                <w:rFonts w:eastAsia="Calibri"/>
                <w:sz w:val="22"/>
                <w:szCs w:val="22"/>
              </w:rPr>
              <w:t>8</w:t>
            </w:r>
          </w:p>
        </w:tc>
        <w:tc>
          <w:tcPr>
            <w:tcW w:w="107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26</w:t>
            </w:r>
          </w:p>
        </w:tc>
        <w:tc>
          <w:tcPr>
            <w:tcW w:w="96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141</w:t>
            </w:r>
          </w:p>
        </w:tc>
        <w:tc>
          <w:tcPr>
            <w:tcW w:w="1223"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0</w:t>
            </w:r>
          </w:p>
        </w:tc>
        <w:tc>
          <w:tcPr>
            <w:tcW w:w="122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10</w:t>
            </w:r>
          </w:p>
        </w:tc>
        <w:tc>
          <w:tcPr>
            <w:tcW w:w="1090"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12</w:t>
            </w:r>
          </w:p>
        </w:tc>
        <w:tc>
          <w:tcPr>
            <w:tcW w:w="136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189</w:t>
            </w:r>
          </w:p>
        </w:tc>
      </w:tr>
      <w:tr w:rsidR="00FA1AC4">
        <w:trPr>
          <w:jc w:val="center"/>
        </w:trPr>
        <w:tc>
          <w:tcPr>
            <w:tcW w:w="1857"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sz w:val="22"/>
                <w:szCs w:val="22"/>
              </w:rPr>
            </w:pPr>
            <w:r>
              <w:rPr>
                <w:rFonts w:eastAsia="Calibri"/>
                <w:sz w:val="22"/>
                <w:szCs w:val="22"/>
              </w:rPr>
              <w:t>9</w:t>
            </w:r>
          </w:p>
        </w:tc>
        <w:tc>
          <w:tcPr>
            <w:tcW w:w="107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107</w:t>
            </w:r>
          </w:p>
        </w:tc>
        <w:tc>
          <w:tcPr>
            <w:tcW w:w="96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75</w:t>
            </w:r>
          </w:p>
        </w:tc>
        <w:tc>
          <w:tcPr>
            <w:tcW w:w="1223"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2</w:t>
            </w:r>
          </w:p>
        </w:tc>
        <w:tc>
          <w:tcPr>
            <w:tcW w:w="122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5</w:t>
            </w:r>
          </w:p>
        </w:tc>
        <w:tc>
          <w:tcPr>
            <w:tcW w:w="1090"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0</w:t>
            </w:r>
          </w:p>
        </w:tc>
        <w:tc>
          <w:tcPr>
            <w:tcW w:w="136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189</w:t>
            </w:r>
          </w:p>
        </w:tc>
      </w:tr>
      <w:tr w:rsidR="00FA1AC4">
        <w:trPr>
          <w:jc w:val="center"/>
        </w:trPr>
        <w:tc>
          <w:tcPr>
            <w:tcW w:w="1857"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sz w:val="22"/>
                <w:szCs w:val="22"/>
              </w:rPr>
            </w:pPr>
            <w:r>
              <w:rPr>
                <w:rFonts w:eastAsia="Calibri"/>
                <w:sz w:val="22"/>
                <w:szCs w:val="22"/>
              </w:rPr>
              <w:t>10</w:t>
            </w:r>
          </w:p>
        </w:tc>
        <w:tc>
          <w:tcPr>
            <w:tcW w:w="107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145</w:t>
            </w:r>
          </w:p>
        </w:tc>
        <w:tc>
          <w:tcPr>
            <w:tcW w:w="96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19</w:t>
            </w:r>
          </w:p>
        </w:tc>
        <w:tc>
          <w:tcPr>
            <w:tcW w:w="1223"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0</w:t>
            </w:r>
          </w:p>
        </w:tc>
        <w:tc>
          <w:tcPr>
            <w:tcW w:w="122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15</w:t>
            </w:r>
          </w:p>
        </w:tc>
        <w:tc>
          <w:tcPr>
            <w:tcW w:w="1090"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10</w:t>
            </w:r>
          </w:p>
        </w:tc>
        <w:tc>
          <w:tcPr>
            <w:tcW w:w="136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189</w:t>
            </w:r>
          </w:p>
        </w:tc>
      </w:tr>
      <w:tr w:rsidR="00FA1AC4">
        <w:trPr>
          <w:jc w:val="center"/>
        </w:trPr>
        <w:tc>
          <w:tcPr>
            <w:tcW w:w="1857"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sz w:val="22"/>
                <w:szCs w:val="22"/>
              </w:rPr>
            </w:pPr>
            <w:r>
              <w:rPr>
                <w:rFonts w:eastAsia="Calibri"/>
                <w:sz w:val="22"/>
                <w:szCs w:val="22"/>
              </w:rPr>
              <w:t>11</w:t>
            </w:r>
          </w:p>
        </w:tc>
        <w:tc>
          <w:tcPr>
            <w:tcW w:w="107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154</w:t>
            </w:r>
          </w:p>
        </w:tc>
        <w:tc>
          <w:tcPr>
            <w:tcW w:w="96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13</w:t>
            </w:r>
          </w:p>
        </w:tc>
        <w:tc>
          <w:tcPr>
            <w:tcW w:w="1223"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5</w:t>
            </w:r>
          </w:p>
        </w:tc>
        <w:tc>
          <w:tcPr>
            <w:tcW w:w="122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10</w:t>
            </w:r>
          </w:p>
        </w:tc>
        <w:tc>
          <w:tcPr>
            <w:tcW w:w="1090"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7</w:t>
            </w:r>
          </w:p>
        </w:tc>
        <w:tc>
          <w:tcPr>
            <w:tcW w:w="136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189</w:t>
            </w:r>
          </w:p>
        </w:tc>
      </w:tr>
      <w:tr w:rsidR="00FA1AC4">
        <w:trPr>
          <w:jc w:val="center"/>
        </w:trPr>
        <w:tc>
          <w:tcPr>
            <w:tcW w:w="1857"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sz w:val="22"/>
                <w:szCs w:val="22"/>
              </w:rPr>
            </w:pPr>
            <w:r>
              <w:rPr>
                <w:rFonts w:eastAsia="Calibri"/>
                <w:sz w:val="22"/>
                <w:szCs w:val="22"/>
              </w:rPr>
              <w:t>12</w:t>
            </w:r>
          </w:p>
        </w:tc>
        <w:tc>
          <w:tcPr>
            <w:tcW w:w="107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128</w:t>
            </w:r>
          </w:p>
        </w:tc>
        <w:tc>
          <w:tcPr>
            <w:tcW w:w="96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61</w:t>
            </w:r>
          </w:p>
        </w:tc>
        <w:tc>
          <w:tcPr>
            <w:tcW w:w="1223"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0</w:t>
            </w:r>
          </w:p>
        </w:tc>
        <w:tc>
          <w:tcPr>
            <w:tcW w:w="122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0</w:t>
            </w:r>
          </w:p>
        </w:tc>
        <w:tc>
          <w:tcPr>
            <w:tcW w:w="1090"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0</w:t>
            </w:r>
          </w:p>
        </w:tc>
        <w:tc>
          <w:tcPr>
            <w:tcW w:w="136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189</w:t>
            </w:r>
          </w:p>
        </w:tc>
      </w:tr>
    </w:tbl>
    <w:p w:rsidR="00FA1AC4" w:rsidRDefault="00B11CCA">
      <w:pPr>
        <w:autoSpaceDE w:val="0"/>
        <w:autoSpaceDN w:val="0"/>
        <w:adjustRightInd w:val="0"/>
        <w:spacing w:before="240"/>
        <w:rPr>
          <w:color w:val="000000"/>
          <w:sz w:val="20"/>
          <w:szCs w:val="20"/>
        </w:rPr>
      </w:pPr>
      <w:r>
        <w:rPr>
          <w:rFonts w:eastAsia="Calibri"/>
        </w:rPr>
        <w:t xml:space="preserve">Key: Strongly Agree (SA), Agree (A), No View (NV), Disagree (D), Strongly Disagree (SD) </w:t>
      </w:r>
      <w:r>
        <w:rPr>
          <w:color w:val="000000"/>
        </w:rPr>
        <w:t>Source</w:t>
      </w:r>
      <w:r>
        <w:rPr>
          <w:color w:val="000000"/>
          <w:sz w:val="20"/>
          <w:szCs w:val="20"/>
        </w:rPr>
        <w:t xml:space="preserve">: </w:t>
      </w:r>
      <w:r>
        <w:rPr>
          <w:rFonts w:eastAsia="Calibri"/>
        </w:rPr>
        <w:t>Author’s Computation, (2022)</w:t>
      </w:r>
    </w:p>
    <w:p w:rsidR="00FA1AC4" w:rsidRDefault="00FA1AC4">
      <w:pPr>
        <w:autoSpaceDE w:val="0"/>
        <w:autoSpaceDN w:val="0"/>
        <w:adjustRightInd w:val="0"/>
        <w:spacing w:before="240"/>
        <w:rPr>
          <w:rFonts w:eastAsia="Calibri"/>
        </w:rPr>
      </w:pPr>
    </w:p>
    <w:p w:rsidR="00FA1AC4" w:rsidRDefault="00B11CCA">
      <w:pPr>
        <w:spacing w:after="160" w:line="259" w:lineRule="auto"/>
        <w:jc w:val="left"/>
        <w:rPr>
          <w:rFonts w:eastAsia="Calibri"/>
        </w:rPr>
      </w:pPr>
      <w:r>
        <w:rPr>
          <w:rFonts w:eastAsia="Calibri"/>
        </w:rPr>
        <w:br w:type="page"/>
      </w:r>
    </w:p>
    <w:p w:rsidR="00FA1AC4" w:rsidRDefault="00B11CCA">
      <w:pPr>
        <w:pStyle w:val="Heading3"/>
        <w:numPr>
          <w:ilvl w:val="2"/>
          <w:numId w:val="8"/>
        </w:numPr>
        <w:ind w:left="709"/>
        <w:rPr>
          <w:rFonts w:eastAsia="Calibri"/>
        </w:rPr>
      </w:pPr>
      <w:bookmarkStart w:id="69" w:name="_Toc112342386"/>
      <w:r>
        <w:rPr>
          <w:rFonts w:eastAsia="Calibri"/>
        </w:rPr>
        <w:lastRenderedPageBreak/>
        <w:t>Analysis of Survey Questionnaire Statement</w:t>
      </w:r>
      <w:bookmarkEnd w:id="69"/>
    </w:p>
    <w:p w:rsidR="00FA1AC4" w:rsidRDefault="00B11CCA">
      <w:pPr>
        <w:autoSpaceDE w:val="0"/>
        <w:autoSpaceDN w:val="0"/>
        <w:adjustRightInd w:val="0"/>
        <w:spacing w:before="240" w:line="360" w:lineRule="auto"/>
        <w:rPr>
          <w:rFonts w:eastAsia="Calibri"/>
          <w:iCs/>
        </w:rPr>
      </w:pPr>
      <w:r>
        <w:rPr>
          <w:rFonts w:eastAsia="Calibri"/>
          <w:iCs/>
        </w:rPr>
        <w:t>The summary of survey data obtained from the stakeholder groups of the companies is provided in Table 4.4:</w:t>
      </w:r>
    </w:p>
    <w:p w:rsidR="00FA1AC4" w:rsidRDefault="00B11CCA">
      <w:pPr>
        <w:autoSpaceDE w:val="0"/>
        <w:autoSpaceDN w:val="0"/>
        <w:adjustRightInd w:val="0"/>
        <w:spacing w:before="240" w:line="360" w:lineRule="auto"/>
        <w:rPr>
          <w:rFonts w:eastAsia="Calibri"/>
          <w:iCs/>
        </w:rPr>
      </w:pPr>
      <w:r>
        <w:rPr>
          <w:rFonts w:eastAsia="Calibri"/>
          <w:iCs/>
        </w:rPr>
        <w:t xml:space="preserve">Table 4.4: </w:t>
      </w:r>
      <w:r>
        <w:rPr>
          <w:rFonts w:eastAsia="Calibri"/>
          <w:bCs/>
        </w:rPr>
        <w:t>Analysis of Survey Questionnaire Statement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4"/>
        <w:gridCol w:w="1224"/>
        <w:gridCol w:w="1165"/>
        <w:gridCol w:w="1075"/>
        <w:gridCol w:w="1076"/>
        <w:gridCol w:w="987"/>
        <w:gridCol w:w="1391"/>
      </w:tblGrid>
      <w:tr w:rsidR="00FA1AC4">
        <w:trPr>
          <w:trHeight w:val="323"/>
          <w:jc w:val="center"/>
        </w:trPr>
        <w:tc>
          <w:tcPr>
            <w:tcW w:w="1724"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b/>
                <w:bCs/>
              </w:rPr>
            </w:pPr>
            <w:r>
              <w:rPr>
                <w:rFonts w:eastAsia="Calibri"/>
                <w:b/>
                <w:bCs/>
              </w:rPr>
              <w:t>STATEMENT</w:t>
            </w:r>
          </w:p>
        </w:tc>
        <w:tc>
          <w:tcPr>
            <w:tcW w:w="1224"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b/>
                <w:bCs/>
              </w:rPr>
            </w:pPr>
            <w:r>
              <w:rPr>
                <w:rFonts w:eastAsia="Calibri"/>
                <w:b/>
                <w:bCs/>
              </w:rPr>
              <w:t>SA</w:t>
            </w:r>
          </w:p>
        </w:tc>
        <w:tc>
          <w:tcPr>
            <w:tcW w:w="1165"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b/>
                <w:bCs/>
              </w:rPr>
            </w:pPr>
            <w:r>
              <w:rPr>
                <w:rFonts w:eastAsia="Calibri"/>
                <w:b/>
                <w:bCs/>
              </w:rPr>
              <w:t>A</w:t>
            </w:r>
          </w:p>
        </w:tc>
        <w:tc>
          <w:tcPr>
            <w:tcW w:w="1075"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b/>
                <w:bCs/>
              </w:rPr>
            </w:pPr>
            <w:r>
              <w:rPr>
                <w:rFonts w:eastAsia="Calibri"/>
                <w:b/>
                <w:bCs/>
              </w:rPr>
              <w:t>NV</w:t>
            </w:r>
          </w:p>
        </w:tc>
        <w:tc>
          <w:tcPr>
            <w:tcW w:w="1076"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b/>
                <w:bCs/>
              </w:rPr>
            </w:pPr>
            <w:r>
              <w:rPr>
                <w:rFonts w:eastAsia="Calibri"/>
                <w:b/>
                <w:bCs/>
              </w:rPr>
              <w:t>D</w:t>
            </w:r>
          </w:p>
        </w:tc>
        <w:tc>
          <w:tcPr>
            <w:tcW w:w="987"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b/>
                <w:bCs/>
              </w:rPr>
            </w:pPr>
            <w:r>
              <w:rPr>
                <w:rFonts w:eastAsia="Calibri"/>
                <w:b/>
                <w:bCs/>
              </w:rPr>
              <w:t>SD</w:t>
            </w:r>
          </w:p>
        </w:tc>
        <w:tc>
          <w:tcPr>
            <w:tcW w:w="1391" w:type="dxa"/>
            <w:tcBorders>
              <w:top w:val="single" w:sz="4" w:space="0" w:color="auto"/>
              <w:left w:val="single" w:sz="4" w:space="0" w:color="auto"/>
              <w:bottom w:val="single" w:sz="4" w:space="0" w:color="auto"/>
            </w:tcBorders>
          </w:tcPr>
          <w:p w:rsidR="00FA1AC4" w:rsidRDefault="00B11CCA">
            <w:pPr>
              <w:autoSpaceDE w:val="0"/>
              <w:autoSpaceDN w:val="0"/>
              <w:adjustRightInd w:val="0"/>
              <w:jc w:val="center"/>
              <w:rPr>
                <w:rFonts w:eastAsia="Calibri"/>
                <w:b/>
                <w:bCs/>
              </w:rPr>
            </w:pPr>
            <w:r>
              <w:rPr>
                <w:rFonts w:eastAsia="Calibri"/>
                <w:b/>
                <w:bCs/>
              </w:rPr>
              <w:t>%</w:t>
            </w:r>
          </w:p>
        </w:tc>
      </w:tr>
      <w:tr w:rsidR="00FA1AC4">
        <w:trPr>
          <w:jc w:val="center"/>
        </w:trPr>
        <w:tc>
          <w:tcPr>
            <w:tcW w:w="1724"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sz w:val="22"/>
                <w:szCs w:val="22"/>
              </w:rPr>
            </w:pPr>
            <w:r>
              <w:rPr>
                <w:rFonts w:eastAsia="Calibri"/>
                <w:sz w:val="22"/>
                <w:szCs w:val="22"/>
              </w:rPr>
              <w:t>1</w:t>
            </w:r>
          </w:p>
        </w:tc>
        <w:tc>
          <w:tcPr>
            <w:tcW w:w="122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79%</w:t>
            </w:r>
          </w:p>
        </w:tc>
        <w:tc>
          <w:tcPr>
            <w:tcW w:w="116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18%</w:t>
            </w:r>
          </w:p>
        </w:tc>
        <w:tc>
          <w:tcPr>
            <w:tcW w:w="107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w:t>
            </w:r>
          </w:p>
        </w:tc>
        <w:tc>
          <w:tcPr>
            <w:tcW w:w="1076"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0%</w:t>
            </w:r>
          </w:p>
        </w:tc>
        <w:tc>
          <w:tcPr>
            <w:tcW w:w="987"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2%</w:t>
            </w:r>
          </w:p>
        </w:tc>
        <w:tc>
          <w:tcPr>
            <w:tcW w:w="139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100%</w:t>
            </w:r>
          </w:p>
        </w:tc>
      </w:tr>
      <w:tr w:rsidR="00FA1AC4">
        <w:trPr>
          <w:jc w:val="center"/>
        </w:trPr>
        <w:tc>
          <w:tcPr>
            <w:tcW w:w="1724"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sz w:val="22"/>
                <w:szCs w:val="22"/>
              </w:rPr>
            </w:pPr>
            <w:r>
              <w:rPr>
                <w:rFonts w:eastAsia="Calibri"/>
                <w:sz w:val="22"/>
                <w:szCs w:val="22"/>
              </w:rPr>
              <w:t>2</w:t>
            </w:r>
          </w:p>
        </w:tc>
        <w:tc>
          <w:tcPr>
            <w:tcW w:w="122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44%</w:t>
            </w:r>
          </w:p>
        </w:tc>
        <w:tc>
          <w:tcPr>
            <w:tcW w:w="116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50%</w:t>
            </w:r>
          </w:p>
        </w:tc>
        <w:tc>
          <w:tcPr>
            <w:tcW w:w="107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0%</w:t>
            </w:r>
          </w:p>
        </w:tc>
        <w:tc>
          <w:tcPr>
            <w:tcW w:w="1076"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3%</w:t>
            </w:r>
          </w:p>
        </w:tc>
        <w:tc>
          <w:tcPr>
            <w:tcW w:w="987"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3%</w:t>
            </w:r>
          </w:p>
        </w:tc>
        <w:tc>
          <w:tcPr>
            <w:tcW w:w="139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100%</w:t>
            </w:r>
          </w:p>
        </w:tc>
      </w:tr>
      <w:tr w:rsidR="00FA1AC4">
        <w:trPr>
          <w:jc w:val="center"/>
        </w:trPr>
        <w:tc>
          <w:tcPr>
            <w:tcW w:w="1724"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sz w:val="22"/>
                <w:szCs w:val="22"/>
              </w:rPr>
            </w:pPr>
            <w:r>
              <w:rPr>
                <w:rFonts w:eastAsia="Calibri"/>
                <w:sz w:val="22"/>
                <w:szCs w:val="22"/>
              </w:rPr>
              <w:t>3</w:t>
            </w:r>
          </w:p>
        </w:tc>
        <w:tc>
          <w:tcPr>
            <w:tcW w:w="122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54%</w:t>
            </w:r>
          </w:p>
        </w:tc>
        <w:tc>
          <w:tcPr>
            <w:tcW w:w="116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31%</w:t>
            </w:r>
          </w:p>
        </w:tc>
        <w:tc>
          <w:tcPr>
            <w:tcW w:w="107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3%</w:t>
            </w:r>
          </w:p>
        </w:tc>
        <w:tc>
          <w:tcPr>
            <w:tcW w:w="1076"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5%</w:t>
            </w:r>
          </w:p>
        </w:tc>
        <w:tc>
          <w:tcPr>
            <w:tcW w:w="987"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7%</w:t>
            </w:r>
          </w:p>
        </w:tc>
        <w:tc>
          <w:tcPr>
            <w:tcW w:w="139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100%</w:t>
            </w:r>
          </w:p>
        </w:tc>
      </w:tr>
      <w:tr w:rsidR="00FA1AC4">
        <w:trPr>
          <w:jc w:val="center"/>
        </w:trPr>
        <w:tc>
          <w:tcPr>
            <w:tcW w:w="1724"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sz w:val="22"/>
                <w:szCs w:val="22"/>
              </w:rPr>
            </w:pPr>
            <w:r>
              <w:rPr>
                <w:rFonts w:eastAsia="Calibri"/>
                <w:sz w:val="22"/>
                <w:szCs w:val="22"/>
              </w:rPr>
              <w:t>4</w:t>
            </w:r>
          </w:p>
        </w:tc>
        <w:tc>
          <w:tcPr>
            <w:tcW w:w="122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66%</w:t>
            </w:r>
          </w:p>
        </w:tc>
        <w:tc>
          <w:tcPr>
            <w:tcW w:w="116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23%</w:t>
            </w:r>
          </w:p>
        </w:tc>
        <w:tc>
          <w:tcPr>
            <w:tcW w:w="107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2%</w:t>
            </w:r>
          </w:p>
        </w:tc>
        <w:tc>
          <w:tcPr>
            <w:tcW w:w="1076"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11%</w:t>
            </w:r>
          </w:p>
        </w:tc>
        <w:tc>
          <w:tcPr>
            <w:tcW w:w="987"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0%</w:t>
            </w:r>
          </w:p>
        </w:tc>
        <w:tc>
          <w:tcPr>
            <w:tcW w:w="139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100%</w:t>
            </w:r>
          </w:p>
        </w:tc>
      </w:tr>
      <w:tr w:rsidR="00FA1AC4">
        <w:trPr>
          <w:jc w:val="center"/>
        </w:trPr>
        <w:tc>
          <w:tcPr>
            <w:tcW w:w="1724"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sz w:val="22"/>
                <w:szCs w:val="22"/>
              </w:rPr>
            </w:pPr>
            <w:r>
              <w:rPr>
                <w:rFonts w:eastAsia="Calibri"/>
                <w:sz w:val="22"/>
                <w:szCs w:val="22"/>
              </w:rPr>
              <w:t>5</w:t>
            </w:r>
          </w:p>
        </w:tc>
        <w:tc>
          <w:tcPr>
            <w:tcW w:w="122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0%</w:t>
            </w:r>
          </w:p>
        </w:tc>
        <w:tc>
          <w:tcPr>
            <w:tcW w:w="116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0%</w:t>
            </w:r>
          </w:p>
        </w:tc>
        <w:tc>
          <w:tcPr>
            <w:tcW w:w="107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5%</w:t>
            </w:r>
          </w:p>
        </w:tc>
        <w:tc>
          <w:tcPr>
            <w:tcW w:w="1076"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55%</w:t>
            </w:r>
          </w:p>
        </w:tc>
        <w:tc>
          <w:tcPr>
            <w:tcW w:w="987"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40%</w:t>
            </w:r>
          </w:p>
        </w:tc>
        <w:tc>
          <w:tcPr>
            <w:tcW w:w="139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100%</w:t>
            </w:r>
          </w:p>
        </w:tc>
      </w:tr>
      <w:tr w:rsidR="00FA1AC4">
        <w:trPr>
          <w:jc w:val="center"/>
        </w:trPr>
        <w:tc>
          <w:tcPr>
            <w:tcW w:w="1724"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sz w:val="22"/>
                <w:szCs w:val="22"/>
              </w:rPr>
            </w:pPr>
            <w:r>
              <w:rPr>
                <w:rFonts w:eastAsia="Calibri"/>
                <w:sz w:val="22"/>
                <w:szCs w:val="22"/>
              </w:rPr>
              <w:t>6</w:t>
            </w:r>
          </w:p>
        </w:tc>
        <w:tc>
          <w:tcPr>
            <w:tcW w:w="122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63%</w:t>
            </w:r>
          </w:p>
        </w:tc>
        <w:tc>
          <w:tcPr>
            <w:tcW w:w="116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32%</w:t>
            </w:r>
          </w:p>
        </w:tc>
        <w:tc>
          <w:tcPr>
            <w:tcW w:w="107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0%</w:t>
            </w:r>
          </w:p>
        </w:tc>
        <w:tc>
          <w:tcPr>
            <w:tcW w:w="1076"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4%</w:t>
            </w:r>
          </w:p>
        </w:tc>
        <w:tc>
          <w:tcPr>
            <w:tcW w:w="987"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w:t>
            </w:r>
          </w:p>
        </w:tc>
        <w:tc>
          <w:tcPr>
            <w:tcW w:w="139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100%</w:t>
            </w:r>
          </w:p>
        </w:tc>
      </w:tr>
      <w:tr w:rsidR="00FA1AC4">
        <w:trPr>
          <w:jc w:val="center"/>
        </w:trPr>
        <w:tc>
          <w:tcPr>
            <w:tcW w:w="1724"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sz w:val="22"/>
                <w:szCs w:val="22"/>
              </w:rPr>
            </w:pPr>
            <w:r>
              <w:rPr>
                <w:rFonts w:eastAsia="Calibri"/>
                <w:sz w:val="22"/>
                <w:szCs w:val="22"/>
              </w:rPr>
              <w:t>7</w:t>
            </w:r>
          </w:p>
        </w:tc>
        <w:tc>
          <w:tcPr>
            <w:tcW w:w="122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11%</w:t>
            </w:r>
          </w:p>
        </w:tc>
        <w:tc>
          <w:tcPr>
            <w:tcW w:w="116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69%</w:t>
            </w:r>
          </w:p>
        </w:tc>
        <w:tc>
          <w:tcPr>
            <w:tcW w:w="107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3%</w:t>
            </w:r>
          </w:p>
        </w:tc>
        <w:tc>
          <w:tcPr>
            <w:tcW w:w="1076"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12%</w:t>
            </w:r>
          </w:p>
        </w:tc>
        <w:tc>
          <w:tcPr>
            <w:tcW w:w="987"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5%</w:t>
            </w:r>
          </w:p>
        </w:tc>
        <w:tc>
          <w:tcPr>
            <w:tcW w:w="139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100%</w:t>
            </w:r>
          </w:p>
        </w:tc>
      </w:tr>
      <w:tr w:rsidR="00FA1AC4">
        <w:trPr>
          <w:jc w:val="center"/>
        </w:trPr>
        <w:tc>
          <w:tcPr>
            <w:tcW w:w="1724"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sz w:val="22"/>
                <w:szCs w:val="22"/>
              </w:rPr>
            </w:pPr>
            <w:r>
              <w:rPr>
                <w:rFonts w:eastAsia="Calibri"/>
                <w:sz w:val="22"/>
                <w:szCs w:val="22"/>
              </w:rPr>
              <w:t>8</w:t>
            </w:r>
          </w:p>
        </w:tc>
        <w:tc>
          <w:tcPr>
            <w:tcW w:w="122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14%</w:t>
            </w:r>
          </w:p>
        </w:tc>
        <w:tc>
          <w:tcPr>
            <w:tcW w:w="116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75%</w:t>
            </w:r>
          </w:p>
        </w:tc>
        <w:tc>
          <w:tcPr>
            <w:tcW w:w="107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0%</w:t>
            </w:r>
          </w:p>
        </w:tc>
        <w:tc>
          <w:tcPr>
            <w:tcW w:w="1076"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5%</w:t>
            </w:r>
          </w:p>
        </w:tc>
        <w:tc>
          <w:tcPr>
            <w:tcW w:w="987"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6%</w:t>
            </w:r>
          </w:p>
        </w:tc>
        <w:tc>
          <w:tcPr>
            <w:tcW w:w="139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100%</w:t>
            </w:r>
          </w:p>
        </w:tc>
      </w:tr>
      <w:tr w:rsidR="00FA1AC4">
        <w:trPr>
          <w:jc w:val="center"/>
        </w:trPr>
        <w:tc>
          <w:tcPr>
            <w:tcW w:w="1724"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sz w:val="22"/>
                <w:szCs w:val="22"/>
              </w:rPr>
            </w:pPr>
            <w:r>
              <w:rPr>
                <w:rFonts w:eastAsia="Calibri"/>
                <w:sz w:val="22"/>
                <w:szCs w:val="22"/>
              </w:rPr>
              <w:t>9</w:t>
            </w:r>
          </w:p>
        </w:tc>
        <w:tc>
          <w:tcPr>
            <w:tcW w:w="122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57%</w:t>
            </w:r>
          </w:p>
        </w:tc>
        <w:tc>
          <w:tcPr>
            <w:tcW w:w="116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40%</w:t>
            </w:r>
          </w:p>
        </w:tc>
        <w:tc>
          <w:tcPr>
            <w:tcW w:w="107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w:t>
            </w:r>
          </w:p>
        </w:tc>
        <w:tc>
          <w:tcPr>
            <w:tcW w:w="1076"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2%</w:t>
            </w:r>
          </w:p>
        </w:tc>
        <w:tc>
          <w:tcPr>
            <w:tcW w:w="987"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0%</w:t>
            </w:r>
          </w:p>
        </w:tc>
        <w:tc>
          <w:tcPr>
            <w:tcW w:w="139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100%</w:t>
            </w:r>
          </w:p>
        </w:tc>
      </w:tr>
      <w:tr w:rsidR="00FA1AC4">
        <w:trPr>
          <w:jc w:val="center"/>
        </w:trPr>
        <w:tc>
          <w:tcPr>
            <w:tcW w:w="1724"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sz w:val="22"/>
                <w:szCs w:val="22"/>
              </w:rPr>
            </w:pPr>
            <w:r>
              <w:rPr>
                <w:rFonts w:eastAsia="Calibri"/>
                <w:sz w:val="22"/>
                <w:szCs w:val="22"/>
              </w:rPr>
              <w:t>10</w:t>
            </w:r>
          </w:p>
        </w:tc>
        <w:tc>
          <w:tcPr>
            <w:tcW w:w="122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77%</w:t>
            </w:r>
          </w:p>
        </w:tc>
        <w:tc>
          <w:tcPr>
            <w:tcW w:w="116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10%</w:t>
            </w:r>
          </w:p>
        </w:tc>
        <w:tc>
          <w:tcPr>
            <w:tcW w:w="107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0%</w:t>
            </w:r>
          </w:p>
        </w:tc>
        <w:tc>
          <w:tcPr>
            <w:tcW w:w="1076"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8%</w:t>
            </w:r>
          </w:p>
        </w:tc>
        <w:tc>
          <w:tcPr>
            <w:tcW w:w="987"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5%</w:t>
            </w:r>
          </w:p>
        </w:tc>
        <w:tc>
          <w:tcPr>
            <w:tcW w:w="139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100%</w:t>
            </w:r>
          </w:p>
        </w:tc>
      </w:tr>
      <w:tr w:rsidR="00FA1AC4">
        <w:trPr>
          <w:jc w:val="center"/>
        </w:trPr>
        <w:tc>
          <w:tcPr>
            <w:tcW w:w="1724"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sz w:val="22"/>
                <w:szCs w:val="22"/>
              </w:rPr>
            </w:pPr>
            <w:r>
              <w:rPr>
                <w:rFonts w:eastAsia="Calibri"/>
                <w:sz w:val="22"/>
                <w:szCs w:val="22"/>
              </w:rPr>
              <w:t>11</w:t>
            </w:r>
          </w:p>
        </w:tc>
        <w:tc>
          <w:tcPr>
            <w:tcW w:w="122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81%</w:t>
            </w:r>
          </w:p>
        </w:tc>
        <w:tc>
          <w:tcPr>
            <w:tcW w:w="116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7%</w:t>
            </w:r>
          </w:p>
        </w:tc>
        <w:tc>
          <w:tcPr>
            <w:tcW w:w="107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3%</w:t>
            </w:r>
          </w:p>
        </w:tc>
        <w:tc>
          <w:tcPr>
            <w:tcW w:w="1076"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5%</w:t>
            </w:r>
          </w:p>
        </w:tc>
        <w:tc>
          <w:tcPr>
            <w:tcW w:w="987"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4%</w:t>
            </w:r>
          </w:p>
        </w:tc>
        <w:tc>
          <w:tcPr>
            <w:tcW w:w="139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100%</w:t>
            </w:r>
          </w:p>
        </w:tc>
      </w:tr>
      <w:tr w:rsidR="00FA1AC4">
        <w:trPr>
          <w:jc w:val="center"/>
        </w:trPr>
        <w:tc>
          <w:tcPr>
            <w:tcW w:w="1724" w:type="dxa"/>
            <w:tcBorders>
              <w:top w:val="single" w:sz="4" w:space="0" w:color="auto"/>
              <w:bottom w:val="single" w:sz="4" w:space="0" w:color="auto"/>
              <w:right w:val="single" w:sz="4" w:space="0" w:color="auto"/>
            </w:tcBorders>
          </w:tcPr>
          <w:p w:rsidR="00FA1AC4" w:rsidRDefault="00B11CCA">
            <w:pPr>
              <w:autoSpaceDE w:val="0"/>
              <w:autoSpaceDN w:val="0"/>
              <w:adjustRightInd w:val="0"/>
              <w:jc w:val="center"/>
              <w:rPr>
                <w:rFonts w:eastAsia="Calibri"/>
                <w:sz w:val="22"/>
                <w:szCs w:val="22"/>
              </w:rPr>
            </w:pPr>
            <w:r>
              <w:rPr>
                <w:rFonts w:eastAsia="Calibri"/>
                <w:sz w:val="22"/>
                <w:szCs w:val="22"/>
              </w:rPr>
              <w:t>12</w:t>
            </w:r>
          </w:p>
        </w:tc>
        <w:tc>
          <w:tcPr>
            <w:tcW w:w="122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89%</w:t>
            </w:r>
          </w:p>
        </w:tc>
        <w:tc>
          <w:tcPr>
            <w:tcW w:w="116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11%</w:t>
            </w:r>
          </w:p>
        </w:tc>
        <w:tc>
          <w:tcPr>
            <w:tcW w:w="107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0%</w:t>
            </w:r>
          </w:p>
        </w:tc>
        <w:tc>
          <w:tcPr>
            <w:tcW w:w="1076"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0%</w:t>
            </w:r>
          </w:p>
        </w:tc>
        <w:tc>
          <w:tcPr>
            <w:tcW w:w="987"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0%</w:t>
            </w:r>
          </w:p>
        </w:tc>
        <w:tc>
          <w:tcPr>
            <w:tcW w:w="139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jc w:val="center"/>
              <w:rPr>
                <w:rFonts w:eastAsia="Calibri"/>
                <w:sz w:val="22"/>
                <w:szCs w:val="22"/>
              </w:rPr>
            </w:pPr>
            <w:r>
              <w:rPr>
                <w:rFonts w:eastAsia="Calibri"/>
                <w:sz w:val="22"/>
                <w:szCs w:val="22"/>
              </w:rPr>
              <w:t>100%</w:t>
            </w:r>
          </w:p>
        </w:tc>
      </w:tr>
    </w:tbl>
    <w:p w:rsidR="00FA1AC4" w:rsidRDefault="00B11CCA">
      <w:pPr>
        <w:autoSpaceDE w:val="0"/>
        <w:autoSpaceDN w:val="0"/>
        <w:adjustRightInd w:val="0"/>
        <w:spacing w:before="240" w:after="240" w:line="240" w:lineRule="auto"/>
        <w:rPr>
          <w:rFonts w:eastAsia="Calibri"/>
        </w:rPr>
      </w:pPr>
      <w:r>
        <w:rPr>
          <w:rFonts w:eastAsia="Calibri"/>
        </w:rPr>
        <w:t>Key: Strongly Agree (SA), Agree (A), No View (NV), Disagree (D), Strongly Disagree (SD)</w:t>
      </w:r>
    </w:p>
    <w:p w:rsidR="00FA1AC4" w:rsidRDefault="00B11CCA">
      <w:pPr>
        <w:autoSpaceDE w:val="0"/>
        <w:autoSpaceDN w:val="0"/>
        <w:adjustRightInd w:val="0"/>
        <w:spacing w:before="240" w:after="240"/>
        <w:rPr>
          <w:rFonts w:eastAsia="Calibri"/>
        </w:rPr>
      </w:pPr>
      <w:r>
        <w:rPr>
          <w:color w:val="000000"/>
        </w:rPr>
        <w:t>Source</w:t>
      </w:r>
      <w:r>
        <w:rPr>
          <w:color w:val="000000"/>
          <w:sz w:val="20"/>
          <w:szCs w:val="20"/>
        </w:rPr>
        <w:t xml:space="preserve">: </w:t>
      </w:r>
      <w:r>
        <w:rPr>
          <w:rFonts w:eastAsia="Calibri"/>
        </w:rPr>
        <w:t>Author’s Computation, (2022)</w:t>
      </w:r>
    </w:p>
    <w:p w:rsidR="00FA1AC4" w:rsidRDefault="00B11CCA">
      <w:pPr>
        <w:autoSpaceDE w:val="0"/>
        <w:autoSpaceDN w:val="0"/>
        <w:adjustRightInd w:val="0"/>
        <w:spacing w:before="240" w:after="240"/>
        <w:rPr>
          <w:rFonts w:eastAsia="Calibri"/>
        </w:rPr>
      </w:pPr>
      <w:r>
        <w:rPr>
          <w:rFonts w:eastAsia="Calibri"/>
        </w:rPr>
        <w:t xml:space="preserve">A total number of 250 survey questionnaires were sent as email attachment to the independent auditors and stakeholders of listed service firms in Nigeria and 189 (76%) respondents returned the completely answered questionnaires. The responses received were </w:t>
      </w:r>
      <w:r>
        <w:rPr>
          <w:rFonts w:eastAsia="Calibri"/>
        </w:rPr>
        <w:lastRenderedPageBreak/>
        <w:t xml:space="preserve">analyzed based on Likert Scale of 1 to 5. Each likert items were then transformed into Figures 4.3 to 4.14. The pie charts highlight the views of both the independent auditors and other stakeholders who fully completed the statements of the survey questionnaires. </w:t>
      </w:r>
    </w:p>
    <w:p w:rsidR="00FA1AC4" w:rsidRDefault="00B11CCA">
      <w:pPr>
        <w:autoSpaceDE w:val="0"/>
        <w:autoSpaceDN w:val="0"/>
        <w:adjustRightInd w:val="0"/>
        <w:spacing w:before="240" w:after="240"/>
        <w:rPr>
          <w:rFonts w:eastAsia="Calibri"/>
        </w:rPr>
      </w:pPr>
      <w:r>
        <w:rPr>
          <w:rFonts w:eastAsia="Calibri"/>
        </w:rPr>
        <w:t xml:space="preserve">Likert Item 1: </w:t>
      </w:r>
      <w:r>
        <w:rPr>
          <w:rFonts w:eastAsia="Calibri"/>
          <w:bCs/>
          <w:iCs/>
        </w:rPr>
        <w:t xml:space="preserve">There is an effective flow of authority in the company’s Internal Control system. </w:t>
      </w:r>
      <w:r>
        <w:rPr>
          <w:rFonts w:eastAsia="Calibri"/>
        </w:rPr>
        <w:t>Table 4.5 and Figure 4.3 revealed that 79% of the respondents strongly agreed that “there is an effective flow of authority in the company’s internal control system” while 18% agreed with the statement. 1% of the respondents had no view while 2% strongly disagreed. Most of the respondents (79%, 18%) attest that there is an effective flow of authority in the companies which implies that the control activities of the internal control system are very effective. In other words, the remaining 3% of the respondent who had no view or did not agree that the control activities are effective should however be ignored because the percentage of those with no view is not weighty enough to have impact on the statement.</w:t>
      </w:r>
    </w:p>
    <w:p w:rsidR="00FA1AC4" w:rsidRDefault="00FA1AC4">
      <w:pPr>
        <w:autoSpaceDE w:val="0"/>
        <w:autoSpaceDN w:val="0"/>
        <w:adjustRightInd w:val="0"/>
        <w:rPr>
          <w:rFonts w:eastAsia="Calibri"/>
        </w:rPr>
      </w:pPr>
    </w:p>
    <w:p w:rsidR="00FA1AC4" w:rsidRDefault="00B11CCA">
      <w:pPr>
        <w:autoSpaceDE w:val="0"/>
        <w:autoSpaceDN w:val="0"/>
        <w:adjustRightInd w:val="0"/>
        <w:spacing w:line="240" w:lineRule="auto"/>
        <w:rPr>
          <w:rFonts w:eastAsia="Calibri"/>
        </w:rPr>
      </w:pPr>
      <w:r>
        <w:rPr>
          <w:rFonts w:eastAsia="Calibri"/>
        </w:rPr>
        <w:t xml:space="preserve">   </w:t>
      </w:r>
    </w:p>
    <w:p w:rsidR="00FA1AC4" w:rsidRDefault="00FA1AC4">
      <w:pPr>
        <w:autoSpaceDE w:val="0"/>
        <w:autoSpaceDN w:val="0"/>
        <w:adjustRightInd w:val="0"/>
        <w:spacing w:line="240" w:lineRule="auto"/>
        <w:rPr>
          <w:rFonts w:eastAsia="Calibri"/>
        </w:rPr>
      </w:pPr>
    </w:p>
    <w:p w:rsidR="00FA1AC4" w:rsidRDefault="00FA1AC4">
      <w:pPr>
        <w:autoSpaceDE w:val="0"/>
        <w:autoSpaceDN w:val="0"/>
        <w:adjustRightInd w:val="0"/>
        <w:spacing w:line="240" w:lineRule="auto"/>
        <w:rPr>
          <w:rFonts w:eastAsia="Calibri"/>
        </w:rPr>
      </w:pPr>
    </w:p>
    <w:p w:rsidR="00FA1AC4" w:rsidRDefault="00FA1AC4">
      <w:pPr>
        <w:autoSpaceDE w:val="0"/>
        <w:autoSpaceDN w:val="0"/>
        <w:adjustRightInd w:val="0"/>
        <w:spacing w:line="240" w:lineRule="auto"/>
        <w:rPr>
          <w:rFonts w:eastAsia="Calibri"/>
        </w:rPr>
      </w:pPr>
    </w:p>
    <w:p w:rsidR="00FA1AC4" w:rsidRDefault="00FA1AC4">
      <w:pPr>
        <w:autoSpaceDE w:val="0"/>
        <w:autoSpaceDN w:val="0"/>
        <w:adjustRightInd w:val="0"/>
        <w:spacing w:line="240" w:lineRule="auto"/>
        <w:rPr>
          <w:rFonts w:eastAsia="Calibri"/>
        </w:rPr>
      </w:pPr>
    </w:p>
    <w:p w:rsidR="00FA1AC4" w:rsidRDefault="00FA1AC4">
      <w:pPr>
        <w:autoSpaceDE w:val="0"/>
        <w:autoSpaceDN w:val="0"/>
        <w:adjustRightInd w:val="0"/>
        <w:spacing w:line="240" w:lineRule="auto"/>
        <w:rPr>
          <w:rFonts w:eastAsia="Calibri"/>
        </w:rPr>
      </w:pPr>
    </w:p>
    <w:p w:rsidR="00FA1AC4" w:rsidRDefault="00FA1AC4">
      <w:pPr>
        <w:autoSpaceDE w:val="0"/>
        <w:autoSpaceDN w:val="0"/>
        <w:adjustRightInd w:val="0"/>
        <w:spacing w:line="240" w:lineRule="auto"/>
        <w:rPr>
          <w:rFonts w:eastAsia="Calibri"/>
        </w:rPr>
      </w:pPr>
    </w:p>
    <w:p w:rsidR="00FA1AC4" w:rsidRDefault="00FA1AC4">
      <w:pPr>
        <w:autoSpaceDE w:val="0"/>
        <w:autoSpaceDN w:val="0"/>
        <w:adjustRightInd w:val="0"/>
        <w:spacing w:line="240" w:lineRule="auto"/>
        <w:rPr>
          <w:rFonts w:eastAsia="Calibri"/>
        </w:rPr>
      </w:pPr>
    </w:p>
    <w:p w:rsidR="00FA1AC4" w:rsidRDefault="00FA1AC4">
      <w:pPr>
        <w:autoSpaceDE w:val="0"/>
        <w:autoSpaceDN w:val="0"/>
        <w:adjustRightInd w:val="0"/>
        <w:spacing w:line="240" w:lineRule="auto"/>
        <w:rPr>
          <w:rFonts w:eastAsia="Calibri"/>
        </w:rPr>
      </w:pPr>
    </w:p>
    <w:p w:rsidR="00FA1AC4" w:rsidRDefault="00FA1AC4">
      <w:pPr>
        <w:autoSpaceDE w:val="0"/>
        <w:autoSpaceDN w:val="0"/>
        <w:adjustRightInd w:val="0"/>
        <w:spacing w:line="240" w:lineRule="auto"/>
        <w:rPr>
          <w:rFonts w:eastAsia="Calibri"/>
        </w:rPr>
      </w:pPr>
    </w:p>
    <w:p w:rsidR="00FA1AC4" w:rsidRDefault="00FA1AC4">
      <w:pPr>
        <w:autoSpaceDE w:val="0"/>
        <w:autoSpaceDN w:val="0"/>
        <w:adjustRightInd w:val="0"/>
        <w:spacing w:line="240" w:lineRule="auto"/>
        <w:rPr>
          <w:rFonts w:eastAsia="Calibri"/>
        </w:rPr>
      </w:pPr>
    </w:p>
    <w:p w:rsidR="00FA1AC4" w:rsidRDefault="00FA1AC4">
      <w:pPr>
        <w:autoSpaceDE w:val="0"/>
        <w:autoSpaceDN w:val="0"/>
        <w:adjustRightInd w:val="0"/>
        <w:spacing w:line="240" w:lineRule="auto"/>
        <w:rPr>
          <w:rFonts w:eastAsia="Calibri"/>
        </w:rPr>
      </w:pPr>
    </w:p>
    <w:p w:rsidR="00FA1AC4" w:rsidRDefault="00FA1AC4">
      <w:pPr>
        <w:autoSpaceDE w:val="0"/>
        <w:autoSpaceDN w:val="0"/>
        <w:adjustRightInd w:val="0"/>
        <w:spacing w:line="240" w:lineRule="auto"/>
        <w:rPr>
          <w:rFonts w:eastAsia="Calibri"/>
        </w:rPr>
      </w:pPr>
    </w:p>
    <w:p w:rsidR="00FA1AC4" w:rsidRDefault="00FA1AC4">
      <w:pPr>
        <w:autoSpaceDE w:val="0"/>
        <w:autoSpaceDN w:val="0"/>
        <w:adjustRightInd w:val="0"/>
        <w:spacing w:line="240" w:lineRule="auto"/>
        <w:rPr>
          <w:rFonts w:eastAsia="Calibri"/>
        </w:rPr>
      </w:pPr>
    </w:p>
    <w:p w:rsidR="00FA1AC4" w:rsidRDefault="00FA1AC4">
      <w:pPr>
        <w:autoSpaceDE w:val="0"/>
        <w:autoSpaceDN w:val="0"/>
        <w:adjustRightInd w:val="0"/>
        <w:spacing w:line="240" w:lineRule="auto"/>
        <w:rPr>
          <w:rFonts w:eastAsia="Calibri"/>
        </w:rPr>
      </w:pPr>
    </w:p>
    <w:p w:rsidR="00FA1AC4" w:rsidRDefault="00FA1AC4">
      <w:pPr>
        <w:autoSpaceDE w:val="0"/>
        <w:autoSpaceDN w:val="0"/>
        <w:adjustRightInd w:val="0"/>
        <w:spacing w:line="240" w:lineRule="auto"/>
        <w:rPr>
          <w:rFonts w:eastAsia="Calibri"/>
        </w:rPr>
      </w:pPr>
    </w:p>
    <w:p w:rsidR="00FA1AC4" w:rsidRDefault="00FA1AC4">
      <w:pPr>
        <w:autoSpaceDE w:val="0"/>
        <w:autoSpaceDN w:val="0"/>
        <w:adjustRightInd w:val="0"/>
        <w:spacing w:line="240" w:lineRule="auto"/>
        <w:rPr>
          <w:rFonts w:eastAsia="Calibri"/>
        </w:rPr>
      </w:pPr>
    </w:p>
    <w:p w:rsidR="00FA1AC4" w:rsidRDefault="00FA1AC4">
      <w:pPr>
        <w:autoSpaceDE w:val="0"/>
        <w:autoSpaceDN w:val="0"/>
        <w:adjustRightInd w:val="0"/>
        <w:spacing w:line="240" w:lineRule="auto"/>
        <w:rPr>
          <w:rFonts w:eastAsia="Calibri"/>
        </w:rPr>
      </w:pPr>
    </w:p>
    <w:p w:rsidR="00FA1AC4" w:rsidRDefault="00FA1AC4">
      <w:pPr>
        <w:autoSpaceDE w:val="0"/>
        <w:autoSpaceDN w:val="0"/>
        <w:adjustRightInd w:val="0"/>
        <w:spacing w:line="240" w:lineRule="auto"/>
        <w:rPr>
          <w:rFonts w:eastAsia="Calibri"/>
        </w:rPr>
      </w:pPr>
    </w:p>
    <w:p w:rsidR="00FA1AC4" w:rsidRDefault="00B11CCA">
      <w:pPr>
        <w:autoSpaceDE w:val="0"/>
        <w:autoSpaceDN w:val="0"/>
        <w:adjustRightInd w:val="0"/>
        <w:spacing w:line="240" w:lineRule="auto"/>
        <w:rPr>
          <w:rFonts w:eastAsia="Calibri"/>
        </w:rPr>
      </w:pPr>
      <w:r>
        <w:rPr>
          <w:rFonts w:eastAsia="Calibri"/>
        </w:rPr>
        <w:t xml:space="preserve">    Table 4.5: Respondents’ Responses to Likert Item 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4"/>
        <w:gridCol w:w="1248"/>
        <w:gridCol w:w="992"/>
        <w:gridCol w:w="993"/>
        <w:gridCol w:w="1134"/>
        <w:gridCol w:w="1134"/>
        <w:gridCol w:w="850"/>
      </w:tblGrid>
      <w:tr w:rsidR="00FA1AC4">
        <w:trPr>
          <w:trHeight w:val="323"/>
          <w:jc w:val="center"/>
        </w:trPr>
        <w:tc>
          <w:tcPr>
            <w:tcW w:w="1724"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STATEMENT</w:t>
            </w:r>
          </w:p>
        </w:tc>
        <w:tc>
          <w:tcPr>
            <w:tcW w:w="1248"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SA</w:t>
            </w:r>
          </w:p>
        </w:tc>
        <w:tc>
          <w:tcPr>
            <w:tcW w:w="992"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A</w:t>
            </w:r>
          </w:p>
        </w:tc>
        <w:tc>
          <w:tcPr>
            <w:tcW w:w="993"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NV</w:t>
            </w:r>
          </w:p>
        </w:tc>
        <w:tc>
          <w:tcPr>
            <w:tcW w:w="1134"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D</w:t>
            </w:r>
          </w:p>
        </w:tc>
        <w:tc>
          <w:tcPr>
            <w:tcW w:w="1134"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SD</w:t>
            </w:r>
          </w:p>
        </w:tc>
        <w:tc>
          <w:tcPr>
            <w:tcW w:w="850" w:type="dxa"/>
            <w:tcBorders>
              <w:top w:val="single" w:sz="4" w:space="0" w:color="auto"/>
              <w:left w:val="single" w:sz="4" w:space="0" w:color="auto"/>
              <w:bottom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w:t>
            </w:r>
          </w:p>
        </w:tc>
      </w:tr>
      <w:tr w:rsidR="00FA1AC4">
        <w:trPr>
          <w:jc w:val="center"/>
        </w:trPr>
        <w:tc>
          <w:tcPr>
            <w:tcW w:w="1724"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rPr>
            </w:pPr>
            <w:r>
              <w:rPr>
                <w:rFonts w:eastAsia="Calibri"/>
              </w:rPr>
              <w:t>1</w:t>
            </w:r>
          </w:p>
        </w:tc>
        <w:tc>
          <w:tcPr>
            <w:tcW w:w="1248"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79%</w:t>
            </w:r>
          </w:p>
        </w:tc>
        <w:tc>
          <w:tcPr>
            <w:tcW w:w="99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18%</w:t>
            </w:r>
          </w:p>
        </w:tc>
        <w:tc>
          <w:tcPr>
            <w:tcW w:w="993"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1%</w:t>
            </w:r>
          </w:p>
        </w:tc>
        <w:tc>
          <w:tcPr>
            <w:tcW w:w="113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0%</w:t>
            </w:r>
          </w:p>
        </w:tc>
        <w:tc>
          <w:tcPr>
            <w:tcW w:w="113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2%</w:t>
            </w:r>
          </w:p>
        </w:tc>
        <w:tc>
          <w:tcPr>
            <w:tcW w:w="850"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100%</w:t>
            </w:r>
          </w:p>
        </w:tc>
      </w:tr>
    </w:tbl>
    <w:p w:rsidR="00FA1AC4" w:rsidRDefault="00FA1AC4">
      <w:pPr>
        <w:autoSpaceDE w:val="0"/>
        <w:autoSpaceDN w:val="0"/>
        <w:adjustRightInd w:val="0"/>
        <w:jc w:val="center"/>
        <w:rPr>
          <w:rFonts w:ascii="Calibri" w:eastAsia="Calibri" w:hAnsi="Calibri" w:cs="Calibri"/>
          <w:noProof/>
          <w:sz w:val="22"/>
          <w:szCs w:val="22"/>
          <w:lang w:val="en-US"/>
        </w:rPr>
      </w:pPr>
    </w:p>
    <w:p w:rsidR="00FA1AC4" w:rsidRDefault="00B11CCA">
      <w:pPr>
        <w:autoSpaceDE w:val="0"/>
        <w:autoSpaceDN w:val="0"/>
        <w:adjustRightInd w:val="0"/>
        <w:jc w:val="center"/>
        <w:rPr>
          <w:rFonts w:eastAsia="Calibri"/>
        </w:rPr>
      </w:pPr>
      <w:r>
        <w:rPr>
          <w:rFonts w:ascii="Calibri" w:eastAsia="Calibri" w:hAnsi="Calibri" w:cs="Calibri"/>
          <w:noProof/>
          <w:sz w:val="22"/>
          <w:szCs w:val="22"/>
          <w:lang w:val="en-US"/>
        </w:rPr>
        <w:drawing>
          <wp:inline distT="0" distB="0" distL="0" distR="0">
            <wp:extent cx="5106670" cy="2714625"/>
            <wp:effectExtent l="0" t="0" r="0" b="9525"/>
            <wp:docPr id="1069" name="Picture 1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5"/>
                    <pic:cNvPicPr/>
                  </pic:nvPicPr>
                  <pic:blipFill>
                    <a:blip r:embed="rId12" cstate="print"/>
                    <a:srcRect/>
                    <a:stretch/>
                  </pic:blipFill>
                  <pic:spPr>
                    <a:xfrm>
                      <a:off x="0" y="0"/>
                      <a:ext cx="5106670" cy="2714625"/>
                    </a:xfrm>
                    <a:prstGeom prst="rect">
                      <a:avLst/>
                    </a:prstGeom>
                    <a:ln>
                      <a:noFill/>
                    </a:ln>
                  </pic:spPr>
                </pic:pic>
              </a:graphicData>
            </a:graphic>
          </wp:inline>
        </w:drawing>
      </w:r>
    </w:p>
    <w:p w:rsidR="00FA1AC4" w:rsidRDefault="00B11CCA">
      <w:pPr>
        <w:autoSpaceDE w:val="0"/>
        <w:autoSpaceDN w:val="0"/>
        <w:adjustRightInd w:val="0"/>
        <w:spacing w:after="240" w:line="240" w:lineRule="auto"/>
        <w:jc w:val="center"/>
        <w:rPr>
          <w:rFonts w:eastAsia="Calibri"/>
        </w:rPr>
      </w:pPr>
      <w:r>
        <w:rPr>
          <w:rFonts w:eastAsia="Calibri"/>
        </w:rPr>
        <w:t>Figure 4.3: Respondents’ Responses to Likert Item 1</w:t>
      </w:r>
    </w:p>
    <w:p w:rsidR="00FA1AC4" w:rsidRDefault="00B11CCA">
      <w:pPr>
        <w:spacing w:after="240" w:line="360" w:lineRule="auto"/>
        <w:jc w:val="center"/>
        <w:rPr>
          <w:color w:val="000000"/>
          <w:sz w:val="20"/>
          <w:szCs w:val="20"/>
        </w:rPr>
      </w:pPr>
      <w:r>
        <w:rPr>
          <w:color w:val="000000"/>
        </w:rPr>
        <w:t>Source</w:t>
      </w:r>
      <w:r>
        <w:rPr>
          <w:color w:val="000000"/>
          <w:sz w:val="20"/>
          <w:szCs w:val="20"/>
        </w:rPr>
        <w:t xml:space="preserve">: </w:t>
      </w:r>
      <w:r>
        <w:rPr>
          <w:rFonts w:eastAsia="Calibri"/>
        </w:rPr>
        <w:t>Author’s Computation, (2022)</w:t>
      </w:r>
    </w:p>
    <w:p w:rsidR="00FA1AC4" w:rsidRDefault="00B11CCA">
      <w:pPr>
        <w:autoSpaceDE w:val="0"/>
        <w:autoSpaceDN w:val="0"/>
        <w:adjustRightInd w:val="0"/>
        <w:rPr>
          <w:rFonts w:eastAsia="Calibri"/>
          <w:b/>
          <w:bCs/>
          <w:i/>
          <w:iCs/>
        </w:rPr>
      </w:pPr>
      <w:r>
        <w:rPr>
          <w:rFonts w:eastAsia="Calibri"/>
        </w:rPr>
        <w:t xml:space="preserve">Likert Item 2: </w:t>
      </w:r>
      <w:r>
        <w:rPr>
          <w:rFonts w:eastAsia="Calibri"/>
          <w:bCs/>
          <w:iCs/>
        </w:rPr>
        <w:t xml:space="preserve">An effective Internal Control promotes quality in financial report for service firms. </w:t>
      </w:r>
      <w:r>
        <w:rPr>
          <w:rFonts w:eastAsia="Calibri"/>
        </w:rPr>
        <w:t xml:space="preserve">Table 4.6 and Figure 4.4 show the respondents’ responses to likert item 2. The chart shows that 44% of the respondents strongly agreed that “effective internal control promote effectiveness in the financial reports of the service firms”, 50% of them agreed with the statement, 3% of disagreed while 3% strongly disagreed. However, most of the respondents (50%, 44%) attest that an effective internal control system enhances the financial report quality of the service companies which implies that the financial report will be more </w:t>
      </w:r>
      <w:r>
        <w:rPr>
          <w:rFonts w:eastAsia="Calibri"/>
        </w:rPr>
        <w:lastRenderedPageBreak/>
        <w:t>effective for informed decision making of its users when there is an effective internal control is in place in service firms. In other words, the remaining 6% of the respondent who had no view or did not agree should however be ignored because their opinion has no effect on the statement as the percentage those disagreeing and strongly disagreeing is too small.</w:t>
      </w:r>
    </w:p>
    <w:p w:rsidR="00FA1AC4" w:rsidRDefault="00B11CCA">
      <w:pPr>
        <w:autoSpaceDE w:val="0"/>
        <w:autoSpaceDN w:val="0"/>
        <w:adjustRightInd w:val="0"/>
        <w:spacing w:line="240" w:lineRule="auto"/>
        <w:rPr>
          <w:rFonts w:eastAsia="Calibri"/>
        </w:rPr>
      </w:pPr>
      <w:r>
        <w:rPr>
          <w:rFonts w:eastAsia="Calibri"/>
        </w:rPr>
        <w:t xml:space="preserve">  Table 4.6: Respondents’ Responses to Likert Item 2</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4"/>
        <w:gridCol w:w="1248"/>
        <w:gridCol w:w="1134"/>
        <w:gridCol w:w="1134"/>
        <w:gridCol w:w="1134"/>
        <w:gridCol w:w="992"/>
        <w:gridCol w:w="993"/>
      </w:tblGrid>
      <w:tr w:rsidR="00FA1AC4">
        <w:trPr>
          <w:trHeight w:val="323"/>
          <w:jc w:val="center"/>
        </w:trPr>
        <w:tc>
          <w:tcPr>
            <w:tcW w:w="1724"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STATEMENT</w:t>
            </w:r>
          </w:p>
        </w:tc>
        <w:tc>
          <w:tcPr>
            <w:tcW w:w="1248"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SA</w:t>
            </w:r>
          </w:p>
        </w:tc>
        <w:tc>
          <w:tcPr>
            <w:tcW w:w="1134"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A</w:t>
            </w:r>
          </w:p>
        </w:tc>
        <w:tc>
          <w:tcPr>
            <w:tcW w:w="1134"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NV</w:t>
            </w:r>
          </w:p>
        </w:tc>
        <w:tc>
          <w:tcPr>
            <w:tcW w:w="1134"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D</w:t>
            </w:r>
          </w:p>
        </w:tc>
        <w:tc>
          <w:tcPr>
            <w:tcW w:w="992"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SD</w:t>
            </w:r>
          </w:p>
        </w:tc>
        <w:tc>
          <w:tcPr>
            <w:tcW w:w="993" w:type="dxa"/>
            <w:tcBorders>
              <w:top w:val="single" w:sz="4" w:space="0" w:color="auto"/>
              <w:left w:val="single" w:sz="4" w:space="0" w:color="auto"/>
              <w:bottom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w:t>
            </w:r>
          </w:p>
        </w:tc>
      </w:tr>
      <w:tr w:rsidR="00FA1AC4">
        <w:trPr>
          <w:jc w:val="center"/>
        </w:trPr>
        <w:tc>
          <w:tcPr>
            <w:tcW w:w="1724"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rPr>
            </w:pPr>
            <w:r>
              <w:rPr>
                <w:rFonts w:eastAsia="Calibri"/>
              </w:rPr>
              <w:t>2</w:t>
            </w:r>
          </w:p>
        </w:tc>
        <w:tc>
          <w:tcPr>
            <w:tcW w:w="1248"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44%</w:t>
            </w:r>
          </w:p>
        </w:tc>
        <w:tc>
          <w:tcPr>
            <w:tcW w:w="113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50%</w:t>
            </w:r>
          </w:p>
        </w:tc>
        <w:tc>
          <w:tcPr>
            <w:tcW w:w="113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0%</w:t>
            </w:r>
          </w:p>
        </w:tc>
        <w:tc>
          <w:tcPr>
            <w:tcW w:w="113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3%</w:t>
            </w:r>
          </w:p>
        </w:tc>
        <w:tc>
          <w:tcPr>
            <w:tcW w:w="99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3%</w:t>
            </w:r>
          </w:p>
        </w:tc>
        <w:tc>
          <w:tcPr>
            <w:tcW w:w="993"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100%</w:t>
            </w:r>
          </w:p>
        </w:tc>
      </w:tr>
    </w:tbl>
    <w:p w:rsidR="00FA1AC4" w:rsidRDefault="00FA1AC4">
      <w:pPr>
        <w:autoSpaceDE w:val="0"/>
        <w:autoSpaceDN w:val="0"/>
        <w:adjustRightInd w:val="0"/>
        <w:jc w:val="center"/>
        <w:rPr>
          <w:rFonts w:ascii="Calibri" w:eastAsia="Calibri" w:hAnsi="Calibri" w:cs="Calibri"/>
          <w:noProof/>
          <w:sz w:val="22"/>
          <w:szCs w:val="22"/>
          <w:lang w:val="en-US"/>
        </w:rPr>
      </w:pPr>
    </w:p>
    <w:p w:rsidR="00FA1AC4" w:rsidRDefault="00B11CCA">
      <w:pPr>
        <w:autoSpaceDE w:val="0"/>
        <w:autoSpaceDN w:val="0"/>
        <w:adjustRightInd w:val="0"/>
        <w:jc w:val="center"/>
        <w:rPr>
          <w:rFonts w:eastAsia="Calibri"/>
          <w:lang w:val="en-US"/>
        </w:rPr>
      </w:pPr>
      <w:r>
        <w:rPr>
          <w:rFonts w:ascii="Calibri" w:eastAsia="Calibri" w:hAnsi="Calibri" w:cs="Calibri"/>
          <w:noProof/>
          <w:sz w:val="22"/>
          <w:szCs w:val="22"/>
          <w:lang w:val="en-US"/>
        </w:rPr>
        <w:drawing>
          <wp:inline distT="0" distB="0" distL="0" distR="0">
            <wp:extent cx="5184775" cy="2781300"/>
            <wp:effectExtent l="0" t="0" r="0" b="0"/>
            <wp:docPr id="1070" name="Picture 14"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3" cstate="print"/>
                    <a:srcRect/>
                    <a:stretch/>
                  </pic:blipFill>
                  <pic:spPr>
                    <a:xfrm>
                      <a:off x="0" y="0"/>
                      <a:ext cx="5184775" cy="2781300"/>
                    </a:xfrm>
                    <a:prstGeom prst="rect">
                      <a:avLst/>
                    </a:prstGeom>
                    <a:ln>
                      <a:noFill/>
                    </a:ln>
                  </pic:spPr>
                </pic:pic>
              </a:graphicData>
            </a:graphic>
          </wp:inline>
        </w:drawing>
      </w:r>
    </w:p>
    <w:p w:rsidR="00FA1AC4" w:rsidRDefault="00B11CCA">
      <w:pPr>
        <w:autoSpaceDE w:val="0"/>
        <w:autoSpaceDN w:val="0"/>
        <w:adjustRightInd w:val="0"/>
        <w:spacing w:after="240" w:line="240" w:lineRule="auto"/>
        <w:jc w:val="center"/>
        <w:rPr>
          <w:rFonts w:eastAsia="Calibri"/>
        </w:rPr>
      </w:pPr>
      <w:r>
        <w:rPr>
          <w:rFonts w:eastAsia="Calibri"/>
        </w:rPr>
        <w:t>Figure 4.4: Respondents’ Responses to Likert Item 2</w:t>
      </w:r>
    </w:p>
    <w:p w:rsidR="00FA1AC4" w:rsidRDefault="00B11CCA">
      <w:pPr>
        <w:spacing w:after="240" w:line="360" w:lineRule="auto"/>
        <w:jc w:val="center"/>
        <w:rPr>
          <w:color w:val="000000"/>
          <w:sz w:val="20"/>
          <w:szCs w:val="20"/>
        </w:rPr>
      </w:pPr>
      <w:r>
        <w:rPr>
          <w:color w:val="000000"/>
        </w:rPr>
        <w:t>Source</w:t>
      </w:r>
      <w:r>
        <w:rPr>
          <w:color w:val="000000"/>
          <w:sz w:val="20"/>
          <w:szCs w:val="20"/>
        </w:rPr>
        <w:t xml:space="preserve">: </w:t>
      </w:r>
      <w:r>
        <w:rPr>
          <w:rFonts w:eastAsia="Calibri"/>
        </w:rPr>
        <w:t>Author’s Computation, (2022)</w:t>
      </w:r>
    </w:p>
    <w:p w:rsidR="00FA1AC4" w:rsidRDefault="00B11CCA">
      <w:pPr>
        <w:autoSpaceDE w:val="0"/>
        <w:autoSpaceDN w:val="0"/>
        <w:adjustRightInd w:val="0"/>
        <w:rPr>
          <w:rFonts w:eastAsia="Calibri"/>
          <w:bCs/>
          <w:iCs/>
        </w:rPr>
      </w:pPr>
      <w:r>
        <w:rPr>
          <w:rFonts w:eastAsia="Calibri"/>
        </w:rPr>
        <w:t xml:space="preserve">Likert Item 3: </w:t>
      </w:r>
      <w:r>
        <w:rPr>
          <w:rFonts w:eastAsia="Calibri"/>
          <w:bCs/>
          <w:iCs/>
        </w:rPr>
        <w:t xml:space="preserve">Audit Committee support effective internal control system in service firms. </w:t>
      </w:r>
    </w:p>
    <w:p w:rsidR="00FA1AC4" w:rsidRDefault="00B11CCA">
      <w:pPr>
        <w:autoSpaceDE w:val="0"/>
        <w:autoSpaceDN w:val="0"/>
        <w:adjustRightInd w:val="0"/>
        <w:spacing w:after="240"/>
        <w:rPr>
          <w:rFonts w:eastAsia="Calibri"/>
        </w:rPr>
      </w:pPr>
      <w:r>
        <w:rPr>
          <w:rFonts w:eastAsia="Calibri"/>
        </w:rPr>
        <w:t xml:space="preserve">Table 4.7 and Figure 4.5 show the respondents’ responses to statement 3 of the survey questionnaire where 54% of the respondents strongly agreed that “effective internal control promote quality in the financial reports of the service firms”, 31% agreed with the </w:t>
      </w:r>
      <w:r>
        <w:rPr>
          <w:rFonts w:eastAsia="Calibri"/>
        </w:rPr>
        <w:lastRenderedPageBreak/>
        <w:t>statement, 3% of them had no view, 7% disagreed while 5% strongly disagreed. Many of the respondents (54%, 31%) attest that audit committee support effective internal control in the service companies. This implies that the audit committee of service firms contribute to the effectiveness of the internal control that is in place in those firms and this will help to boost the quality of their financial report. However, the remaining 15% of the respondent who had no view or did not agree should however not be overlooked because the percentage is not weighty enough to have impact on the statement.</w:t>
      </w:r>
    </w:p>
    <w:p w:rsidR="00FA1AC4" w:rsidRDefault="00B11CCA">
      <w:pPr>
        <w:autoSpaceDE w:val="0"/>
        <w:autoSpaceDN w:val="0"/>
        <w:adjustRightInd w:val="0"/>
        <w:spacing w:line="240" w:lineRule="auto"/>
        <w:rPr>
          <w:rFonts w:eastAsia="Calibri"/>
        </w:rPr>
      </w:pPr>
      <w:r>
        <w:rPr>
          <w:rFonts w:eastAsia="Calibri"/>
        </w:rPr>
        <w:t xml:space="preserve">        Table 4.7: Respondents’ Responses to Likert Item 3</w:t>
      </w:r>
    </w:p>
    <w:tbl>
      <w:tblPr>
        <w:tblpPr w:leftFromText="180" w:rightFromText="180" w:vertAnchor="text" w:horzAnchor="margin" w:tblpXSpec="right" w:tblpY="149"/>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1389"/>
        <w:gridCol w:w="995"/>
        <w:gridCol w:w="919"/>
        <w:gridCol w:w="919"/>
        <w:gridCol w:w="842"/>
        <w:gridCol w:w="862"/>
      </w:tblGrid>
      <w:tr w:rsidR="00FA1AC4">
        <w:trPr>
          <w:trHeight w:val="375"/>
        </w:trPr>
        <w:tc>
          <w:tcPr>
            <w:tcW w:w="2160"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STATEMENT</w:t>
            </w:r>
          </w:p>
        </w:tc>
        <w:tc>
          <w:tcPr>
            <w:tcW w:w="1389"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SA</w:t>
            </w:r>
          </w:p>
        </w:tc>
        <w:tc>
          <w:tcPr>
            <w:tcW w:w="995"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A</w:t>
            </w:r>
          </w:p>
        </w:tc>
        <w:tc>
          <w:tcPr>
            <w:tcW w:w="919"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NV</w:t>
            </w:r>
          </w:p>
        </w:tc>
        <w:tc>
          <w:tcPr>
            <w:tcW w:w="919"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D</w:t>
            </w:r>
          </w:p>
        </w:tc>
        <w:tc>
          <w:tcPr>
            <w:tcW w:w="842"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SD</w:t>
            </w:r>
          </w:p>
        </w:tc>
        <w:tc>
          <w:tcPr>
            <w:tcW w:w="862" w:type="dxa"/>
            <w:tcBorders>
              <w:top w:val="single" w:sz="4" w:space="0" w:color="auto"/>
              <w:left w:val="single" w:sz="4" w:space="0" w:color="auto"/>
              <w:bottom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w:t>
            </w:r>
          </w:p>
        </w:tc>
      </w:tr>
      <w:tr w:rsidR="00FA1AC4">
        <w:trPr>
          <w:trHeight w:val="305"/>
        </w:trPr>
        <w:tc>
          <w:tcPr>
            <w:tcW w:w="2160"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rPr>
            </w:pPr>
            <w:r>
              <w:rPr>
                <w:rFonts w:eastAsia="Calibri"/>
              </w:rPr>
              <w:t>3</w:t>
            </w:r>
          </w:p>
        </w:tc>
        <w:tc>
          <w:tcPr>
            <w:tcW w:w="1389"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54%</w:t>
            </w:r>
          </w:p>
        </w:tc>
        <w:tc>
          <w:tcPr>
            <w:tcW w:w="99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31%</w:t>
            </w:r>
          </w:p>
        </w:tc>
        <w:tc>
          <w:tcPr>
            <w:tcW w:w="919"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3%</w:t>
            </w:r>
          </w:p>
        </w:tc>
        <w:tc>
          <w:tcPr>
            <w:tcW w:w="919"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7%</w:t>
            </w:r>
          </w:p>
        </w:tc>
        <w:tc>
          <w:tcPr>
            <w:tcW w:w="84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5%</w:t>
            </w:r>
          </w:p>
        </w:tc>
        <w:tc>
          <w:tcPr>
            <w:tcW w:w="862"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100%</w:t>
            </w:r>
          </w:p>
        </w:tc>
      </w:tr>
    </w:tbl>
    <w:p w:rsidR="00FA1AC4" w:rsidRDefault="00FA1AC4">
      <w:pPr>
        <w:autoSpaceDE w:val="0"/>
        <w:autoSpaceDN w:val="0"/>
        <w:adjustRightInd w:val="0"/>
        <w:rPr>
          <w:rFonts w:eastAsia="Calibri"/>
        </w:rPr>
      </w:pPr>
    </w:p>
    <w:p w:rsidR="00FA1AC4" w:rsidRDefault="00FA1AC4">
      <w:pPr>
        <w:autoSpaceDE w:val="0"/>
        <w:autoSpaceDN w:val="0"/>
        <w:adjustRightInd w:val="0"/>
        <w:rPr>
          <w:rFonts w:eastAsia="Calibri"/>
        </w:rPr>
      </w:pPr>
    </w:p>
    <w:p w:rsidR="00FA1AC4" w:rsidRDefault="00FA1AC4">
      <w:pPr>
        <w:autoSpaceDE w:val="0"/>
        <w:autoSpaceDN w:val="0"/>
        <w:adjustRightInd w:val="0"/>
        <w:rPr>
          <w:rFonts w:eastAsia="Calibri"/>
        </w:rPr>
      </w:pPr>
    </w:p>
    <w:p w:rsidR="00FA1AC4" w:rsidRDefault="00B11CCA">
      <w:pPr>
        <w:autoSpaceDE w:val="0"/>
        <w:autoSpaceDN w:val="0"/>
        <w:adjustRightInd w:val="0"/>
        <w:jc w:val="center"/>
        <w:rPr>
          <w:rFonts w:eastAsia="Calibri"/>
        </w:rPr>
      </w:pPr>
      <w:r>
        <w:rPr>
          <w:rFonts w:ascii="Calibri" w:eastAsia="Calibri" w:hAnsi="Calibri" w:cs="Calibri"/>
          <w:noProof/>
          <w:sz w:val="22"/>
          <w:szCs w:val="22"/>
          <w:lang w:val="en-US"/>
        </w:rPr>
        <w:drawing>
          <wp:inline distT="0" distB="0" distL="0" distR="0">
            <wp:extent cx="4756785" cy="2950765"/>
            <wp:effectExtent l="0" t="0" r="5715" b="2540"/>
            <wp:docPr id="1071" name="Picture 13"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3"/>
                    <pic:cNvPicPr/>
                  </pic:nvPicPr>
                  <pic:blipFill>
                    <a:blip r:embed="rId14" cstate="print"/>
                    <a:srcRect/>
                    <a:stretch/>
                  </pic:blipFill>
                  <pic:spPr>
                    <a:xfrm>
                      <a:off x="0" y="0"/>
                      <a:ext cx="4756785" cy="2950765"/>
                    </a:xfrm>
                    <a:prstGeom prst="rect">
                      <a:avLst/>
                    </a:prstGeom>
                    <a:ln>
                      <a:noFill/>
                    </a:ln>
                  </pic:spPr>
                </pic:pic>
              </a:graphicData>
            </a:graphic>
          </wp:inline>
        </w:drawing>
      </w:r>
    </w:p>
    <w:p w:rsidR="00FA1AC4" w:rsidRDefault="00B11CCA">
      <w:pPr>
        <w:autoSpaceDE w:val="0"/>
        <w:autoSpaceDN w:val="0"/>
        <w:adjustRightInd w:val="0"/>
        <w:spacing w:after="240" w:line="240" w:lineRule="auto"/>
        <w:jc w:val="center"/>
        <w:rPr>
          <w:rFonts w:eastAsia="Calibri"/>
        </w:rPr>
      </w:pPr>
      <w:r>
        <w:rPr>
          <w:rFonts w:eastAsia="Calibri"/>
        </w:rPr>
        <w:t>Figure 4.5: Respondents’ Responses to Likert Item 3</w:t>
      </w:r>
    </w:p>
    <w:p w:rsidR="00FA1AC4" w:rsidRDefault="00B11CCA">
      <w:pPr>
        <w:spacing w:after="240"/>
        <w:jc w:val="center"/>
        <w:rPr>
          <w:color w:val="000000"/>
          <w:sz w:val="20"/>
          <w:szCs w:val="20"/>
        </w:rPr>
      </w:pPr>
      <w:r>
        <w:rPr>
          <w:color w:val="000000"/>
        </w:rPr>
        <w:t>Source</w:t>
      </w:r>
      <w:r>
        <w:rPr>
          <w:color w:val="000000"/>
          <w:sz w:val="20"/>
          <w:szCs w:val="20"/>
        </w:rPr>
        <w:t xml:space="preserve">: </w:t>
      </w:r>
      <w:r>
        <w:rPr>
          <w:rFonts w:eastAsia="Calibri"/>
        </w:rPr>
        <w:t>Author’s Computation, (2022)</w:t>
      </w:r>
    </w:p>
    <w:p w:rsidR="00FA1AC4" w:rsidRDefault="00B11CCA">
      <w:pPr>
        <w:autoSpaceDE w:val="0"/>
        <w:autoSpaceDN w:val="0"/>
        <w:adjustRightInd w:val="0"/>
        <w:rPr>
          <w:rFonts w:eastAsia="Calibri"/>
          <w:bCs/>
          <w:iCs/>
        </w:rPr>
      </w:pPr>
      <w:r>
        <w:rPr>
          <w:rFonts w:eastAsia="Calibri"/>
        </w:rPr>
        <w:t xml:space="preserve">Likert item 4: </w:t>
      </w:r>
      <w:r>
        <w:rPr>
          <w:rFonts w:eastAsia="Calibri"/>
          <w:b/>
          <w:bCs/>
          <w:i/>
          <w:iCs/>
        </w:rPr>
        <w:t xml:space="preserve"> </w:t>
      </w:r>
      <w:r>
        <w:rPr>
          <w:rFonts w:eastAsia="Calibri"/>
          <w:bCs/>
          <w:iCs/>
        </w:rPr>
        <w:t xml:space="preserve">Good corporate governance system leads to quality financial report. </w:t>
      </w:r>
    </w:p>
    <w:p w:rsidR="00FA1AC4" w:rsidRDefault="00B11CCA">
      <w:pPr>
        <w:autoSpaceDE w:val="0"/>
        <w:autoSpaceDN w:val="0"/>
        <w:adjustRightInd w:val="0"/>
        <w:spacing w:after="240"/>
        <w:rPr>
          <w:rFonts w:eastAsia="Calibri"/>
        </w:rPr>
      </w:pPr>
      <w:r>
        <w:rPr>
          <w:rFonts w:eastAsia="Calibri"/>
        </w:rPr>
        <w:lastRenderedPageBreak/>
        <w:t>Table 4.8 and Figure 4.6 show the respondents responses to statement 4 of the survey questionnaire. 66% of the respondents strongly agreed that good corporate governance leads to effectiveness in the financial reports of the service firms, 23% agreed with the statement, 2% had no view while 9% disagreed. Many of the respondents (66%, 23%) attest that good corporate governance system leads to quality financial report in the service companies. This implies that good corporate governance system contributes to the effectiveness of service firm financial report thereby boosting the confidence of investors. However, the remaining 11% of the respondent who had no view or did not agree should however not be overlooked because the percentage of those with no view is not weighty enough to have impact on the statement.</w:t>
      </w:r>
    </w:p>
    <w:p w:rsidR="00FA1AC4" w:rsidRDefault="00B11CCA">
      <w:pPr>
        <w:autoSpaceDE w:val="0"/>
        <w:autoSpaceDN w:val="0"/>
        <w:adjustRightInd w:val="0"/>
        <w:spacing w:line="240" w:lineRule="auto"/>
        <w:rPr>
          <w:rFonts w:eastAsia="Calibri"/>
        </w:rPr>
      </w:pPr>
      <w:r>
        <w:rPr>
          <w:rFonts w:eastAsia="Calibri"/>
        </w:rPr>
        <w:t>Table 4.8: Respondents Responses to Likert Item 4</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5"/>
        <w:gridCol w:w="1623"/>
        <w:gridCol w:w="1165"/>
        <w:gridCol w:w="1075"/>
        <w:gridCol w:w="1075"/>
        <w:gridCol w:w="986"/>
        <w:gridCol w:w="851"/>
      </w:tblGrid>
      <w:tr w:rsidR="00FA1AC4">
        <w:trPr>
          <w:trHeight w:val="323"/>
          <w:jc w:val="center"/>
        </w:trPr>
        <w:tc>
          <w:tcPr>
            <w:tcW w:w="1725"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STATEMENT</w:t>
            </w:r>
          </w:p>
        </w:tc>
        <w:tc>
          <w:tcPr>
            <w:tcW w:w="1623"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SA</w:t>
            </w:r>
          </w:p>
        </w:tc>
        <w:tc>
          <w:tcPr>
            <w:tcW w:w="1165"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A</w:t>
            </w:r>
          </w:p>
        </w:tc>
        <w:tc>
          <w:tcPr>
            <w:tcW w:w="1075"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NV</w:t>
            </w:r>
          </w:p>
        </w:tc>
        <w:tc>
          <w:tcPr>
            <w:tcW w:w="1075"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D</w:t>
            </w:r>
          </w:p>
        </w:tc>
        <w:tc>
          <w:tcPr>
            <w:tcW w:w="986"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SD</w:t>
            </w:r>
          </w:p>
        </w:tc>
        <w:tc>
          <w:tcPr>
            <w:tcW w:w="851" w:type="dxa"/>
            <w:tcBorders>
              <w:top w:val="single" w:sz="4" w:space="0" w:color="auto"/>
              <w:left w:val="single" w:sz="4" w:space="0" w:color="auto"/>
              <w:bottom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w:t>
            </w:r>
          </w:p>
        </w:tc>
      </w:tr>
      <w:tr w:rsidR="00FA1AC4">
        <w:trPr>
          <w:jc w:val="center"/>
        </w:trPr>
        <w:tc>
          <w:tcPr>
            <w:tcW w:w="1725"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rPr>
            </w:pPr>
            <w:r>
              <w:rPr>
                <w:rFonts w:eastAsia="Calibri"/>
              </w:rPr>
              <w:t>4</w:t>
            </w:r>
          </w:p>
        </w:tc>
        <w:tc>
          <w:tcPr>
            <w:tcW w:w="1623"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66%</w:t>
            </w:r>
          </w:p>
        </w:tc>
        <w:tc>
          <w:tcPr>
            <w:tcW w:w="116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23%</w:t>
            </w:r>
          </w:p>
        </w:tc>
        <w:tc>
          <w:tcPr>
            <w:tcW w:w="107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2%</w:t>
            </w:r>
          </w:p>
        </w:tc>
        <w:tc>
          <w:tcPr>
            <w:tcW w:w="107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9%</w:t>
            </w:r>
          </w:p>
        </w:tc>
        <w:tc>
          <w:tcPr>
            <w:tcW w:w="986"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0%</w:t>
            </w:r>
          </w:p>
        </w:tc>
        <w:tc>
          <w:tcPr>
            <w:tcW w:w="85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100%</w:t>
            </w:r>
          </w:p>
        </w:tc>
      </w:tr>
    </w:tbl>
    <w:p w:rsidR="00FA1AC4" w:rsidRDefault="00FA1AC4">
      <w:pPr>
        <w:autoSpaceDE w:val="0"/>
        <w:autoSpaceDN w:val="0"/>
        <w:adjustRightInd w:val="0"/>
        <w:jc w:val="center"/>
        <w:rPr>
          <w:rFonts w:ascii="Calibri" w:eastAsia="Calibri" w:hAnsi="Calibri" w:cs="Calibri"/>
          <w:noProof/>
          <w:sz w:val="22"/>
          <w:szCs w:val="22"/>
          <w:lang w:val="en-US"/>
        </w:rPr>
      </w:pPr>
    </w:p>
    <w:p w:rsidR="00FA1AC4" w:rsidRDefault="00B11CCA">
      <w:pPr>
        <w:autoSpaceDE w:val="0"/>
        <w:autoSpaceDN w:val="0"/>
        <w:adjustRightInd w:val="0"/>
        <w:jc w:val="center"/>
        <w:rPr>
          <w:rFonts w:eastAsia="Calibri"/>
        </w:rPr>
      </w:pPr>
      <w:r>
        <w:rPr>
          <w:rFonts w:ascii="Calibri" w:eastAsia="Calibri" w:hAnsi="Calibri" w:cs="Calibri"/>
          <w:noProof/>
          <w:sz w:val="22"/>
          <w:szCs w:val="22"/>
          <w:lang w:val="en-US"/>
        </w:rPr>
        <w:drawing>
          <wp:inline distT="0" distB="0" distL="0" distR="0">
            <wp:extent cx="4084983" cy="2538427"/>
            <wp:effectExtent l="0" t="0" r="0" b="0"/>
            <wp:docPr id="1072" name="Picture 12"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15" cstate="print"/>
                    <a:srcRect/>
                    <a:stretch/>
                  </pic:blipFill>
                  <pic:spPr>
                    <a:xfrm>
                      <a:off x="0" y="0"/>
                      <a:ext cx="4084983" cy="2538427"/>
                    </a:xfrm>
                    <a:prstGeom prst="rect">
                      <a:avLst/>
                    </a:prstGeom>
                    <a:ln>
                      <a:noFill/>
                    </a:ln>
                  </pic:spPr>
                </pic:pic>
              </a:graphicData>
            </a:graphic>
          </wp:inline>
        </w:drawing>
      </w:r>
    </w:p>
    <w:p w:rsidR="00FA1AC4" w:rsidRDefault="00B11CCA">
      <w:pPr>
        <w:autoSpaceDE w:val="0"/>
        <w:autoSpaceDN w:val="0"/>
        <w:adjustRightInd w:val="0"/>
        <w:spacing w:after="240" w:line="240" w:lineRule="auto"/>
        <w:jc w:val="center"/>
        <w:rPr>
          <w:rFonts w:eastAsia="Calibri"/>
        </w:rPr>
      </w:pPr>
      <w:r>
        <w:rPr>
          <w:rFonts w:eastAsia="Calibri"/>
        </w:rPr>
        <w:t>Figure 4.6: Respondents’ Responses to Likert Item 4</w:t>
      </w:r>
    </w:p>
    <w:p w:rsidR="00FA1AC4" w:rsidRDefault="00B11CCA">
      <w:pPr>
        <w:spacing w:after="240" w:line="360" w:lineRule="auto"/>
        <w:jc w:val="center"/>
        <w:rPr>
          <w:color w:val="000000"/>
          <w:sz w:val="20"/>
          <w:szCs w:val="20"/>
        </w:rPr>
      </w:pPr>
      <w:r>
        <w:rPr>
          <w:color w:val="000000"/>
        </w:rPr>
        <w:t>Source</w:t>
      </w:r>
      <w:r>
        <w:rPr>
          <w:color w:val="000000"/>
          <w:sz w:val="20"/>
          <w:szCs w:val="20"/>
        </w:rPr>
        <w:t xml:space="preserve">: </w:t>
      </w:r>
      <w:r>
        <w:rPr>
          <w:rFonts w:eastAsia="Calibri"/>
        </w:rPr>
        <w:t>Author’s Computation, (2022)</w:t>
      </w:r>
      <w:r>
        <w:rPr>
          <w:color w:val="000000"/>
          <w:sz w:val="20"/>
          <w:szCs w:val="20"/>
        </w:rPr>
        <w:t>.</w:t>
      </w:r>
    </w:p>
    <w:p w:rsidR="00FA1AC4" w:rsidRDefault="00B11CCA">
      <w:pPr>
        <w:autoSpaceDE w:val="0"/>
        <w:autoSpaceDN w:val="0"/>
        <w:adjustRightInd w:val="0"/>
        <w:rPr>
          <w:rFonts w:eastAsia="Calibri"/>
          <w:bCs/>
          <w:iCs/>
        </w:rPr>
      </w:pPr>
      <w:r>
        <w:rPr>
          <w:rFonts w:eastAsia="Calibri"/>
          <w:bCs/>
          <w:iCs/>
        </w:rPr>
        <w:lastRenderedPageBreak/>
        <w:t xml:space="preserve">Likert item 5: Good corporate governance system leads to quality financial report. </w:t>
      </w:r>
    </w:p>
    <w:p w:rsidR="00FA1AC4" w:rsidRDefault="00B11CCA">
      <w:pPr>
        <w:tabs>
          <w:tab w:val="left" w:pos="3270"/>
        </w:tabs>
        <w:spacing w:after="240"/>
        <w:rPr>
          <w:rFonts w:eastAsia="Calibri"/>
        </w:rPr>
      </w:pPr>
      <w:r>
        <w:rPr>
          <w:rFonts w:eastAsia="Calibri"/>
        </w:rPr>
        <w:t>Table 4.9 and Figure 4.7 show the respondents’ responses to statement 5 of the survey questionnaire where 55% of the respondents strongly disagreed that “effective internal control promotes quality in the financial reports of the service firms”, 40% disagreed with the statement while 5% had no view. Most of the respondents (55%, 40%) attest that audit committee does not help in reducing both financial and business risk because of lack of effective internal control in the service companies. This implies that the quality assurance department helps in reducing both financial and business risk implying an effective internal control. However, the remaining 5% of the respondent who had no view or did not agree should however be ignored because the percentage of those with no view is not weighty enough to have impact on the statement.</w:t>
      </w:r>
    </w:p>
    <w:p w:rsidR="00FA1AC4" w:rsidRDefault="00B11CCA">
      <w:pPr>
        <w:autoSpaceDE w:val="0"/>
        <w:autoSpaceDN w:val="0"/>
        <w:adjustRightInd w:val="0"/>
        <w:spacing w:line="240" w:lineRule="auto"/>
        <w:rPr>
          <w:rFonts w:eastAsia="Calibri"/>
        </w:rPr>
      </w:pPr>
      <w:r>
        <w:rPr>
          <w:rFonts w:eastAsia="Calibri"/>
        </w:rPr>
        <w:t xml:space="preserve">   Table 4.9: Respondents’ Responses to Likert Item 5</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4"/>
        <w:gridCol w:w="1532"/>
        <w:gridCol w:w="1100"/>
        <w:gridCol w:w="1015"/>
        <w:gridCol w:w="1016"/>
        <w:gridCol w:w="932"/>
        <w:gridCol w:w="938"/>
      </w:tblGrid>
      <w:tr w:rsidR="00FA1AC4">
        <w:trPr>
          <w:trHeight w:val="430"/>
          <w:jc w:val="center"/>
        </w:trPr>
        <w:tc>
          <w:tcPr>
            <w:tcW w:w="1724"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STATEMENT</w:t>
            </w:r>
          </w:p>
        </w:tc>
        <w:tc>
          <w:tcPr>
            <w:tcW w:w="1532"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SA</w:t>
            </w:r>
          </w:p>
        </w:tc>
        <w:tc>
          <w:tcPr>
            <w:tcW w:w="1100"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A</w:t>
            </w:r>
          </w:p>
        </w:tc>
        <w:tc>
          <w:tcPr>
            <w:tcW w:w="1015"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NV</w:t>
            </w:r>
          </w:p>
        </w:tc>
        <w:tc>
          <w:tcPr>
            <w:tcW w:w="1016"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D</w:t>
            </w:r>
          </w:p>
        </w:tc>
        <w:tc>
          <w:tcPr>
            <w:tcW w:w="932"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SD</w:t>
            </w:r>
          </w:p>
        </w:tc>
        <w:tc>
          <w:tcPr>
            <w:tcW w:w="938" w:type="dxa"/>
            <w:tcBorders>
              <w:top w:val="single" w:sz="4" w:space="0" w:color="auto"/>
              <w:left w:val="single" w:sz="4" w:space="0" w:color="auto"/>
              <w:bottom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w:t>
            </w:r>
          </w:p>
        </w:tc>
      </w:tr>
      <w:tr w:rsidR="00FA1AC4">
        <w:trPr>
          <w:trHeight w:val="344"/>
          <w:jc w:val="center"/>
        </w:trPr>
        <w:tc>
          <w:tcPr>
            <w:tcW w:w="1724"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rPr>
            </w:pPr>
            <w:r>
              <w:rPr>
                <w:rFonts w:eastAsia="Calibri"/>
              </w:rPr>
              <w:t>5</w:t>
            </w:r>
          </w:p>
        </w:tc>
        <w:tc>
          <w:tcPr>
            <w:tcW w:w="153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0%</w:t>
            </w:r>
          </w:p>
        </w:tc>
        <w:tc>
          <w:tcPr>
            <w:tcW w:w="1100"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0%</w:t>
            </w:r>
          </w:p>
        </w:tc>
        <w:tc>
          <w:tcPr>
            <w:tcW w:w="101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5%</w:t>
            </w:r>
          </w:p>
        </w:tc>
        <w:tc>
          <w:tcPr>
            <w:tcW w:w="1016"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55%</w:t>
            </w:r>
          </w:p>
        </w:tc>
        <w:tc>
          <w:tcPr>
            <w:tcW w:w="93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40%</w:t>
            </w:r>
          </w:p>
        </w:tc>
        <w:tc>
          <w:tcPr>
            <w:tcW w:w="938"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100%</w:t>
            </w:r>
          </w:p>
        </w:tc>
      </w:tr>
    </w:tbl>
    <w:p w:rsidR="00FA1AC4" w:rsidRDefault="00B11CCA">
      <w:pPr>
        <w:autoSpaceDE w:val="0"/>
        <w:autoSpaceDN w:val="0"/>
        <w:adjustRightInd w:val="0"/>
        <w:jc w:val="center"/>
        <w:rPr>
          <w:rFonts w:eastAsia="Calibri"/>
        </w:rPr>
      </w:pPr>
      <w:r>
        <w:rPr>
          <w:rFonts w:ascii="Calibri" w:eastAsia="Calibri" w:hAnsi="Calibri" w:cs="Calibri"/>
          <w:noProof/>
          <w:sz w:val="22"/>
          <w:szCs w:val="22"/>
          <w:lang w:val="en-US"/>
        </w:rPr>
        <w:drawing>
          <wp:inline distT="0" distB="0" distL="0" distR="0">
            <wp:extent cx="5288280" cy="2371725"/>
            <wp:effectExtent l="0" t="0" r="7620" b="9525"/>
            <wp:docPr id="1073" name="Picture 11"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1"/>
                    <pic:cNvPicPr/>
                  </pic:nvPicPr>
                  <pic:blipFill>
                    <a:blip r:embed="rId16" cstate="print"/>
                    <a:srcRect/>
                    <a:stretch/>
                  </pic:blipFill>
                  <pic:spPr>
                    <a:xfrm>
                      <a:off x="0" y="0"/>
                      <a:ext cx="5288280" cy="2371725"/>
                    </a:xfrm>
                    <a:prstGeom prst="rect">
                      <a:avLst/>
                    </a:prstGeom>
                    <a:ln>
                      <a:noFill/>
                    </a:ln>
                  </pic:spPr>
                </pic:pic>
              </a:graphicData>
            </a:graphic>
          </wp:inline>
        </w:drawing>
      </w:r>
    </w:p>
    <w:p w:rsidR="00FA1AC4" w:rsidRDefault="00B11CCA">
      <w:pPr>
        <w:autoSpaceDE w:val="0"/>
        <w:autoSpaceDN w:val="0"/>
        <w:adjustRightInd w:val="0"/>
        <w:spacing w:after="240" w:line="240" w:lineRule="auto"/>
        <w:jc w:val="center"/>
        <w:rPr>
          <w:rFonts w:eastAsia="Calibri"/>
        </w:rPr>
      </w:pPr>
      <w:r>
        <w:rPr>
          <w:rFonts w:eastAsia="Calibri"/>
        </w:rPr>
        <w:t>Figure 4.7: Respondents’ Responses to Likert Item 5</w:t>
      </w:r>
    </w:p>
    <w:p w:rsidR="00FA1AC4" w:rsidRDefault="00B11CCA">
      <w:pPr>
        <w:spacing w:after="240" w:line="360" w:lineRule="auto"/>
        <w:jc w:val="center"/>
        <w:rPr>
          <w:color w:val="000000"/>
          <w:sz w:val="20"/>
          <w:szCs w:val="20"/>
        </w:rPr>
      </w:pPr>
      <w:r>
        <w:rPr>
          <w:color w:val="000000"/>
        </w:rPr>
        <w:t>Source</w:t>
      </w:r>
      <w:r>
        <w:rPr>
          <w:color w:val="000000"/>
          <w:sz w:val="20"/>
          <w:szCs w:val="20"/>
        </w:rPr>
        <w:t xml:space="preserve">: </w:t>
      </w:r>
      <w:r>
        <w:rPr>
          <w:rFonts w:eastAsia="Calibri"/>
        </w:rPr>
        <w:t>Author’s Computation, (2022).</w:t>
      </w:r>
    </w:p>
    <w:p w:rsidR="00FA1AC4" w:rsidRDefault="00B11CCA">
      <w:pPr>
        <w:autoSpaceDE w:val="0"/>
        <w:autoSpaceDN w:val="0"/>
        <w:adjustRightInd w:val="0"/>
        <w:spacing w:after="240"/>
        <w:rPr>
          <w:rFonts w:eastAsia="Calibri"/>
        </w:rPr>
      </w:pPr>
      <w:r>
        <w:rPr>
          <w:rFonts w:eastAsia="Calibri"/>
          <w:bCs/>
          <w:iCs/>
        </w:rPr>
        <w:lastRenderedPageBreak/>
        <w:t xml:space="preserve">Likert Item 6: Audit Committee helps in reducing both financial and business risk because of lack of effective internal control. </w:t>
      </w:r>
      <w:r>
        <w:rPr>
          <w:rFonts w:eastAsia="Calibri"/>
        </w:rPr>
        <w:t>According to the survey's statement 6, which is depicted in Figure 4.8, "There are frameworks within which the company performs its various activities and conducts its business affairs," was agreed upon by 63% of the respondents, 32% of whom also strongly agreed, 4% of whom disagreed, and 1% of whom strongly disagreed. Many of the respondents (63%, 32%) attest that there are frameworks within which the company perform its various activities and conduct business affairs in the service companies. This implies that the control activity of the internal control system that is in place in the service firms is well defined. However, the remaining 5% of the respondent who did not agree should however be overlooked because the percentage is not weighty enough to have impact on the statement.</w:t>
      </w:r>
    </w:p>
    <w:p w:rsidR="00FA1AC4" w:rsidRDefault="00B11CCA">
      <w:pPr>
        <w:autoSpaceDE w:val="0"/>
        <w:autoSpaceDN w:val="0"/>
        <w:adjustRightInd w:val="0"/>
        <w:rPr>
          <w:rFonts w:eastAsia="Calibri"/>
          <w:b/>
          <w:bCs/>
          <w:i/>
          <w:iCs/>
        </w:rPr>
      </w:pPr>
      <w:r>
        <w:rPr>
          <w:rFonts w:eastAsia="Calibri"/>
        </w:rPr>
        <w:t>Table 4.10: Respondents’ Responses to Likert Item 6</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38"/>
        <w:gridCol w:w="1418"/>
        <w:gridCol w:w="992"/>
        <w:gridCol w:w="1134"/>
        <w:gridCol w:w="1276"/>
        <w:gridCol w:w="992"/>
        <w:gridCol w:w="1134"/>
      </w:tblGrid>
      <w:tr w:rsidR="00FA1AC4">
        <w:trPr>
          <w:trHeight w:val="323"/>
          <w:jc w:val="center"/>
        </w:trPr>
        <w:tc>
          <w:tcPr>
            <w:tcW w:w="1838"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STATEMENT</w:t>
            </w:r>
          </w:p>
        </w:tc>
        <w:tc>
          <w:tcPr>
            <w:tcW w:w="1418"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SA</w:t>
            </w:r>
          </w:p>
        </w:tc>
        <w:tc>
          <w:tcPr>
            <w:tcW w:w="992"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A</w:t>
            </w:r>
          </w:p>
        </w:tc>
        <w:tc>
          <w:tcPr>
            <w:tcW w:w="1134"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NV</w:t>
            </w:r>
          </w:p>
        </w:tc>
        <w:tc>
          <w:tcPr>
            <w:tcW w:w="1276"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D</w:t>
            </w:r>
          </w:p>
        </w:tc>
        <w:tc>
          <w:tcPr>
            <w:tcW w:w="992"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SD</w:t>
            </w:r>
          </w:p>
        </w:tc>
        <w:tc>
          <w:tcPr>
            <w:tcW w:w="1134" w:type="dxa"/>
            <w:tcBorders>
              <w:top w:val="single" w:sz="4" w:space="0" w:color="auto"/>
              <w:left w:val="single" w:sz="4" w:space="0" w:color="auto"/>
              <w:bottom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w:t>
            </w:r>
          </w:p>
        </w:tc>
      </w:tr>
      <w:tr w:rsidR="00FA1AC4">
        <w:trPr>
          <w:jc w:val="center"/>
        </w:trPr>
        <w:tc>
          <w:tcPr>
            <w:tcW w:w="1838"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rPr>
            </w:pPr>
            <w:r>
              <w:rPr>
                <w:rFonts w:eastAsia="Calibri"/>
              </w:rPr>
              <w:t>6</w:t>
            </w:r>
          </w:p>
        </w:tc>
        <w:tc>
          <w:tcPr>
            <w:tcW w:w="1418"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63%</w:t>
            </w:r>
          </w:p>
        </w:tc>
        <w:tc>
          <w:tcPr>
            <w:tcW w:w="99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32%</w:t>
            </w:r>
          </w:p>
        </w:tc>
        <w:tc>
          <w:tcPr>
            <w:tcW w:w="113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0%</w:t>
            </w:r>
          </w:p>
        </w:tc>
        <w:tc>
          <w:tcPr>
            <w:tcW w:w="1276"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4%</w:t>
            </w:r>
          </w:p>
        </w:tc>
        <w:tc>
          <w:tcPr>
            <w:tcW w:w="992"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1%</w:t>
            </w:r>
          </w:p>
        </w:tc>
        <w:tc>
          <w:tcPr>
            <w:tcW w:w="1134"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100%</w:t>
            </w:r>
          </w:p>
        </w:tc>
      </w:tr>
    </w:tbl>
    <w:p w:rsidR="00FA1AC4" w:rsidRDefault="00FA1AC4">
      <w:pPr>
        <w:autoSpaceDE w:val="0"/>
        <w:autoSpaceDN w:val="0"/>
        <w:adjustRightInd w:val="0"/>
        <w:rPr>
          <w:rFonts w:ascii="Calibri" w:eastAsia="Calibri" w:hAnsi="Calibri" w:cs="Calibri"/>
          <w:noProof/>
          <w:sz w:val="22"/>
          <w:szCs w:val="22"/>
          <w:lang w:val="en-US"/>
        </w:rPr>
      </w:pPr>
    </w:p>
    <w:p w:rsidR="00FA1AC4" w:rsidRDefault="00B11CCA">
      <w:pPr>
        <w:autoSpaceDE w:val="0"/>
        <w:autoSpaceDN w:val="0"/>
        <w:adjustRightInd w:val="0"/>
        <w:jc w:val="center"/>
        <w:rPr>
          <w:rFonts w:eastAsia="Calibri"/>
        </w:rPr>
      </w:pPr>
      <w:r>
        <w:rPr>
          <w:rFonts w:eastAsia="Calibri"/>
          <w:noProof/>
          <w:sz w:val="22"/>
          <w:szCs w:val="22"/>
          <w:lang w:val="en-US"/>
        </w:rPr>
        <w:drawing>
          <wp:inline distT="0" distB="0" distL="0" distR="0">
            <wp:extent cx="4996487" cy="2019574"/>
            <wp:effectExtent l="0" t="0" r="0" b="0"/>
            <wp:docPr id="1074" name="Picture 10"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0"/>
                    <pic:cNvPicPr/>
                  </pic:nvPicPr>
                  <pic:blipFill>
                    <a:blip r:embed="rId17" cstate="print"/>
                    <a:srcRect/>
                    <a:stretch/>
                  </pic:blipFill>
                  <pic:spPr>
                    <a:xfrm>
                      <a:off x="0" y="0"/>
                      <a:ext cx="4996487" cy="2019574"/>
                    </a:xfrm>
                    <a:prstGeom prst="rect">
                      <a:avLst/>
                    </a:prstGeom>
                    <a:ln>
                      <a:noFill/>
                    </a:ln>
                  </pic:spPr>
                </pic:pic>
              </a:graphicData>
            </a:graphic>
          </wp:inline>
        </w:drawing>
      </w:r>
    </w:p>
    <w:p w:rsidR="00FA1AC4" w:rsidRDefault="00B11CCA">
      <w:pPr>
        <w:autoSpaceDE w:val="0"/>
        <w:autoSpaceDN w:val="0"/>
        <w:adjustRightInd w:val="0"/>
        <w:spacing w:line="240" w:lineRule="auto"/>
        <w:jc w:val="center"/>
        <w:rPr>
          <w:rFonts w:eastAsia="Calibri"/>
        </w:rPr>
      </w:pPr>
      <w:r>
        <w:rPr>
          <w:rFonts w:eastAsia="Calibri"/>
        </w:rPr>
        <w:t>Figure 4.8: Respondents’ Responses to Likert Item 6</w:t>
      </w:r>
    </w:p>
    <w:p w:rsidR="00FA1AC4" w:rsidRDefault="00B11CCA">
      <w:pPr>
        <w:spacing w:after="240" w:line="240" w:lineRule="auto"/>
        <w:jc w:val="center"/>
        <w:rPr>
          <w:color w:val="000000"/>
          <w:sz w:val="20"/>
          <w:szCs w:val="20"/>
        </w:rPr>
      </w:pPr>
      <w:r>
        <w:rPr>
          <w:color w:val="000000"/>
        </w:rPr>
        <w:t xml:space="preserve">Source: </w:t>
      </w:r>
      <w:r>
        <w:rPr>
          <w:rFonts w:eastAsia="Calibri"/>
        </w:rPr>
        <w:t>Author’s Computation, (2022)</w:t>
      </w:r>
    </w:p>
    <w:p w:rsidR="00FA1AC4" w:rsidRDefault="00B11CCA">
      <w:pPr>
        <w:autoSpaceDE w:val="0"/>
        <w:autoSpaceDN w:val="0"/>
        <w:adjustRightInd w:val="0"/>
        <w:spacing w:after="240"/>
        <w:rPr>
          <w:rFonts w:eastAsia="Calibri"/>
          <w:bCs/>
          <w:iCs/>
        </w:rPr>
      </w:pPr>
      <w:r>
        <w:rPr>
          <w:rFonts w:eastAsia="Calibri"/>
        </w:rPr>
        <w:lastRenderedPageBreak/>
        <w:t>Likert Item 7</w:t>
      </w:r>
      <w:r>
        <w:rPr>
          <w:rFonts w:eastAsia="Calibri"/>
          <w:bCs/>
          <w:iCs/>
        </w:rPr>
        <w:t xml:space="preserve">: There are frameworks within which the company perform its various activities and conduct its business affairs. </w:t>
      </w:r>
      <w:r>
        <w:rPr>
          <w:rFonts w:eastAsia="Calibri"/>
        </w:rPr>
        <w:t>Table 4.11 and Figure 4.9 show the statement 7 of the survey questionnaire where 11% of the respondents strongly agreed that “the top management of the company are in charge of monitoring all controls”, 69% agreed with the statement, 3% had no view, 12% disagreed while 5% strongly disagreed. Many of the respondents (69%, 11%) attest that the top management oversee monitoring all controls in the service companies. This implies that the monitoring activities are majorly done by the top management of the firms. However, the remaining 20% of the respondent who had no view or did not agree implies that the top management shares their delegate part of the monitoring activities to the low-level management of the firms.</w:t>
      </w:r>
    </w:p>
    <w:p w:rsidR="00FA1AC4" w:rsidRDefault="00B11CCA">
      <w:pPr>
        <w:autoSpaceDE w:val="0"/>
        <w:autoSpaceDN w:val="0"/>
        <w:adjustRightInd w:val="0"/>
        <w:rPr>
          <w:rFonts w:eastAsia="Calibri"/>
          <w:b/>
          <w:bCs/>
          <w:i/>
          <w:iCs/>
        </w:rPr>
      </w:pPr>
      <w:r>
        <w:rPr>
          <w:rFonts w:eastAsia="Calibri"/>
        </w:rPr>
        <w:t>Table 4.11: Respondents’ Responses to Likert Item 7</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4"/>
        <w:gridCol w:w="1623"/>
        <w:gridCol w:w="1165"/>
        <w:gridCol w:w="1075"/>
        <w:gridCol w:w="1076"/>
        <w:gridCol w:w="986"/>
        <w:gridCol w:w="776"/>
      </w:tblGrid>
      <w:tr w:rsidR="00FA1AC4">
        <w:trPr>
          <w:trHeight w:val="323"/>
          <w:jc w:val="center"/>
        </w:trPr>
        <w:tc>
          <w:tcPr>
            <w:tcW w:w="1724"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STATEMENT</w:t>
            </w:r>
          </w:p>
        </w:tc>
        <w:tc>
          <w:tcPr>
            <w:tcW w:w="1623"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SA</w:t>
            </w:r>
          </w:p>
        </w:tc>
        <w:tc>
          <w:tcPr>
            <w:tcW w:w="1165"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A</w:t>
            </w:r>
          </w:p>
        </w:tc>
        <w:tc>
          <w:tcPr>
            <w:tcW w:w="1075"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NV</w:t>
            </w:r>
          </w:p>
        </w:tc>
        <w:tc>
          <w:tcPr>
            <w:tcW w:w="1076"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D</w:t>
            </w:r>
          </w:p>
        </w:tc>
        <w:tc>
          <w:tcPr>
            <w:tcW w:w="986"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SD</w:t>
            </w:r>
          </w:p>
        </w:tc>
        <w:tc>
          <w:tcPr>
            <w:tcW w:w="776" w:type="dxa"/>
            <w:tcBorders>
              <w:top w:val="single" w:sz="4" w:space="0" w:color="auto"/>
              <w:left w:val="single" w:sz="4" w:space="0" w:color="auto"/>
              <w:bottom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w:t>
            </w:r>
          </w:p>
        </w:tc>
      </w:tr>
      <w:tr w:rsidR="00FA1AC4">
        <w:trPr>
          <w:jc w:val="center"/>
        </w:trPr>
        <w:tc>
          <w:tcPr>
            <w:tcW w:w="1724"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rPr>
            </w:pPr>
            <w:r>
              <w:rPr>
                <w:rFonts w:eastAsia="Calibri"/>
              </w:rPr>
              <w:t>7</w:t>
            </w:r>
          </w:p>
        </w:tc>
        <w:tc>
          <w:tcPr>
            <w:tcW w:w="1623"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11%</w:t>
            </w:r>
          </w:p>
        </w:tc>
        <w:tc>
          <w:tcPr>
            <w:tcW w:w="116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69%</w:t>
            </w:r>
          </w:p>
        </w:tc>
        <w:tc>
          <w:tcPr>
            <w:tcW w:w="107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3%</w:t>
            </w:r>
          </w:p>
        </w:tc>
        <w:tc>
          <w:tcPr>
            <w:tcW w:w="1076"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12%</w:t>
            </w:r>
          </w:p>
        </w:tc>
        <w:tc>
          <w:tcPr>
            <w:tcW w:w="986"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5%</w:t>
            </w:r>
          </w:p>
        </w:tc>
        <w:tc>
          <w:tcPr>
            <w:tcW w:w="776"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100%</w:t>
            </w:r>
          </w:p>
        </w:tc>
      </w:tr>
    </w:tbl>
    <w:p w:rsidR="00FA1AC4" w:rsidRDefault="00FA1AC4">
      <w:pPr>
        <w:autoSpaceDE w:val="0"/>
        <w:autoSpaceDN w:val="0"/>
        <w:adjustRightInd w:val="0"/>
        <w:jc w:val="center"/>
        <w:rPr>
          <w:rFonts w:eastAsia="Calibri"/>
        </w:rPr>
      </w:pPr>
    </w:p>
    <w:p w:rsidR="00FA1AC4" w:rsidRDefault="00B11CCA">
      <w:pPr>
        <w:autoSpaceDE w:val="0"/>
        <w:autoSpaceDN w:val="0"/>
        <w:adjustRightInd w:val="0"/>
        <w:rPr>
          <w:rFonts w:eastAsia="Calibri"/>
        </w:rPr>
      </w:pPr>
      <w:r>
        <w:rPr>
          <w:rFonts w:ascii="Calibri" w:eastAsia="Calibri" w:hAnsi="Calibri" w:cs="Calibri"/>
          <w:noProof/>
          <w:sz w:val="22"/>
          <w:szCs w:val="22"/>
          <w:lang w:val="en-US"/>
        </w:rPr>
        <w:drawing>
          <wp:inline distT="0" distB="0" distL="0" distR="0">
            <wp:extent cx="5330825" cy="2333625"/>
            <wp:effectExtent l="0" t="0" r="3175" b="9525"/>
            <wp:docPr id="1075" name="Picture 9"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8" cstate="print"/>
                    <a:srcRect/>
                    <a:stretch/>
                  </pic:blipFill>
                  <pic:spPr>
                    <a:xfrm>
                      <a:off x="0" y="0"/>
                      <a:ext cx="5330825" cy="2333625"/>
                    </a:xfrm>
                    <a:prstGeom prst="rect">
                      <a:avLst/>
                    </a:prstGeom>
                    <a:ln>
                      <a:noFill/>
                    </a:ln>
                  </pic:spPr>
                </pic:pic>
              </a:graphicData>
            </a:graphic>
          </wp:inline>
        </w:drawing>
      </w:r>
    </w:p>
    <w:p w:rsidR="00FA1AC4" w:rsidRDefault="00B11CCA">
      <w:pPr>
        <w:autoSpaceDE w:val="0"/>
        <w:autoSpaceDN w:val="0"/>
        <w:adjustRightInd w:val="0"/>
        <w:spacing w:after="240" w:line="240" w:lineRule="auto"/>
        <w:jc w:val="center"/>
        <w:rPr>
          <w:rFonts w:eastAsia="Calibri"/>
        </w:rPr>
      </w:pPr>
      <w:r>
        <w:rPr>
          <w:rFonts w:eastAsia="Calibri"/>
        </w:rPr>
        <w:t>Figure 4.9: Respondents’ Responses to Likert Item 7</w:t>
      </w:r>
    </w:p>
    <w:p w:rsidR="00FA1AC4" w:rsidRDefault="00B11CCA">
      <w:pPr>
        <w:autoSpaceDE w:val="0"/>
        <w:autoSpaceDN w:val="0"/>
        <w:adjustRightInd w:val="0"/>
        <w:spacing w:after="240"/>
        <w:jc w:val="center"/>
        <w:rPr>
          <w:rFonts w:eastAsia="Calibri"/>
        </w:rPr>
      </w:pPr>
      <w:r>
        <w:rPr>
          <w:color w:val="000000"/>
        </w:rPr>
        <w:t>Source</w:t>
      </w:r>
      <w:r>
        <w:rPr>
          <w:color w:val="000000"/>
          <w:sz w:val="20"/>
          <w:szCs w:val="20"/>
        </w:rPr>
        <w:t xml:space="preserve">: </w:t>
      </w:r>
      <w:r>
        <w:rPr>
          <w:rFonts w:eastAsia="Calibri"/>
        </w:rPr>
        <w:t>Author’s Computation, (2022)</w:t>
      </w:r>
    </w:p>
    <w:p w:rsidR="00FA1AC4" w:rsidRDefault="00B11CCA">
      <w:pPr>
        <w:autoSpaceDE w:val="0"/>
        <w:autoSpaceDN w:val="0"/>
        <w:adjustRightInd w:val="0"/>
        <w:rPr>
          <w:rFonts w:eastAsia="Calibri"/>
          <w:bCs/>
          <w:iCs/>
        </w:rPr>
      </w:pPr>
      <w:r>
        <w:rPr>
          <w:rFonts w:eastAsia="Calibri"/>
          <w:bCs/>
          <w:iCs/>
        </w:rPr>
        <w:lastRenderedPageBreak/>
        <w:t>Likert Item 8: The top management of the company oversee monitoring all controls.</w:t>
      </w:r>
    </w:p>
    <w:p w:rsidR="00FA1AC4" w:rsidRDefault="00B11CCA">
      <w:pPr>
        <w:autoSpaceDE w:val="0"/>
        <w:autoSpaceDN w:val="0"/>
        <w:adjustRightInd w:val="0"/>
        <w:spacing w:after="240"/>
        <w:rPr>
          <w:rFonts w:eastAsia="Calibri"/>
        </w:rPr>
      </w:pPr>
      <w:r>
        <w:rPr>
          <w:rFonts w:eastAsia="Calibri"/>
        </w:rPr>
        <w:t>Table 4.12 and Figure 4.10 show the respondents’ responses to statement 8 of the survey questionnaire where 14% of the respondents strongly agreed that “the quality assurance or internal control department of the company monitors all controls frequently in the service firms”, 75% of them agreed with the statement, 5% disagreed while 6% strongly disagreed. Most of the respondents (75%, 14%) attest that the quality assurance or internal control department of the company monitors all controls frequently in the service companies. This implies that the internal control departments are up and doing their monitoring activities. However, the remaining 11% of the respondent who did not agree should however not be overlooked that is, there should be more emphasis on the monitoring activities of the internal control or quality assurance department of the service firms.</w:t>
      </w:r>
    </w:p>
    <w:p w:rsidR="00FA1AC4" w:rsidRDefault="00FA1AC4">
      <w:pPr>
        <w:autoSpaceDE w:val="0"/>
        <w:autoSpaceDN w:val="0"/>
        <w:adjustRightInd w:val="0"/>
        <w:rPr>
          <w:rFonts w:eastAsia="Calibri"/>
        </w:rPr>
      </w:pPr>
    </w:p>
    <w:p w:rsidR="00FA1AC4" w:rsidRDefault="00FA1AC4">
      <w:pPr>
        <w:autoSpaceDE w:val="0"/>
        <w:autoSpaceDN w:val="0"/>
        <w:adjustRightInd w:val="0"/>
        <w:rPr>
          <w:rFonts w:eastAsia="Calibri"/>
        </w:rPr>
      </w:pPr>
    </w:p>
    <w:p w:rsidR="00FA1AC4" w:rsidRDefault="00B11CCA">
      <w:pPr>
        <w:autoSpaceDE w:val="0"/>
        <w:autoSpaceDN w:val="0"/>
        <w:adjustRightInd w:val="0"/>
        <w:rPr>
          <w:rFonts w:eastAsia="Calibri"/>
          <w:b/>
          <w:bCs/>
          <w:i/>
          <w:iCs/>
        </w:rPr>
      </w:pPr>
      <w:r>
        <w:rPr>
          <w:rFonts w:eastAsia="Calibri"/>
        </w:rPr>
        <w:t>Table 4.12: Respondents Responses to Likert Item 8</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4"/>
        <w:gridCol w:w="1147"/>
        <w:gridCol w:w="1145"/>
        <w:gridCol w:w="1149"/>
        <w:gridCol w:w="1145"/>
        <w:gridCol w:w="1148"/>
        <w:gridCol w:w="1142"/>
      </w:tblGrid>
      <w:tr w:rsidR="00FA1AC4">
        <w:tc>
          <w:tcPr>
            <w:tcW w:w="1724"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STATEMENT</w:t>
            </w:r>
          </w:p>
        </w:tc>
        <w:tc>
          <w:tcPr>
            <w:tcW w:w="1147"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SA</w:t>
            </w:r>
          </w:p>
        </w:tc>
        <w:tc>
          <w:tcPr>
            <w:tcW w:w="1145"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A</w:t>
            </w:r>
          </w:p>
        </w:tc>
        <w:tc>
          <w:tcPr>
            <w:tcW w:w="1149"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NV</w:t>
            </w:r>
          </w:p>
        </w:tc>
        <w:tc>
          <w:tcPr>
            <w:tcW w:w="1145"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D</w:t>
            </w:r>
          </w:p>
        </w:tc>
        <w:tc>
          <w:tcPr>
            <w:tcW w:w="1148"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SD</w:t>
            </w:r>
          </w:p>
        </w:tc>
        <w:tc>
          <w:tcPr>
            <w:tcW w:w="1142" w:type="dxa"/>
            <w:tcBorders>
              <w:top w:val="single" w:sz="4" w:space="0" w:color="auto"/>
              <w:left w:val="single" w:sz="4" w:space="0" w:color="auto"/>
              <w:bottom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100%</w:t>
            </w:r>
          </w:p>
        </w:tc>
      </w:tr>
      <w:tr w:rsidR="00FA1AC4">
        <w:tc>
          <w:tcPr>
            <w:tcW w:w="1724"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rPr>
            </w:pPr>
            <w:r>
              <w:rPr>
                <w:rFonts w:eastAsia="Calibri"/>
              </w:rPr>
              <w:t>8</w:t>
            </w:r>
          </w:p>
        </w:tc>
        <w:tc>
          <w:tcPr>
            <w:tcW w:w="1147"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14%</w:t>
            </w:r>
          </w:p>
        </w:tc>
        <w:tc>
          <w:tcPr>
            <w:tcW w:w="114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75%</w:t>
            </w:r>
          </w:p>
        </w:tc>
        <w:tc>
          <w:tcPr>
            <w:tcW w:w="1149"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0%</w:t>
            </w:r>
          </w:p>
        </w:tc>
        <w:tc>
          <w:tcPr>
            <w:tcW w:w="114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5%</w:t>
            </w:r>
          </w:p>
        </w:tc>
        <w:tc>
          <w:tcPr>
            <w:tcW w:w="1148"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6%</w:t>
            </w:r>
          </w:p>
        </w:tc>
        <w:tc>
          <w:tcPr>
            <w:tcW w:w="1142"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189</w:t>
            </w:r>
          </w:p>
        </w:tc>
      </w:tr>
    </w:tbl>
    <w:p w:rsidR="00FA1AC4" w:rsidRDefault="00FA1AC4">
      <w:pPr>
        <w:autoSpaceDE w:val="0"/>
        <w:autoSpaceDN w:val="0"/>
        <w:adjustRightInd w:val="0"/>
        <w:rPr>
          <w:rFonts w:ascii="Calibri" w:eastAsia="Calibri" w:hAnsi="Calibri" w:cs="Calibri"/>
          <w:noProof/>
          <w:sz w:val="22"/>
          <w:szCs w:val="22"/>
          <w:lang w:val="en-US"/>
        </w:rPr>
      </w:pPr>
    </w:p>
    <w:p w:rsidR="00FA1AC4" w:rsidRDefault="00B11CCA">
      <w:pPr>
        <w:autoSpaceDE w:val="0"/>
        <w:autoSpaceDN w:val="0"/>
        <w:adjustRightInd w:val="0"/>
        <w:rPr>
          <w:rFonts w:eastAsia="Calibri"/>
        </w:rPr>
      </w:pPr>
      <w:r>
        <w:rPr>
          <w:rFonts w:ascii="Calibri" w:eastAsia="Calibri" w:hAnsi="Calibri" w:cs="Calibri"/>
          <w:noProof/>
          <w:sz w:val="22"/>
          <w:szCs w:val="22"/>
          <w:lang w:val="en-US"/>
        </w:rPr>
        <w:lastRenderedPageBreak/>
        <w:drawing>
          <wp:inline distT="0" distB="0" distL="0" distR="0">
            <wp:extent cx="5434330" cy="2790825"/>
            <wp:effectExtent l="0" t="0" r="0" b="9525"/>
            <wp:docPr id="1076" name="Picture 8"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8"/>
                    <pic:cNvPicPr/>
                  </pic:nvPicPr>
                  <pic:blipFill>
                    <a:blip r:embed="rId19" cstate="print"/>
                    <a:srcRect/>
                    <a:stretch/>
                  </pic:blipFill>
                  <pic:spPr>
                    <a:xfrm>
                      <a:off x="0" y="0"/>
                      <a:ext cx="5434330" cy="2790825"/>
                    </a:xfrm>
                    <a:prstGeom prst="rect">
                      <a:avLst/>
                    </a:prstGeom>
                    <a:ln>
                      <a:noFill/>
                    </a:ln>
                  </pic:spPr>
                </pic:pic>
              </a:graphicData>
            </a:graphic>
          </wp:inline>
        </w:drawing>
      </w:r>
    </w:p>
    <w:p w:rsidR="00FA1AC4" w:rsidRDefault="00B11CCA">
      <w:pPr>
        <w:autoSpaceDE w:val="0"/>
        <w:autoSpaceDN w:val="0"/>
        <w:adjustRightInd w:val="0"/>
        <w:spacing w:after="240" w:line="240" w:lineRule="auto"/>
        <w:jc w:val="center"/>
        <w:rPr>
          <w:rFonts w:eastAsia="Calibri"/>
        </w:rPr>
      </w:pPr>
      <w:r>
        <w:rPr>
          <w:rFonts w:eastAsia="Calibri"/>
        </w:rPr>
        <w:t>Figure 4.10: Respondents’ Responses to Likert Item 8</w:t>
      </w:r>
    </w:p>
    <w:p w:rsidR="00FA1AC4" w:rsidRDefault="00B11CCA">
      <w:pPr>
        <w:spacing w:after="240" w:line="360" w:lineRule="auto"/>
        <w:jc w:val="center"/>
        <w:rPr>
          <w:color w:val="000000"/>
          <w:sz w:val="20"/>
          <w:szCs w:val="20"/>
        </w:rPr>
      </w:pPr>
      <w:r>
        <w:rPr>
          <w:color w:val="000000"/>
        </w:rPr>
        <w:t>Source</w:t>
      </w:r>
      <w:r>
        <w:rPr>
          <w:color w:val="000000"/>
          <w:sz w:val="20"/>
          <w:szCs w:val="20"/>
        </w:rPr>
        <w:t xml:space="preserve">: </w:t>
      </w:r>
      <w:r>
        <w:rPr>
          <w:rFonts w:eastAsia="Calibri"/>
        </w:rPr>
        <w:t>Author’s Computation, (2022)</w:t>
      </w:r>
    </w:p>
    <w:p w:rsidR="00FA1AC4" w:rsidRDefault="00B11CCA">
      <w:pPr>
        <w:autoSpaceDE w:val="0"/>
        <w:autoSpaceDN w:val="0"/>
        <w:adjustRightInd w:val="0"/>
        <w:spacing w:after="240"/>
        <w:rPr>
          <w:rFonts w:eastAsia="Calibri"/>
        </w:rPr>
      </w:pPr>
      <w:r>
        <w:rPr>
          <w:rFonts w:eastAsia="Calibri"/>
        </w:rPr>
        <w:t xml:space="preserve">Likert Item 9: </w:t>
      </w:r>
      <w:r>
        <w:rPr>
          <w:rFonts w:eastAsia="Calibri"/>
          <w:bCs/>
          <w:iCs/>
        </w:rPr>
        <w:t>Audit Committee must have access to both Internal and External Auditors for internal control effectiveness.</w:t>
      </w:r>
      <w:r>
        <w:rPr>
          <w:rFonts w:eastAsia="Calibri"/>
        </w:rPr>
        <w:t xml:space="preserve"> Table 4.13 and Figure 4.11 show the statement 9 of the survey questionnaire where 57% of the respondents strongly agreed that “audit committee must have access to both internal and external Auditors for internal control effectiveness of the service firms”, 40% of them agreed with the statement, 1% of them had no view while 2% disagreed. Most of the respondents (57%, 40%) attest that audit committee must have access to both the internal and external auditors for effective internal control in the service companies. This implies that the access of audit committee members to both the external and internal auditors will boost the effectiveness internal control system of the service firms. However, the remaining 15% of the respondent who had no view or did not support the access of audit committee members to both the internal and external auditors should however not be overlooked.</w:t>
      </w:r>
    </w:p>
    <w:p w:rsidR="00FA1AC4" w:rsidRDefault="00B11CCA">
      <w:pPr>
        <w:autoSpaceDE w:val="0"/>
        <w:autoSpaceDN w:val="0"/>
        <w:adjustRightInd w:val="0"/>
        <w:rPr>
          <w:rFonts w:eastAsia="Calibri"/>
          <w:b/>
          <w:bCs/>
          <w:i/>
          <w:iCs/>
        </w:rPr>
      </w:pPr>
      <w:r>
        <w:rPr>
          <w:rFonts w:eastAsia="Calibri"/>
        </w:rPr>
        <w:lastRenderedPageBreak/>
        <w:t>Table 4.13: Respondents’ Responses to Likert Item 9</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5"/>
        <w:gridCol w:w="1623"/>
        <w:gridCol w:w="1165"/>
        <w:gridCol w:w="1075"/>
        <w:gridCol w:w="1075"/>
        <w:gridCol w:w="986"/>
        <w:gridCol w:w="851"/>
      </w:tblGrid>
      <w:tr w:rsidR="00FA1AC4">
        <w:trPr>
          <w:trHeight w:val="323"/>
          <w:jc w:val="center"/>
        </w:trPr>
        <w:tc>
          <w:tcPr>
            <w:tcW w:w="1725"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STATEMENT</w:t>
            </w:r>
          </w:p>
        </w:tc>
        <w:tc>
          <w:tcPr>
            <w:tcW w:w="1623"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SA</w:t>
            </w:r>
          </w:p>
        </w:tc>
        <w:tc>
          <w:tcPr>
            <w:tcW w:w="1165"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A</w:t>
            </w:r>
          </w:p>
        </w:tc>
        <w:tc>
          <w:tcPr>
            <w:tcW w:w="1075"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NV</w:t>
            </w:r>
          </w:p>
        </w:tc>
        <w:tc>
          <w:tcPr>
            <w:tcW w:w="1075"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D</w:t>
            </w:r>
          </w:p>
        </w:tc>
        <w:tc>
          <w:tcPr>
            <w:tcW w:w="986"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SD</w:t>
            </w:r>
          </w:p>
        </w:tc>
        <w:tc>
          <w:tcPr>
            <w:tcW w:w="851" w:type="dxa"/>
            <w:tcBorders>
              <w:top w:val="single" w:sz="4" w:space="0" w:color="auto"/>
              <w:left w:val="single" w:sz="4" w:space="0" w:color="auto"/>
              <w:bottom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w:t>
            </w:r>
          </w:p>
        </w:tc>
      </w:tr>
      <w:tr w:rsidR="00FA1AC4">
        <w:trPr>
          <w:jc w:val="center"/>
        </w:trPr>
        <w:tc>
          <w:tcPr>
            <w:tcW w:w="1725"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rPr>
            </w:pPr>
            <w:r>
              <w:rPr>
                <w:rFonts w:eastAsia="Calibri"/>
              </w:rPr>
              <w:t>9</w:t>
            </w:r>
          </w:p>
        </w:tc>
        <w:tc>
          <w:tcPr>
            <w:tcW w:w="1623"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57%</w:t>
            </w:r>
          </w:p>
        </w:tc>
        <w:tc>
          <w:tcPr>
            <w:tcW w:w="116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40%</w:t>
            </w:r>
          </w:p>
        </w:tc>
        <w:tc>
          <w:tcPr>
            <w:tcW w:w="107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1%</w:t>
            </w:r>
          </w:p>
        </w:tc>
        <w:tc>
          <w:tcPr>
            <w:tcW w:w="107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2%</w:t>
            </w:r>
          </w:p>
        </w:tc>
        <w:tc>
          <w:tcPr>
            <w:tcW w:w="986"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0%</w:t>
            </w:r>
          </w:p>
        </w:tc>
        <w:tc>
          <w:tcPr>
            <w:tcW w:w="85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100%</w:t>
            </w:r>
          </w:p>
        </w:tc>
      </w:tr>
    </w:tbl>
    <w:p w:rsidR="00FA1AC4" w:rsidRDefault="00FA1AC4">
      <w:pPr>
        <w:autoSpaceDE w:val="0"/>
        <w:autoSpaceDN w:val="0"/>
        <w:adjustRightInd w:val="0"/>
        <w:rPr>
          <w:rFonts w:ascii="Calibri" w:eastAsia="Calibri" w:hAnsi="Calibri" w:cs="Calibri"/>
          <w:noProof/>
          <w:sz w:val="22"/>
          <w:szCs w:val="22"/>
          <w:lang w:val="en-US"/>
        </w:rPr>
      </w:pPr>
    </w:p>
    <w:p w:rsidR="00FA1AC4" w:rsidRDefault="00B11CCA">
      <w:pPr>
        <w:autoSpaceDE w:val="0"/>
        <w:autoSpaceDN w:val="0"/>
        <w:adjustRightInd w:val="0"/>
        <w:jc w:val="center"/>
        <w:rPr>
          <w:rFonts w:eastAsia="Calibri"/>
        </w:rPr>
      </w:pPr>
      <w:r>
        <w:rPr>
          <w:rFonts w:ascii="Calibri" w:eastAsia="Calibri" w:hAnsi="Calibri" w:cs="Calibri"/>
          <w:noProof/>
          <w:sz w:val="22"/>
          <w:szCs w:val="22"/>
          <w:lang w:val="en-US"/>
        </w:rPr>
        <w:drawing>
          <wp:inline distT="0" distB="0" distL="0" distR="0">
            <wp:extent cx="5247545" cy="2933700"/>
            <wp:effectExtent l="0" t="0" r="0" b="0"/>
            <wp:docPr id="1077" name="Picture 7"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7"/>
                    <pic:cNvPicPr/>
                  </pic:nvPicPr>
                  <pic:blipFill>
                    <a:blip r:embed="rId20" cstate="print"/>
                    <a:srcRect/>
                    <a:stretch/>
                  </pic:blipFill>
                  <pic:spPr>
                    <a:xfrm>
                      <a:off x="0" y="0"/>
                      <a:ext cx="5247545" cy="2933700"/>
                    </a:xfrm>
                    <a:prstGeom prst="rect">
                      <a:avLst/>
                    </a:prstGeom>
                    <a:ln>
                      <a:noFill/>
                    </a:ln>
                  </pic:spPr>
                </pic:pic>
              </a:graphicData>
            </a:graphic>
          </wp:inline>
        </w:drawing>
      </w:r>
    </w:p>
    <w:p w:rsidR="00FA1AC4" w:rsidRDefault="00B11CCA">
      <w:pPr>
        <w:autoSpaceDE w:val="0"/>
        <w:autoSpaceDN w:val="0"/>
        <w:adjustRightInd w:val="0"/>
        <w:spacing w:after="240" w:line="240" w:lineRule="auto"/>
        <w:jc w:val="center"/>
        <w:rPr>
          <w:rFonts w:eastAsia="Calibri"/>
        </w:rPr>
      </w:pPr>
      <w:r>
        <w:rPr>
          <w:rFonts w:eastAsia="Calibri"/>
        </w:rPr>
        <w:t>Figure 4.11: Respondents’ Responses to Likert Item 9</w:t>
      </w:r>
    </w:p>
    <w:p w:rsidR="00FA1AC4" w:rsidRDefault="00B11CCA">
      <w:pPr>
        <w:spacing w:after="240" w:line="360" w:lineRule="auto"/>
        <w:jc w:val="center"/>
        <w:rPr>
          <w:color w:val="000000"/>
          <w:sz w:val="20"/>
          <w:szCs w:val="20"/>
        </w:rPr>
      </w:pPr>
      <w:r>
        <w:rPr>
          <w:color w:val="000000"/>
        </w:rPr>
        <w:t>Source</w:t>
      </w:r>
      <w:r>
        <w:rPr>
          <w:color w:val="000000"/>
          <w:sz w:val="20"/>
          <w:szCs w:val="20"/>
        </w:rPr>
        <w:t xml:space="preserve">: </w:t>
      </w:r>
      <w:r>
        <w:rPr>
          <w:rFonts w:eastAsia="Calibri"/>
        </w:rPr>
        <w:t>Author’s Computation, (2022)</w:t>
      </w:r>
    </w:p>
    <w:p w:rsidR="00FA1AC4" w:rsidRDefault="00B11CCA">
      <w:pPr>
        <w:autoSpaceDE w:val="0"/>
        <w:autoSpaceDN w:val="0"/>
        <w:adjustRightInd w:val="0"/>
        <w:rPr>
          <w:rFonts w:eastAsia="Calibri"/>
        </w:rPr>
      </w:pPr>
      <w:r>
        <w:rPr>
          <w:rFonts w:eastAsia="Calibri"/>
        </w:rPr>
        <w:t>Likert Item 10: quality financial reporting system contributes to corporate performance in the service sector. Table 4.14 and Figure 4.12 show the statement 10 of the survey questionnaire where 77% of the respondents strongly agreed that “a quality financial reporting system contribute corporate performance in the service sector”, 10% of them agreed with the statement, 8% disagreed while 5% strongly disagreed. Most of the respondents (77%, 10%) attest that a quality financial reporting system contributes corporate performance in the service sector. However, the remaining 13% of the respondent who had no view or did not agree should however not be overlooked.</w:t>
      </w:r>
    </w:p>
    <w:p w:rsidR="00FA1AC4" w:rsidRDefault="00B11CCA">
      <w:pPr>
        <w:autoSpaceDE w:val="0"/>
        <w:autoSpaceDN w:val="0"/>
        <w:adjustRightInd w:val="0"/>
        <w:rPr>
          <w:rFonts w:eastAsia="Calibri"/>
          <w:b/>
          <w:bCs/>
          <w:i/>
          <w:iCs/>
        </w:rPr>
      </w:pPr>
      <w:r>
        <w:rPr>
          <w:rFonts w:eastAsia="Calibri"/>
        </w:rPr>
        <w:lastRenderedPageBreak/>
        <w:t>Table 4.14: Respondents’ Responses to Likert Item 10</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5"/>
        <w:gridCol w:w="1623"/>
        <w:gridCol w:w="1165"/>
        <w:gridCol w:w="1075"/>
        <w:gridCol w:w="1075"/>
        <w:gridCol w:w="986"/>
        <w:gridCol w:w="1135"/>
      </w:tblGrid>
      <w:tr w:rsidR="00FA1AC4">
        <w:trPr>
          <w:trHeight w:val="323"/>
          <w:jc w:val="center"/>
        </w:trPr>
        <w:tc>
          <w:tcPr>
            <w:tcW w:w="1725"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STATEMENT</w:t>
            </w:r>
          </w:p>
        </w:tc>
        <w:tc>
          <w:tcPr>
            <w:tcW w:w="1623"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SA</w:t>
            </w:r>
          </w:p>
        </w:tc>
        <w:tc>
          <w:tcPr>
            <w:tcW w:w="1165"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A</w:t>
            </w:r>
          </w:p>
        </w:tc>
        <w:tc>
          <w:tcPr>
            <w:tcW w:w="1075"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NV</w:t>
            </w:r>
          </w:p>
        </w:tc>
        <w:tc>
          <w:tcPr>
            <w:tcW w:w="1075"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D</w:t>
            </w:r>
          </w:p>
        </w:tc>
        <w:tc>
          <w:tcPr>
            <w:tcW w:w="986"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SD</w:t>
            </w:r>
          </w:p>
        </w:tc>
        <w:tc>
          <w:tcPr>
            <w:tcW w:w="1135" w:type="dxa"/>
            <w:tcBorders>
              <w:top w:val="single" w:sz="4" w:space="0" w:color="auto"/>
              <w:left w:val="single" w:sz="4" w:space="0" w:color="auto"/>
              <w:bottom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w:t>
            </w:r>
          </w:p>
        </w:tc>
      </w:tr>
      <w:tr w:rsidR="00FA1AC4">
        <w:trPr>
          <w:jc w:val="center"/>
        </w:trPr>
        <w:tc>
          <w:tcPr>
            <w:tcW w:w="1725"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rPr>
            </w:pPr>
            <w:r>
              <w:rPr>
                <w:rFonts w:eastAsia="Calibri"/>
              </w:rPr>
              <w:t>10</w:t>
            </w:r>
          </w:p>
        </w:tc>
        <w:tc>
          <w:tcPr>
            <w:tcW w:w="1623"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77%</w:t>
            </w:r>
          </w:p>
        </w:tc>
        <w:tc>
          <w:tcPr>
            <w:tcW w:w="116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10%</w:t>
            </w:r>
          </w:p>
        </w:tc>
        <w:tc>
          <w:tcPr>
            <w:tcW w:w="107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0%</w:t>
            </w:r>
          </w:p>
        </w:tc>
        <w:tc>
          <w:tcPr>
            <w:tcW w:w="107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8%</w:t>
            </w:r>
          </w:p>
        </w:tc>
        <w:tc>
          <w:tcPr>
            <w:tcW w:w="986"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5%</w:t>
            </w:r>
          </w:p>
        </w:tc>
        <w:tc>
          <w:tcPr>
            <w:tcW w:w="1135"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100%</w:t>
            </w:r>
          </w:p>
        </w:tc>
      </w:tr>
    </w:tbl>
    <w:p w:rsidR="00FA1AC4" w:rsidRDefault="00FA1AC4">
      <w:pPr>
        <w:autoSpaceDE w:val="0"/>
        <w:autoSpaceDN w:val="0"/>
        <w:adjustRightInd w:val="0"/>
        <w:jc w:val="center"/>
        <w:rPr>
          <w:rFonts w:ascii="Calibri" w:eastAsia="Calibri" w:hAnsi="Calibri" w:cs="Calibri"/>
          <w:noProof/>
          <w:sz w:val="22"/>
          <w:szCs w:val="22"/>
          <w:lang w:val="en-US"/>
        </w:rPr>
      </w:pPr>
    </w:p>
    <w:p w:rsidR="00FA1AC4" w:rsidRDefault="00B11CCA">
      <w:pPr>
        <w:autoSpaceDE w:val="0"/>
        <w:autoSpaceDN w:val="0"/>
        <w:adjustRightInd w:val="0"/>
        <w:jc w:val="center"/>
        <w:rPr>
          <w:rFonts w:eastAsia="Calibri"/>
        </w:rPr>
      </w:pPr>
      <w:r>
        <w:rPr>
          <w:rFonts w:ascii="Calibri" w:eastAsia="Calibri" w:hAnsi="Calibri" w:cs="Calibri"/>
          <w:noProof/>
          <w:sz w:val="22"/>
          <w:szCs w:val="22"/>
          <w:lang w:val="en-US"/>
        </w:rPr>
        <w:drawing>
          <wp:inline distT="0" distB="0" distL="0" distR="0">
            <wp:extent cx="5485765" cy="2714625"/>
            <wp:effectExtent l="0" t="0" r="635" b="9525"/>
            <wp:docPr id="1078" name="Picture 6"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6"/>
                    <pic:cNvPicPr/>
                  </pic:nvPicPr>
                  <pic:blipFill>
                    <a:blip r:embed="rId21" cstate="print"/>
                    <a:srcRect/>
                    <a:stretch/>
                  </pic:blipFill>
                  <pic:spPr>
                    <a:xfrm>
                      <a:off x="0" y="0"/>
                      <a:ext cx="5485765" cy="2714625"/>
                    </a:xfrm>
                    <a:prstGeom prst="rect">
                      <a:avLst/>
                    </a:prstGeom>
                    <a:ln>
                      <a:noFill/>
                    </a:ln>
                  </pic:spPr>
                </pic:pic>
              </a:graphicData>
            </a:graphic>
          </wp:inline>
        </w:drawing>
      </w:r>
    </w:p>
    <w:p w:rsidR="00FA1AC4" w:rsidRDefault="00B11CCA">
      <w:pPr>
        <w:autoSpaceDE w:val="0"/>
        <w:autoSpaceDN w:val="0"/>
        <w:adjustRightInd w:val="0"/>
        <w:spacing w:after="240" w:line="240" w:lineRule="auto"/>
        <w:jc w:val="center"/>
        <w:rPr>
          <w:rFonts w:eastAsia="Calibri"/>
        </w:rPr>
      </w:pPr>
      <w:r>
        <w:rPr>
          <w:rFonts w:eastAsia="Calibri"/>
        </w:rPr>
        <w:t>Figure 4.12: Respondents’ Responses to Likert Item 10</w:t>
      </w:r>
    </w:p>
    <w:p w:rsidR="00FA1AC4" w:rsidRDefault="00B11CCA">
      <w:pPr>
        <w:spacing w:after="240" w:line="360" w:lineRule="auto"/>
        <w:jc w:val="center"/>
        <w:rPr>
          <w:color w:val="000000"/>
          <w:sz w:val="20"/>
          <w:szCs w:val="20"/>
        </w:rPr>
      </w:pPr>
      <w:r>
        <w:rPr>
          <w:color w:val="000000"/>
        </w:rPr>
        <w:t>Source</w:t>
      </w:r>
      <w:r>
        <w:rPr>
          <w:color w:val="000000"/>
          <w:sz w:val="20"/>
          <w:szCs w:val="20"/>
        </w:rPr>
        <w:t xml:space="preserve">: </w:t>
      </w:r>
      <w:r>
        <w:rPr>
          <w:rFonts w:eastAsia="Calibri"/>
        </w:rPr>
        <w:t>Author’s Computation, (2022)</w:t>
      </w:r>
    </w:p>
    <w:p w:rsidR="00FA1AC4" w:rsidRDefault="00B11CCA">
      <w:pPr>
        <w:autoSpaceDE w:val="0"/>
        <w:autoSpaceDN w:val="0"/>
        <w:adjustRightInd w:val="0"/>
        <w:spacing w:after="240"/>
        <w:rPr>
          <w:rFonts w:eastAsia="Calibri"/>
          <w:bCs/>
          <w:iCs/>
        </w:rPr>
      </w:pPr>
      <w:r>
        <w:rPr>
          <w:rFonts w:eastAsia="Calibri"/>
          <w:bCs/>
          <w:iCs/>
        </w:rPr>
        <w:t xml:space="preserve">Likert Item 11: Audit Committee must be independent of the executive directors for effective internal control. </w:t>
      </w:r>
      <w:r>
        <w:rPr>
          <w:rFonts w:eastAsia="Calibri"/>
        </w:rPr>
        <w:t>According to statement 3 of the survey, "Audit committee must be independent of the executive directors for effective internal control in the service firms," 81% of the respondents strongly agreed with the statement, 7% agreed, 3% had no opinion, 5% disagreed while 4% strongly disagreed. For effective internal control in service organizations, the majority of respondents (81%, 7%) certify that the audit committee must be independent of the executive directors. However, it's important not to ignore the remaining 13% of respondents who either had no opinion or disagreed.</w:t>
      </w:r>
    </w:p>
    <w:p w:rsidR="00FA1AC4" w:rsidRDefault="00B11CCA">
      <w:pPr>
        <w:autoSpaceDE w:val="0"/>
        <w:autoSpaceDN w:val="0"/>
        <w:adjustRightInd w:val="0"/>
        <w:rPr>
          <w:rFonts w:eastAsia="Calibri"/>
          <w:b/>
          <w:bCs/>
          <w:i/>
          <w:iCs/>
        </w:rPr>
      </w:pPr>
      <w:r>
        <w:rPr>
          <w:rFonts w:eastAsia="Calibri"/>
        </w:rPr>
        <w:lastRenderedPageBreak/>
        <w:t>Table 4.15: Respondents’ Responses to Likert Item 11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5"/>
        <w:gridCol w:w="1623"/>
        <w:gridCol w:w="1164"/>
        <w:gridCol w:w="1075"/>
        <w:gridCol w:w="1075"/>
        <w:gridCol w:w="986"/>
        <w:gridCol w:w="1136"/>
      </w:tblGrid>
      <w:tr w:rsidR="00FA1AC4">
        <w:trPr>
          <w:trHeight w:val="323"/>
          <w:jc w:val="center"/>
        </w:trPr>
        <w:tc>
          <w:tcPr>
            <w:tcW w:w="1725"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STATEMENT</w:t>
            </w:r>
          </w:p>
        </w:tc>
        <w:tc>
          <w:tcPr>
            <w:tcW w:w="1623"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SA</w:t>
            </w:r>
          </w:p>
        </w:tc>
        <w:tc>
          <w:tcPr>
            <w:tcW w:w="1164"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A</w:t>
            </w:r>
          </w:p>
        </w:tc>
        <w:tc>
          <w:tcPr>
            <w:tcW w:w="1075"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NV</w:t>
            </w:r>
          </w:p>
        </w:tc>
        <w:tc>
          <w:tcPr>
            <w:tcW w:w="1075"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D</w:t>
            </w:r>
          </w:p>
        </w:tc>
        <w:tc>
          <w:tcPr>
            <w:tcW w:w="986"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SD</w:t>
            </w:r>
          </w:p>
        </w:tc>
        <w:tc>
          <w:tcPr>
            <w:tcW w:w="1136" w:type="dxa"/>
            <w:tcBorders>
              <w:top w:val="single" w:sz="4" w:space="0" w:color="auto"/>
              <w:left w:val="single" w:sz="4" w:space="0" w:color="auto"/>
              <w:bottom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w:t>
            </w:r>
          </w:p>
        </w:tc>
      </w:tr>
      <w:tr w:rsidR="00FA1AC4">
        <w:trPr>
          <w:jc w:val="center"/>
        </w:trPr>
        <w:tc>
          <w:tcPr>
            <w:tcW w:w="1725"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rPr>
            </w:pPr>
            <w:r>
              <w:rPr>
                <w:rFonts w:eastAsia="Calibri"/>
              </w:rPr>
              <w:t>11</w:t>
            </w:r>
          </w:p>
        </w:tc>
        <w:tc>
          <w:tcPr>
            <w:tcW w:w="1623"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81%</w:t>
            </w:r>
          </w:p>
        </w:tc>
        <w:tc>
          <w:tcPr>
            <w:tcW w:w="1164"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7%</w:t>
            </w:r>
          </w:p>
        </w:tc>
        <w:tc>
          <w:tcPr>
            <w:tcW w:w="107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3%</w:t>
            </w:r>
          </w:p>
        </w:tc>
        <w:tc>
          <w:tcPr>
            <w:tcW w:w="107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5%</w:t>
            </w:r>
          </w:p>
        </w:tc>
        <w:tc>
          <w:tcPr>
            <w:tcW w:w="986"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4%</w:t>
            </w:r>
          </w:p>
        </w:tc>
        <w:tc>
          <w:tcPr>
            <w:tcW w:w="1136"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100%</w:t>
            </w:r>
          </w:p>
        </w:tc>
      </w:tr>
    </w:tbl>
    <w:p w:rsidR="00FA1AC4" w:rsidRDefault="00FA1AC4">
      <w:pPr>
        <w:tabs>
          <w:tab w:val="left" w:pos="6884"/>
        </w:tabs>
        <w:autoSpaceDE w:val="0"/>
        <w:autoSpaceDN w:val="0"/>
        <w:adjustRightInd w:val="0"/>
        <w:jc w:val="left"/>
        <w:rPr>
          <w:rFonts w:ascii="Calibri" w:eastAsia="Calibri" w:hAnsi="Calibri" w:cs="Calibri"/>
          <w:noProof/>
          <w:sz w:val="22"/>
          <w:szCs w:val="22"/>
          <w:lang w:val="en-US"/>
        </w:rPr>
      </w:pPr>
    </w:p>
    <w:p w:rsidR="00FA1AC4" w:rsidRDefault="00B11CCA">
      <w:pPr>
        <w:autoSpaceDE w:val="0"/>
        <w:autoSpaceDN w:val="0"/>
        <w:adjustRightInd w:val="0"/>
        <w:jc w:val="center"/>
        <w:rPr>
          <w:rFonts w:eastAsia="Calibri"/>
        </w:rPr>
      </w:pPr>
      <w:r>
        <w:rPr>
          <w:rFonts w:ascii="Calibri" w:eastAsia="Calibri" w:hAnsi="Calibri" w:cs="Calibri"/>
          <w:noProof/>
          <w:sz w:val="22"/>
          <w:szCs w:val="22"/>
          <w:lang w:val="en-US"/>
        </w:rPr>
        <w:drawing>
          <wp:inline distT="0" distB="0" distL="0" distR="0">
            <wp:extent cx="5485159" cy="3094892"/>
            <wp:effectExtent l="0" t="0" r="1270" b="0"/>
            <wp:docPr id="1079" name="Picture 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5"/>
                    <pic:cNvPicPr/>
                  </pic:nvPicPr>
                  <pic:blipFill>
                    <a:blip r:embed="rId22" cstate="print"/>
                    <a:srcRect/>
                    <a:stretch/>
                  </pic:blipFill>
                  <pic:spPr>
                    <a:xfrm>
                      <a:off x="0" y="0"/>
                      <a:ext cx="5485159" cy="3094892"/>
                    </a:xfrm>
                    <a:prstGeom prst="rect">
                      <a:avLst/>
                    </a:prstGeom>
                    <a:ln>
                      <a:noFill/>
                    </a:ln>
                  </pic:spPr>
                </pic:pic>
              </a:graphicData>
            </a:graphic>
          </wp:inline>
        </w:drawing>
      </w:r>
    </w:p>
    <w:p w:rsidR="00FA1AC4" w:rsidRDefault="00B11CCA">
      <w:pPr>
        <w:autoSpaceDE w:val="0"/>
        <w:autoSpaceDN w:val="0"/>
        <w:adjustRightInd w:val="0"/>
        <w:spacing w:after="240" w:line="240" w:lineRule="auto"/>
        <w:jc w:val="center"/>
        <w:rPr>
          <w:rFonts w:eastAsia="Calibri"/>
        </w:rPr>
      </w:pPr>
      <w:r>
        <w:rPr>
          <w:rFonts w:eastAsia="Calibri"/>
        </w:rPr>
        <w:t>Figure 4.13: Respondents’ Responses to Likert Item 11</w:t>
      </w:r>
    </w:p>
    <w:p w:rsidR="00FA1AC4" w:rsidRDefault="00B11CCA">
      <w:pPr>
        <w:spacing w:after="240" w:line="360" w:lineRule="auto"/>
        <w:jc w:val="center"/>
        <w:rPr>
          <w:color w:val="000000"/>
          <w:sz w:val="20"/>
          <w:szCs w:val="20"/>
        </w:rPr>
      </w:pPr>
      <w:r>
        <w:rPr>
          <w:color w:val="000000"/>
        </w:rPr>
        <w:t>Source</w:t>
      </w:r>
      <w:r>
        <w:rPr>
          <w:color w:val="000000"/>
          <w:sz w:val="20"/>
          <w:szCs w:val="20"/>
        </w:rPr>
        <w:t xml:space="preserve">: </w:t>
      </w:r>
      <w:r>
        <w:rPr>
          <w:rFonts w:eastAsia="Calibri"/>
        </w:rPr>
        <w:t>Author’s Computation, (2022)</w:t>
      </w:r>
    </w:p>
    <w:p w:rsidR="00FA1AC4" w:rsidRDefault="00B11CCA">
      <w:pPr>
        <w:autoSpaceDE w:val="0"/>
        <w:autoSpaceDN w:val="0"/>
        <w:adjustRightInd w:val="0"/>
        <w:spacing w:after="240"/>
        <w:rPr>
          <w:rFonts w:eastAsia="Calibri"/>
          <w:bCs/>
          <w:iCs/>
        </w:rPr>
      </w:pPr>
      <w:r>
        <w:rPr>
          <w:rFonts w:eastAsia="Calibri"/>
          <w:bCs/>
          <w:iCs/>
        </w:rPr>
        <w:t xml:space="preserve">Likert Item 12: All employees must understand how their activities affect the company’s internal control. </w:t>
      </w:r>
      <w:r>
        <w:rPr>
          <w:rFonts w:eastAsia="Calibri"/>
        </w:rPr>
        <w:t>According to the survey's statement 12, which is depicted in Figure 4.14, 89% of the respondents strongly agreed that "all employees must understand how their actions affect the company's internal control of the service firms," while just 11% disagreed. All respondents (89%, 11%) affirm that every employee needs to be aware of how their actions affect the company's internal control of service firms.</w:t>
      </w:r>
    </w:p>
    <w:p w:rsidR="00FA1AC4" w:rsidRDefault="00FA1AC4">
      <w:pPr>
        <w:autoSpaceDE w:val="0"/>
        <w:autoSpaceDN w:val="0"/>
        <w:adjustRightInd w:val="0"/>
        <w:rPr>
          <w:rFonts w:eastAsia="Calibri"/>
        </w:rPr>
      </w:pPr>
    </w:p>
    <w:p w:rsidR="00FA1AC4" w:rsidRDefault="00B11CCA">
      <w:pPr>
        <w:autoSpaceDE w:val="0"/>
        <w:autoSpaceDN w:val="0"/>
        <w:adjustRightInd w:val="0"/>
        <w:rPr>
          <w:rFonts w:eastAsia="Calibri"/>
          <w:b/>
          <w:bCs/>
          <w:i/>
          <w:iCs/>
        </w:rPr>
      </w:pPr>
      <w:r>
        <w:rPr>
          <w:rFonts w:eastAsia="Calibri"/>
        </w:rPr>
        <w:lastRenderedPageBreak/>
        <w:t>Table 4.16: Respondents’ Responses to Likert Item 12</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5"/>
        <w:gridCol w:w="1623"/>
        <w:gridCol w:w="1165"/>
        <w:gridCol w:w="1075"/>
        <w:gridCol w:w="1075"/>
        <w:gridCol w:w="986"/>
        <w:gridCol w:w="851"/>
      </w:tblGrid>
      <w:tr w:rsidR="00FA1AC4">
        <w:trPr>
          <w:trHeight w:val="323"/>
          <w:jc w:val="center"/>
        </w:trPr>
        <w:tc>
          <w:tcPr>
            <w:tcW w:w="1725"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STATEMENT</w:t>
            </w:r>
          </w:p>
        </w:tc>
        <w:tc>
          <w:tcPr>
            <w:tcW w:w="1623"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SA</w:t>
            </w:r>
          </w:p>
        </w:tc>
        <w:tc>
          <w:tcPr>
            <w:tcW w:w="1165"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A</w:t>
            </w:r>
          </w:p>
        </w:tc>
        <w:tc>
          <w:tcPr>
            <w:tcW w:w="1075"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NV</w:t>
            </w:r>
          </w:p>
        </w:tc>
        <w:tc>
          <w:tcPr>
            <w:tcW w:w="1075"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D</w:t>
            </w:r>
          </w:p>
        </w:tc>
        <w:tc>
          <w:tcPr>
            <w:tcW w:w="986"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SD</w:t>
            </w:r>
          </w:p>
        </w:tc>
        <w:tc>
          <w:tcPr>
            <w:tcW w:w="851" w:type="dxa"/>
            <w:tcBorders>
              <w:top w:val="single" w:sz="4" w:space="0" w:color="auto"/>
              <w:left w:val="single" w:sz="4" w:space="0" w:color="auto"/>
              <w:bottom w:val="single" w:sz="4" w:space="0" w:color="auto"/>
            </w:tcBorders>
          </w:tcPr>
          <w:p w:rsidR="00FA1AC4" w:rsidRDefault="00B11CCA">
            <w:pPr>
              <w:autoSpaceDE w:val="0"/>
              <w:autoSpaceDN w:val="0"/>
              <w:adjustRightInd w:val="0"/>
              <w:spacing w:line="360" w:lineRule="auto"/>
              <w:jc w:val="center"/>
              <w:rPr>
                <w:rFonts w:eastAsia="Calibri"/>
                <w:b/>
                <w:bCs/>
              </w:rPr>
            </w:pPr>
            <w:r>
              <w:rPr>
                <w:rFonts w:eastAsia="Calibri"/>
                <w:b/>
                <w:bCs/>
              </w:rPr>
              <w:t>%</w:t>
            </w:r>
          </w:p>
        </w:tc>
      </w:tr>
      <w:tr w:rsidR="00FA1AC4">
        <w:trPr>
          <w:jc w:val="center"/>
        </w:trPr>
        <w:tc>
          <w:tcPr>
            <w:tcW w:w="1725"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rPr>
            </w:pPr>
            <w:r>
              <w:rPr>
                <w:rFonts w:eastAsia="Calibri"/>
              </w:rPr>
              <w:t>12</w:t>
            </w:r>
          </w:p>
        </w:tc>
        <w:tc>
          <w:tcPr>
            <w:tcW w:w="1623"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89%</w:t>
            </w:r>
          </w:p>
        </w:tc>
        <w:tc>
          <w:tcPr>
            <w:tcW w:w="116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11%</w:t>
            </w:r>
          </w:p>
        </w:tc>
        <w:tc>
          <w:tcPr>
            <w:tcW w:w="107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0%</w:t>
            </w:r>
          </w:p>
        </w:tc>
        <w:tc>
          <w:tcPr>
            <w:tcW w:w="1075"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0%</w:t>
            </w:r>
          </w:p>
        </w:tc>
        <w:tc>
          <w:tcPr>
            <w:tcW w:w="986" w:type="dxa"/>
            <w:tcBorders>
              <w:top w:val="single" w:sz="4" w:space="0" w:color="auto"/>
              <w:left w:val="single" w:sz="4" w:space="0" w:color="auto"/>
              <w:bottom w:val="single" w:sz="4" w:space="0" w:color="auto"/>
              <w:right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0%</w:t>
            </w:r>
          </w:p>
        </w:tc>
        <w:tc>
          <w:tcPr>
            <w:tcW w:w="851" w:type="dxa"/>
            <w:tcBorders>
              <w:top w:val="single" w:sz="4" w:space="0" w:color="auto"/>
              <w:left w:val="single" w:sz="4" w:space="0" w:color="auto"/>
              <w:bottom w:val="single" w:sz="4" w:space="0" w:color="auto"/>
            </w:tcBorders>
            <w:vAlign w:val="bottom"/>
          </w:tcPr>
          <w:p w:rsidR="00FA1AC4" w:rsidRDefault="00B11CCA">
            <w:pPr>
              <w:autoSpaceDE w:val="0"/>
              <w:autoSpaceDN w:val="0"/>
              <w:adjustRightInd w:val="0"/>
              <w:spacing w:line="360" w:lineRule="auto"/>
              <w:jc w:val="center"/>
              <w:rPr>
                <w:rFonts w:eastAsia="Calibri"/>
              </w:rPr>
            </w:pPr>
            <w:r>
              <w:rPr>
                <w:rFonts w:eastAsia="Calibri"/>
              </w:rPr>
              <w:t>100%</w:t>
            </w:r>
          </w:p>
        </w:tc>
      </w:tr>
    </w:tbl>
    <w:p w:rsidR="00FA1AC4" w:rsidRDefault="00FA1AC4">
      <w:pPr>
        <w:autoSpaceDE w:val="0"/>
        <w:autoSpaceDN w:val="0"/>
        <w:adjustRightInd w:val="0"/>
        <w:jc w:val="center"/>
        <w:rPr>
          <w:rFonts w:ascii="Calibri" w:eastAsia="Calibri" w:hAnsi="Calibri" w:cs="Calibri"/>
          <w:noProof/>
          <w:sz w:val="22"/>
          <w:szCs w:val="22"/>
          <w:lang w:val="en-US"/>
        </w:rPr>
      </w:pPr>
    </w:p>
    <w:p w:rsidR="00FA1AC4" w:rsidRDefault="00B11CCA">
      <w:pPr>
        <w:autoSpaceDE w:val="0"/>
        <w:autoSpaceDN w:val="0"/>
        <w:adjustRightInd w:val="0"/>
        <w:jc w:val="center"/>
        <w:rPr>
          <w:rFonts w:eastAsia="Calibri"/>
        </w:rPr>
      </w:pPr>
      <w:r>
        <w:rPr>
          <w:rFonts w:ascii="Calibri" w:eastAsia="Calibri" w:hAnsi="Calibri" w:cs="Calibri"/>
          <w:noProof/>
          <w:sz w:val="22"/>
          <w:szCs w:val="22"/>
          <w:lang w:val="en-US"/>
        </w:rPr>
        <w:drawing>
          <wp:inline distT="0" distB="0" distL="0" distR="0">
            <wp:extent cx="4642338" cy="2735624"/>
            <wp:effectExtent l="0" t="0" r="6350" b="7620"/>
            <wp:docPr id="1080" name="Picture 4"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23" cstate="print"/>
                    <a:srcRect/>
                    <a:stretch/>
                  </pic:blipFill>
                  <pic:spPr>
                    <a:xfrm>
                      <a:off x="0" y="0"/>
                      <a:ext cx="4642338" cy="2735624"/>
                    </a:xfrm>
                    <a:prstGeom prst="rect">
                      <a:avLst/>
                    </a:prstGeom>
                    <a:ln>
                      <a:noFill/>
                    </a:ln>
                  </pic:spPr>
                </pic:pic>
              </a:graphicData>
            </a:graphic>
          </wp:inline>
        </w:drawing>
      </w:r>
    </w:p>
    <w:p w:rsidR="00FA1AC4" w:rsidRDefault="00B11CCA">
      <w:pPr>
        <w:autoSpaceDE w:val="0"/>
        <w:autoSpaceDN w:val="0"/>
        <w:adjustRightInd w:val="0"/>
        <w:spacing w:after="240" w:line="240" w:lineRule="auto"/>
        <w:jc w:val="center"/>
        <w:rPr>
          <w:rFonts w:eastAsia="Calibri"/>
        </w:rPr>
      </w:pPr>
      <w:r>
        <w:rPr>
          <w:rFonts w:eastAsia="Calibri"/>
          <w:bCs/>
          <w:iCs/>
        </w:rPr>
        <w:t xml:space="preserve">Figure </w:t>
      </w:r>
      <w:r>
        <w:rPr>
          <w:rFonts w:eastAsia="Calibri"/>
        </w:rPr>
        <w:t>4.14: Respondents’ Responses to Likert Item 12</w:t>
      </w:r>
    </w:p>
    <w:p w:rsidR="00FA1AC4" w:rsidRDefault="00B11CCA">
      <w:pPr>
        <w:spacing w:after="240" w:line="360" w:lineRule="auto"/>
        <w:jc w:val="center"/>
        <w:rPr>
          <w:rFonts w:eastAsia="Calibri"/>
        </w:rPr>
      </w:pPr>
      <w:r>
        <w:rPr>
          <w:color w:val="000000"/>
        </w:rPr>
        <w:t>Source</w:t>
      </w:r>
      <w:r>
        <w:rPr>
          <w:color w:val="000000"/>
          <w:sz w:val="20"/>
          <w:szCs w:val="20"/>
        </w:rPr>
        <w:t xml:space="preserve">: </w:t>
      </w:r>
      <w:r>
        <w:rPr>
          <w:rFonts w:eastAsia="Calibri"/>
        </w:rPr>
        <w:t>Author’s Computation, (2022)</w:t>
      </w:r>
    </w:p>
    <w:p w:rsidR="00FA1AC4" w:rsidRDefault="00B11CCA">
      <w:pPr>
        <w:spacing w:after="160" w:line="259" w:lineRule="auto"/>
        <w:jc w:val="left"/>
        <w:rPr>
          <w:rFonts w:eastAsia="Calibri"/>
        </w:rPr>
      </w:pPr>
      <w:r>
        <w:rPr>
          <w:rFonts w:eastAsia="Calibri"/>
        </w:rPr>
        <w:br w:type="page"/>
      </w:r>
    </w:p>
    <w:p w:rsidR="00FA1AC4" w:rsidRDefault="00B11CCA">
      <w:pPr>
        <w:pStyle w:val="Heading2"/>
        <w:numPr>
          <w:ilvl w:val="1"/>
          <w:numId w:val="8"/>
        </w:numPr>
        <w:rPr>
          <w:rFonts w:eastAsia="Calibri"/>
        </w:rPr>
      </w:pPr>
      <w:bookmarkStart w:id="70" w:name="_Toc112342387"/>
      <w:r>
        <w:rPr>
          <w:rFonts w:eastAsia="Calibri"/>
        </w:rPr>
        <w:lastRenderedPageBreak/>
        <w:t>Model Summary</w:t>
      </w:r>
      <w:bookmarkEnd w:id="70"/>
    </w:p>
    <w:p w:rsidR="00FA1AC4" w:rsidRDefault="00B11CCA">
      <w:pPr>
        <w:autoSpaceDE w:val="0"/>
        <w:autoSpaceDN w:val="0"/>
        <w:adjustRightInd w:val="0"/>
        <w:spacing w:after="240"/>
        <w:rPr>
          <w:rFonts w:eastAsia="Calibri"/>
        </w:rPr>
      </w:pPr>
      <w:r>
        <w:rPr>
          <w:rFonts w:eastAsia="Calibri"/>
        </w:rPr>
        <w:t>Table 4.17 provides evidence that the modified coefficient of multiple determination of 0.444 indicates that changes in the predictor variables (ACS, ACFM, ACC, ACM, FAGE and FSIZE) account for around 45 percent of the overall variance observed in the predicted variable (EFR). The F-ratio of 22.241 is significant with 0.000 probability, indicating that the model specification is suitable. The study's predictor variable, which in this case is audit committee characteristics of listed service firms in Nigeria, was found to be a major influencer of the predicted variable.</w:t>
      </w:r>
    </w:p>
    <w:p w:rsidR="00FA1AC4" w:rsidRDefault="00FA1AC4">
      <w:pPr>
        <w:autoSpaceDE w:val="0"/>
        <w:autoSpaceDN w:val="0"/>
        <w:adjustRightInd w:val="0"/>
        <w:spacing w:line="276" w:lineRule="auto"/>
        <w:rPr>
          <w:rFonts w:eastAsia="Calibri"/>
          <w:iCs/>
        </w:rPr>
      </w:pPr>
    </w:p>
    <w:p w:rsidR="00FA1AC4" w:rsidRDefault="00B11CCA">
      <w:pPr>
        <w:autoSpaceDE w:val="0"/>
        <w:autoSpaceDN w:val="0"/>
        <w:adjustRightInd w:val="0"/>
        <w:spacing w:line="276" w:lineRule="auto"/>
        <w:rPr>
          <w:rFonts w:eastAsia="Calibri"/>
          <w:iCs/>
        </w:rPr>
      </w:pPr>
      <w:r>
        <w:rPr>
          <w:rFonts w:eastAsia="Calibri"/>
          <w:iCs/>
        </w:rPr>
        <w:t>Table 4.17: Model Summary I</w:t>
      </w:r>
    </w:p>
    <w:tbl>
      <w:tblPr>
        <w:tblStyle w:val="PlainTable21"/>
        <w:tblW w:w="0" w:type="auto"/>
        <w:tblLayout w:type="fixed"/>
        <w:tblLook w:val="06A0" w:firstRow="1" w:lastRow="0" w:firstColumn="1" w:lastColumn="0" w:noHBand="1" w:noVBand="1"/>
      </w:tblPr>
      <w:tblGrid>
        <w:gridCol w:w="1980"/>
        <w:gridCol w:w="1890"/>
        <w:gridCol w:w="1890"/>
        <w:gridCol w:w="1144"/>
        <w:gridCol w:w="1726"/>
      </w:tblGrid>
      <w:tr w:rsidR="00FA1AC4" w:rsidTr="00FA1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rPr>
                <w:rFonts w:eastAsia="Calibri"/>
                <w:iCs/>
              </w:rPr>
            </w:pPr>
            <w:r>
              <w:rPr>
                <w:rFonts w:eastAsia="Calibri"/>
                <w:b w:val="0"/>
                <w:iCs/>
              </w:rPr>
              <w:t>Model</w:t>
            </w:r>
          </w:p>
        </w:tc>
        <w:tc>
          <w:tcPr>
            <w:tcW w:w="1890" w:type="dxa"/>
          </w:tcPr>
          <w:p w:rsidR="00FA1AC4" w:rsidRDefault="00B11CCA">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eastAsia="Calibri"/>
                <w:iCs/>
              </w:rPr>
            </w:pPr>
            <w:r>
              <w:rPr>
                <w:b w:val="0"/>
              </w:rPr>
              <w:t>Unstandardized Coefficient B</w:t>
            </w:r>
          </w:p>
        </w:tc>
        <w:tc>
          <w:tcPr>
            <w:tcW w:w="1890" w:type="dxa"/>
          </w:tcPr>
          <w:p w:rsidR="00FA1AC4" w:rsidRDefault="00B11CCA">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eastAsia="Calibri"/>
                <w:iCs/>
              </w:rPr>
            </w:pPr>
            <w:r>
              <w:rPr>
                <w:b w:val="0"/>
              </w:rPr>
              <w:t>Standardized Coefficient Beta</w:t>
            </w:r>
          </w:p>
        </w:tc>
        <w:tc>
          <w:tcPr>
            <w:tcW w:w="1144" w:type="dxa"/>
          </w:tcPr>
          <w:p w:rsidR="00FA1AC4" w:rsidRDefault="00B11CCA">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eastAsia="Calibri"/>
                <w:iCs/>
              </w:rPr>
            </w:pPr>
            <w:r>
              <w:rPr>
                <w:b w:val="0"/>
              </w:rPr>
              <w:t>t</w:t>
            </w:r>
          </w:p>
        </w:tc>
        <w:tc>
          <w:tcPr>
            <w:tcW w:w="1726" w:type="dxa"/>
          </w:tcPr>
          <w:p w:rsidR="00FA1AC4" w:rsidRDefault="00B11CCA">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eastAsia="Calibri"/>
                <w:iCs/>
              </w:rPr>
            </w:pPr>
            <w:r>
              <w:rPr>
                <w:b w:val="0"/>
              </w:rPr>
              <w:t>Sig</w:t>
            </w: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rPr>
                <w:rFonts w:eastAsia="Calibri"/>
                <w:iCs/>
              </w:rPr>
            </w:pPr>
            <w:r>
              <w:rPr>
                <w:b w:val="0"/>
              </w:rPr>
              <w:t>Constant</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3.555</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w:t>
            </w:r>
          </w:p>
        </w:tc>
        <w:tc>
          <w:tcPr>
            <w:tcW w:w="1144"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11.449</w:t>
            </w:r>
          </w:p>
        </w:tc>
        <w:tc>
          <w:tcPr>
            <w:tcW w:w="1726"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0.000</w:t>
            </w: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rPr>
                <w:rFonts w:eastAsia="Calibri"/>
                <w:iCs/>
              </w:rPr>
            </w:pPr>
            <w:r>
              <w:rPr>
                <w:b w:val="0"/>
              </w:rPr>
              <w:t>ACS</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-0.066</w:t>
            </w:r>
            <w:r>
              <w:rPr>
                <w:vertAlign w:val="superscript"/>
              </w:rPr>
              <w:t>**</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0.086</w:t>
            </w:r>
          </w:p>
        </w:tc>
        <w:tc>
          <w:tcPr>
            <w:tcW w:w="1144"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1.953</w:t>
            </w:r>
          </w:p>
        </w:tc>
        <w:tc>
          <w:tcPr>
            <w:tcW w:w="1726"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0.051</w:t>
            </w: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rPr>
                <w:rFonts w:eastAsia="Calibri"/>
                <w:iCs/>
              </w:rPr>
            </w:pPr>
            <w:r>
              <w:rPr>
                <w:b w:val="0"/>
              </w:rPr>
              <w:t>ACFM</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0.050</w:t>
            </w:r>
            <w:r>
              <w:rPr>
                <w:vertAlign w:val="superscript"/>
              </w:rPr>
              <w:t>**</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0.099</w:t>
            </w:r>
          </w:p>
        </w:tc>
        <w:tc>
          <w:tcPr>
            <w:tcW w:w="1144"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2.017</w:t>
            </w:r>
          </w:p>
        </w:tc>
        <w:tc>
          <w:tcPr>
            <w:tcW w:w="1726"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0.044</w:t>
            </w: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pPr>
            <w:r>
              <w:rPr>
                <w:b w:val="0"/>
              </w:rPr>
              <w:t>ACC</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-0.024</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-0.039</w:t>
            </w:r>
          </w:p>
        </w:tc>
        <w:tc>
          <w:tcPr>
            <w:tcW w:w="1144"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-0.778</w:t>
            </w:r>
          </w:p>
        </w:tc>
        <w:tc>
          <w:tcPr>
            <w:tcW w:w="1726"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0.437</w:t>
            </w: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pPr>
            <w:r>
              <w:rPr>
                <w:b w:val="0"/>
              </w:rPr>
              <w:t>ACM</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-0.001</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-0.015</w:t>
            </w:r>
          </w:p>
        </w:tc>
        <w:tc>
          <w:tcPr>
            <w:tcW w:w="1144"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-0.375</w:t>
            </w:r>
          </w:p>
        </w:tc>
        <w:tc>
          <w:tcPr>
            <w:tcW w:w="1726"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0.708</w:t>
            </w: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pPr>
            <w:r>
              <w:rPr>
                <w:b w:val="0"/>
              </w:rPr>
              <w:t>FAGE</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-0.005</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-0.108</w:t>
            </w:r>
          </w:p>
        </w:tc>
        <w:tc>
          <w:tcPr>
            <w:tcW w:w="1144"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-2.731</w:t>
            </w:r>
          </w:p>
        </w:tc>
        <w:tc>
          <w:tcPr>
            <w:tcW w:w="1726"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0.007</w:t>
            </w: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pPr>
            <w:r>
              <w:rPr>
                <w:b w:val="0"/>
              </w:rPr>
              <w:t>FSIZE</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0.409</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0.399</w:t>
            </w:r>
          </w:p>
        </w:tc>
        <w:tc>
          <w:tcPr>
            <w:tcW w:w="1144"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9.895</w:t>
            </w:r>
          </w:p>
        </w:tc>
        <w:tc>
          <w:tcPr>
            <w:tcW w:w="1726"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0.000</w:t>
            </w: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pPr>
            <w:r>
              <w:rPr>
                <w:b w:val="0"/>
              </w:rPr>
              <w:t>R</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0.444</w:t>
            </w:r>
          </w:p>
        </w:tc>
        <w:tc>
          <w:tcPr>
            <w:tcW w:w="1890"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144"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726"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pPr>
            <w:r>
              <w:rPr>
                <w:b w:val="0"/>
              </w:rPr>
              <w:t>R</w:t>
            </w:r>
            <w:r>
              <w:rPr>
                <w:b w:val="0"/>
                <w:vertAlign w:val="superscript"/>
              </w:rPr>
              <w:t>2</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0.197</w:t>
            </w:r>
          </w:p>
        </w:tc>
        <w:tc>
          <w:tcPr>
            <w:tcW w:w="1890"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144"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726"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pPr>
            <w:r>
              <w:rPr>
                <w:b w:val="0"/>
              </w:rPr>
              <w:t>Adjusted R</w:t>
            </w:r>
            <w:r>
              <w:rPr>
                <w:b w:val="0"/>
                <w:vertAlign w:val="superscript"/>
              </w:rPr>
              <w:t>2</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0.188</w:t>
            </w:r>
          </w:p>
        </w:tc>
        <w:tc>
          <w:tcPr>
            <w:tcW w:w="1890"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144"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726"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pPr>
            <w:r>
              <w:rPr>
                <w:b w:val="0"/>
              </w:rPr>
              <w:t>F-ratio</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22.241</w:t>
            </w:r>
          </w:p>
        </w:tc>
        <w:tc>
          <w:tcPr>
            <w:tcW w:w="1890"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144"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726"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pPr>
            <w:r>
              <w:rPr>
                <w:b w:val="0"/>
              </w:rPr>
              <w:t>Prob. (F-statistic)</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0.000</w:t>
            </w:r>
          </w:p>
        </w:tc>
        <w:tc>
          <w:tcPr>
            <w:tcW w:w="1890"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144"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726"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FA1AC4">
            <w:pPr>
              <w:autoSpaceDE w:val="0"/>
              <w:autoSpaceDN w:val="0"/>
              <w:adjustRightInd w:val="0"/>
              <w:spacing w:line="276" w:lineRule="auto"/>
            </w:pPr>
          </w:p>
        </w:tc>
        <w:tc>
          <w:tcPr>
            <w:tcW w:w="1890"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890"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144"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726"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r>
    </w:tbl>
    <w:p w:rsidR="00FA1AC4" w:rsidRDefault="00B11CCA">
      <w:pPr>
        <w:autoSpaceDE w:val="0"/>
        <w:autoSpaceDN w:val="0"/>
        <w:adjustRightInd w:val="0"/>
        <w:spacing w:line="276" w:lineRule="auto"/>
        <w:rPr>
          <w:rFonts w:eastAsia="Calibri"/>
          <w:i/>
          <w:iCs/>
        </w:rPr>
      </w:pPr>
      <w:r>
        <w:rPr>
          <w:rFonts w:eastAsia="Calibri"/>
          <w:i/>
          <w:iCs/>
        </w:rPr>
        <w:t xml:space="preserve"> Standard errors </w:t>
      </w:r>
      <w:r>
        <w:rPr>
          <w:rFonts w:eastAsia="Calibri"/>
          <w:i/>
          <w:iCs/>
          <w:vertAlign w:val="superscript"/>
        </w:rPr>
        <w:t>***</w:t>
      </w:r>
      <w:r>
        <w:rPr>
          <w:rFonts w:eastAsia="Calibri"/>
          <w:i/>
          <w:iCs/>
        </w:rPr>
        <w:t xml:space="preserve">p&lt;0.01, </w:t>
      </w:r>
      <w:r>
        <w:rPr>
          <w:rFonts w:eastAsia="Calibri"/>
          <w:i/>
          <w:iCs/>
          <w:vertAlign w:val="superscript"/>
        </w:rPr>
        <w:t>**</w:t>
      </w:r>
      <w:r>
        <w:rPr>
          <w:rFonts w:eastAsia="Calibri"/>
          <w:i/>
          <w:iCs/>
        </w:rPr>
        <w:t>p&lt;0.05, *p&lt;0.1.</w:t>
      </w:r>
    </w:p>
    <w:p w:rsidR="00FA1AC4" w:rsidRDefault="00B11CCA">
      <w:pPr>
        <w:autoSpaceDE w:val="0"/>
        <w:autoSpaceDN w:val="0"/>
        <w:adjustRightInd w:val="0"/>
        <w:spacing w:after="240"/>
        <w:rPr>
          <w:rFonts w:eastAsia="Calibri"/>
        </w:rPr>
      </w:pPr>
      <w:r>
        <w:rPr>
          <w:rFonts w:eastAsia="Calibri"/>
          <w:i/>
          <w:iCs/>
        </w:rPr>
        <w:t xml:space="preserve">Source: </w:t>
      </w:r>
      <w:r>
        <w:rPr>
          <w:rFonts w:eastAsia="Calibri"/>
        </w:rPr>
        <w:t>Author’s Computation, (2022)</w:t>
      </w:r>
    </w:p>
    <w:p w:rsidR="00FA1AC4" w:rsidRDefault="00B11CCA">
      <w:pPr>
        <w:autoSpaceDE w:val="0"/>
        <w:autoSpaceDN w:val="0"/>
        <w:adjustRightInd w:val="0"/>
        <w:spacing w:after="240"/>
        <w:rPr>
          <w:rFonts w:eastAsia="Calibri"/>
        </w:rPr>
      </w:pPr>
      <w:r>
        <w:rPr>
          <w:rFonts w:eastAsia="Calibri"/>
        </w:rPr>
        <w:t xml:space="preserve">Table 4.18 provides evidence that the modified coefficient of multiple determination of 0.298 indicates that changes in the predictor variables (COTA, RIAS, MOTA and INFOC) </w:t>
      </w:r>
      <w:r>
        <w:rPr>
          <w:rFonts w:eastAsia="Calibri"/>
        </w:rPr>
        <w:lastRenderedPageBreak/>
        <w:t>account for around 30 percent of the overall variance observed in the predicted variable (EFR). The F-ratio of 7.461 is significant with 0.000 probability, indicating that the model specification is suitable. The study's predictor variable, which in this case is effective financial reporting by listed service firms in Nigeria, was found to be a major influencer of the predicted variable.</w:t>
      </w:r>
    </w:p>
    <w:p w:rsidR="00FA1AC4" w:rsidRDefault="00B11CCA">
      <w:pPr>
        <w:autoSpaceDE w:val="0"/>
        <w:autoSpaceDN w:val="0"/>
        <w:adjustRightInd w:val="0"/>
        <w:spacing w:line="276" w:lineRule="auto"/>
        <w:rPr>
          <w:rFonts w:eastAsia="Calibri"/>
          <w:iCs/>
        </w:rPr>
      </w:pPr>
      <w:r>
        <w:rPr>
          <w:rFonts w:eastAsia="Calibri"/>
          <w:iCs/>
        </w:rPr>
        <w:t>Table 4.18: Model Summary 2</w:t>
      </w:r>
    </w:p>
    <w:tbl>
      <w:tblPr>
        <w:tblStyle w:val="PlainTable21"/>
        <w:tblW w:w="0" w:type="auto"/>
        <w:tblLayout w:type="fixed"/>
        <w:tblLook w:val="06A0" w:firstRow="1" w:lastRow="0" w:firstColumn="1" w:lastColumn="0" w:noHBand="1" w:noVBand="1"/>
      </w:tblPr>
      <w:tblGrid>
        <w:gridCol w:w="1980"/>
        <w:gridCol w:w="1890"/>
        <w:gridCol w:w="1890"/>
        <w:gridCol w:w="1144"/>
        <w:gridCol w:w="1726"/>
      </w:tblGrid>
      <w:tr w:rsidR="00FA1AC4" w:rsidTr="00FA1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rPr>
                <w:rFonts w:eastAsia="Calibri"/>
                <w:iCs/>
              </w:rPr>
            </w:pPr>
            <w:r>
              <w:rPr>
                <w:rFonts w:eastAsia="Calibri"/>
                <w:b w:val="0"/>
                <w:iCs/>
              </w:rPr>
              <w:t>Model</w:t>
            </w:r>
          </w:p>
        </w:tc>
        <w:tc>
          <w:tcPr>
            <w:tcW w:w="1890" w:type="dxa"/>
          </w:tcPr>
          <w:p w:rsidR="00FA1AC4" w:rsidRDefault="00B11CCA">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eastAsia="Calibri"/>
                <w:iCs/>
              </w:rPr>
            </w:pPr>
            <w:r>
              <w:rPr>
                <w:b w:val="0"/>
              </w:rPr>
              <w:t>Unstandardized Coefficient B</w:t>
            </w:r>
          </w:p>
        </w:tc>
        <w:tc>
          <w:tcPr>
            <w:tcW w:w="1890" w:type="dxa"/>
          </w:tcPr>
          <w:p w:rsidR="00FA1AC4" w:rsidRDefault="00B11CCA">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eastAsia="Calibri"/>
                <w:iCs/>
              </w:rPr>
            </w:pPr>
            <w:r>
              <w:rPr>
                <w:b w:val="0"/>
              </w:rPr>
              <w:t>Standardized Coefficient Beta</w:t>
            </w:r>
          </w:p>
        </w:tc>
        <w:tc>
          <w:tcPr>
            <w:tcW w:w="1144" w:type="dxa"/>
          </w:tcPr>
          <w:p w:rsidR="00FA1AC4" w:rsidRDefault="00B11CCA">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eastAsia="Calibri"/>
                <w:iCs/>
              </w:rPr>
            </w:pPr>
            <w:r>
              <w:rPr>
                <w:b w:val="0"/>
              </w:rPr>
              <w:t>t</w:t>
            </w:r>
          </w:p>
        </w:tc>
        <w:tc>
          <w:tcPr>
            <w:tcW w:w="1726" w:type="dxa"/>
          </w:tcPr>
          <w:p w:rsidR="00FA1AC4" w:rsidRDefault="00B11CCA">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eastAsia="Calibri"/>
                <w:iCs/>
              </w:rPr>
            </w:pPr>
            <w:r>
              <w:rPr>
                <w:b w:val="0"/>
              </w:rPr>
              <w:t>Sig</w:t>
            </w: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rPr>
                <w:rFonts w:eastAsia="Calibri"/>
                <w:iCs/>
              </w:rPr>
            </w:pPr>
            <w:r>
              <w:rPr>
                <w:b w:val="0"/>
              </w:rPr>
              <w:t>Constant</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9.402</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w:t>
            </w:r>
          </w:p>
        </w:tc>
        <w:tc>
          <w:tcPr>
            <w:tcW w:w="1144"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8.907</w:t>
            </w:r>
          </w:p>
        </w:tc>
        <w:tc>
          <w:tcPr>
            <w:tcW w:w="1726"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0.000</w:t>
            </w: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rPr>
                <w:rFonts w:eastAsia="Calibri"/>
                <w:iCs/>
              </w:rPr>
            </w:pPr>
            <w:r>
              <w:rPr>
                <w:b w:val="0"/>
              </w:rPr>
              <w:t>COTA</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-0.488</w:t>
            </w:r>
            <w:r>
              <w:rPr>
                <w:vertAlign w:val="superscript"/>
              </w:rPr>
              <w:t>**</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-0.167</w:t>
            </w:r>
          </w:p>
        </w:tc>
        <w:tc>
          <w:tcPr>
            <w:tcW w:w="1144"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-2.368</w:t>
            </w:r>
          </w:p>
        </w:tc>
        <w:tc>
          <w:tcPr>
            <w:tcW w:w="1726"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0.019</w:t>
            </w: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rPr>
                <w:rFonts w:eastAsia="Calibri"/>
                <w:iCs/>
              </w:rPr>
            </w:pPr>
            <w:r>
              <w:rPr>
                <w:b w:val="0"/>
              </w:rPr>
              <w:t>RIAS</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0.185</w:t>
            </w:r>
            <w:r>
              <w:rPr>
                <w:vertAlign w:val="superscript"/>
              </w:rPr>
              <w:t>**</w:t>
            </w:r>
            <w:r>
              <w:t xml:space="preserve"> </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0.162</w:t>
            </w:r>
          </w:p>
        </w:tc>
        <w:tc>
          <w:tcPr>
            <w:tcW w:w="1144"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2.296</w:t>
            </w:r>
          </w:p>
        </w:tc>
        <w:tc>
          <w:tcPr>
            <w:tcW w:w="1726"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0.023</w:t>
            </w: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rPr>
                <w:rFonts w:eastAsia="Calibri"/>
                <w:iCs/>
              </w:rPr>
            </w:pPr>
            <w:r>
              <w:rPr>
                <w:b w:val="0"/>
              </w:rPr>
              <w:t>MOTA</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-0.223</w:t>
            </w:r>
            <w:r>
              <w:rPr>
                <w:vertAlign w:val="superscript"/>
              </w:rPr>
              <w:t>**</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-0.184</w:t>
            </w:r>
          </w:p>
        </w:tc>
        <w:tc>
          <w:tcPr>
            <w:tcW w:w="1144"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-2.600</w:t>
            </w:r>
          </w:p>
        </w:tc>
        <w:tc>
          <w:tcPr>
            <w:tcW w:w="1726"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0.010</w:t>
            </w: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rPr>
                <w:rFonts w:eastAsia="Calibri"/>
                <w:iCs/>
              </w:rPr>
            </w:pPr>
            <w:r>
              <w:rPr>
                <w:b w:val="0"/>
              </w:rPr>
              <w:t>INFOC</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0.008</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0.009</w:t>
            </w:r>
          </w:p>
        </w:tc>
        <w:tc>
          <w:tcPr>
            <w:tcW w:w="1144"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0.124</w:t>
            </w:r>
          </w:p>
        </w:tc>
        <w:tc>
          <w:tcPr>
            <w:tcW w:w="1726"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0.901</w:t>
            </w: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pPr>
            <w:r>
              <w:rPr>
                <w:b w:val="0"/>
              </w:rPr>
              <w:t>R</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0.298</w:t>
            </w:r>
          </w:p>
        </w:tc>
        <w:tc>
          <w:tcPr>
            <w:tcW w:w="1890"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144"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726"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pPr>
            <w:r>
              <w:rPr>
                <w:b w:val="0"/>
              </w:rPr>
              <w:t>R</w:t>
            </w:r>
            <w:r>
              <w:rPr>
                <w:b w:val="0"/>
                <w:vertAlign w:val="superscript"/>
              </w:rPr>
              <w:t>2</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0.089</w:t>
            </w:r>
          </w:p>
        </w:tc>
        <w:tc>
          <w:tcPr>
            <w:tcW w:w="1890"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144"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726"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pPr>
            <w:r>
              <w:rPr>
                <w:b w:val="0"/>
              </w:rPr>
              <w:t>Adjusted R</w:t>
            </w:r>
            <w:r>
              <w:rPr>
                <w:b w:val="0"/>
                <w:vertAlign w:val="superscript"/>
              </w:rPr>
              <w:t>2</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0.069</w:t>
            </w:r>
          </w:p>
        </w:tc>
        <w:tc>
          <w:tcPr>
            <w:tcW w:w="1890"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144"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726"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pPr>
            <w:r>
              <w:rPr>
                <w:b w:val="0"/>
              </w:rPr>
              <w:t>Durbin Watson</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0.719</w:t>
            </w:r>
          </w:p>
        </w:tc>
        <w:tc>
          <w:tcPr>
            <w:tcW w:w="1890"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144"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726"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pPr>
            <w:r>
              <w:rPr>
                <w:b w:val="0"/>
              </w:rPr>
              <w:t>F-ratio</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4.469</w:t>
            </w:r>
          </w:p>
        </w:tc>
        <w:tc>
          <w:tcPr>
            <w:tcW w:w="1890"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144"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726"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B11CCA">
            <w:pPr>
              <w:autoSpaceDE w:val="0"/>
              <w:autoSpaceDN w:val="0"/>
              <w:adjustRightInd w:val="0"/>
              <w:spacing w:line="276" w:lineRule="auto"/>
            </w:pPr>
            <w:r>
              <w:rPr>
                <w:b w:val="0"/>
              </w:rPr>
              <w:t>Prob. (F-statistic)</w:t>
            </w:r>
          </w:p>
        </w:tc>
        <w:tc>
          <w:tcPr>
            <w:tcW w:w="1890" w:type="dxa"/>
          </w:tcPr>
          <w:p w:rsidR="00FA1AC4" w:rsidRDefault="00B11CC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r>
              <w:t>0.002</w:t>
            </w:r>
          </w:p>
        </w:tc>
        <w:tc>
          <w:tcPr>
            <w:tcW w:w="1890"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144"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726"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r>
      <w:tr w:rsidR="00FA1AC4" w:rsidTr="00FA1AC4">
        <w:tc>
          <w:tcPr>
            <w:cnfStyle w:val="001000000000" w:firstRow="0" w:lastRow="0" w:firstColumn="1" w:lastColumn="0" w:oddVBand="0" w:evenVBand="0" w:oddHBand="0" w:evenHBand="0" w:firstRowFirstColumn="0" w:firstRowLastColumn="0" w:lastRowFirstColumn="0" w:lastRowLastColumn="0"/>
            <w:tcW w:w="1980" w:type="dxa"/>
          </w:tcPr>
          <w:p w:rsidR="00FA1AC4" w:rsidRDefault="00FA1AC4">
            <w:pPr>
              <w:autoSpaceDE w:val="0"/>
              <w:autoSpaceDN w:val="0"/>
              <w:adjustRightInd w:val="0"/>
              <w:spacing w:line="276" w:lineRule="auto"/>
            </w:pPr>
          </w:p>
        </w:tc>
        <w:tc>
          <w:tcPr>
            <w:tcW w:w="1890"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890"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144"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c>
          <w:tcPr>
            <w:tcW w:w="1726" w:type="dxa"/>
          </w:tcPr>
          <w:p w:rsidR="00FA1AC4" w:rsidRDefault="00FA1AC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alibri"/>
                <w:iCs/>
              </w:rPr>
            </w:pPr>
          </w:p>
        </w:tc>
      </w:tr>
    </w:tbl>
    <w:p w:rsidR="00FA1AC4" w:rsidRDefault="00B11CCA">
      <w:pPr>
        <w:autoSpaceDE w:val="0"/>
        <w:autoSpaceDN w:val="0"/>
        <w:adjustRightInd w:val="0"/>
        <w:spacing w:line="276" w:lineRule="auto"/>
        <w:rPr>
          <w:rFonts w:eastAsia="Calibri"/>
          <w:i/>
          <w:iCs/>
        </w:rPr>
      </w:pPr>
      <w:r>
        <w:rPr>
          <w:rFonts w:eastAsia="Calibri"/>
          <w:i/>
          <w:iCs/>
        </w:rPr>
        <w:t xml:space="preserve"> Standard errors </w:t>
      </w:r>
      <w:r>
        <w:rPr>
          <w:rFonts w:eastAsia="Calibri"/>
          <w:i/>
          <w:iCs/>
          <w:vertAlign w:val="superscript"/>
        </w:rPr>
        <w:t>***</w:t>
      </w:r>
      <w:r>
        <w:rPr>
          <w:rFonts w:eastAsia="Calibri"/>
          <w:i/>
          <w:iCs/>
        </w:rPr>
        <w:t xml:space="preserve">p&lt;0.01, </w:t>
      </w:r>
      <w:r>
        <w:rPr>
          <w:rFonts w:eastAsia="Calibri"/>
          <w:i/>
          <w:iCs/>
          <w:vertAlign w:val="superscript"/>
        </w:rPr>
        <w:t>**</w:t>
      </w:r>
      <w:r>
        <w:rPr>
          <w:rFonts w:eastAsia="Calibri"/>
          <w:i/>
          <w:iCs/>
        </w:rPr>
        <w:t>p&lt;0.05, *p&lt;0.1.</w:t>
      </w:r>
    </w:p>
    <w:p w:rsidR="00FA1AC4" w:rsidRDefault="00B11CCA">
      <w:pPr>
        <w:autoSpaceDE w:val="0"/>
        <w:autoSpaceDN w:val="0"/>
        <w:adjustRightInd w:val="0"/>
        <w:spacing w:after="240"/>
        <w:rPr>
          <w:rFonts w:eastAsia="Calibri"/>
        </w:rPr>
      </w:pPr>
      <w:r>
        <w:rPr>
          <w:rFonts w:eastAsia="Calibri"/>
          <w:i/>
          <w:iCs/>
        </w:rPr>
        <w:t xml:space="preserve">Source: </w:t>
      </w:r>
      <w:r>
        <w:rPr>
          <w:rFonts w:eastAsia="Calibri"/>
        </w:rPr>
        <w:t>Author’s Computation, (2022)</w:t>
      </w:r>
    </w:p>
    <w:p w:rsidR="00FA1AC4" w:rsidRDefault="00B11CCA">
      <w:pPr>
        <w:pStyle w:val="Heading2"/>
        <w:numPr>
          <w:ilvl w:val="1"/>
          <w:numId w:val="8"/>
        </w:numPr>
        <w:rPr>
          <w:rFonts w:eastAsia="Calibri"/>
        </w:rPr>
      </w:pPr>
      <w:bookmarkStart w:id="71" w:name="_Toc112342388"/>
      <w:r>
        <w:rPr>
          <w:rFonts w:eastAsia="Calibri"/>
        </w:rPr>
        <w:t>Discussion of Results from the Annual Reports</w:t>
      </w:r>
      <w:bookmarkEnd w:id="71"/>
    </w:p>
    <w:p w:rsidR="00FA1AC4" w:rsidRDefault="00B11CCA">
      <w:pPr>
        <w:autoSpaceDE w:val="0"/>
        <w:autoSpaceDN w:val="0"/>
        <w:adjustRightInd w:val="0"/>
        <w:rPr>
          <w:rFonts w:eastAsia="Calibri"/>
        </w:rPr>
      </w:pPr>
      <w:r>
        <w:rPr>
          <w:rFonts w:eastAsia="Calibri"/>
        </w:rPr>
        <w:t xml:space="preserve">ACS in LEFR has a regression co-efficient value of 0.066. This indicates that ACS exercises about 7% influence on the tested variable (LEFR). Additionally, the variable is significant at 5%, suggesting that the variable ACS has a significant and favourable link with the quality financial reporting of listed service firms in Nigeria. The audit committee will become one unit larger, which will result in 7% increase in the EFR. This finding </w:t>
      </w:r>
      <w:r>
        <w:rPr>
          <w:rFonts w:eastAsia="Calibri"/>
        </w:rPr>
        <w:lastRenderedPageBreak/>
        <w:t xml:space="preserve">differs from that of Hasan </w:t>
      </w:r>
      <w:r>
        <w:rPr>
          <w:rFonts w:eastAsia="Calibri"/>
          <w:i/>
        </w:rPr>
        <w:t>et al</w:t>
      </w:r>
      <w:r>
        <w:rPr>
          <w:rFonts w:eastAsia="Calibri"/>
        </w:rPr>
        <w:t>. (2020), who discovered a negligible correlation between ACS and the calibre of financial reporting by listed trading firms on Bursa Malaysia between 2013 and 2018.</w:t>
      </w:r>
    </w:p>
    <w:p w:rsidR="00FA1AC4" w:rsidRDefault="00B11CCA">
      <w:pPr>
        <w:autoSpaceDE w:val="0"/>
        <w:autoSpaceDN w:val="0"/>
        <w:adjustRightInd w:val="0"/>
        <w:rPr>
          <w:rFonts w:eastAsia="Calibri"/>
        </w:rPr>
      </w:pPr>
      <w:r>
        <w:rPr>
          <w:rFonts w:eastAsia="Calibri"/>
        </w:rPr>
        <w:t>ACFM has a regression co-efficient value of 0.050 which implies that ACFM exercises 5% influence on the tested variable (LEFR) at 5% level of significance. The variable shows a favourable and substantial correlation with the Nigerian listed service companies' quality financial reporting. If there were one more female member of the audit committee, there would be a 50% rise in the EFR.</w:t>
      </w:r>
    </w:p>
    <w:p w:rsidR="00FA1AC4" w:rsidRDefault="00B11CCA">
      <w:pPr>
        <w:autoSpaceDE w:val="0"/>
        <w:autoSpaceDN w:val="0"/>
        <w:adjustRightInd w:val="0"/>
        <w:rPr>
          <w:rFonts w:eastAsia="Calibri"/>
        </w:rPr>
      </w:pPr>
      <w:r>
        <w:rPr>
          <w:rFonts w:eastAsia="Calibri"/>
        </w:rPr>
        <w:t>The regression co-efficient for FAGE is -0.005, meaning that it is significant at 5% and exerts an influence of roughly 1% on the tested variable (LEFR). The variable shows an unfavorable but substantial correlation with the Nigerian listed service companies' quality financial reporting. A unit increase in the age of the firms would leads to about 1% decrease in the EFR.</w:t>
      </w:r>
    </w:p>
    <w:p w:rsidR="00FA1AC4" w:rsidRDefault="00B11CCA">
      <w:pPr>
        <w:autoSpaceDE w:val="0"/>
        <w:autoSpaceDN w:val="0"/>
        <w:adjustRightInd w:val="0"/>
        <w:spacing w:after="240"/>
        <w:rPr>
          <w:rFonts w:eastAsia="Calibri"/>
        </w:rPr>
      </w:pPr>
      <w:r>
        <w:rPr>
          <w:rFonts w:eastAsia="Calibri"/>
        </w:rPr>
        <w:t>The regression co-efficient for FSIZE is 0.409, meaning that it exerts an influence of roughly 41%5 at a significance level of 1% on the tested variable (LEFR). The variable shows a favorable and substantial correlation with the Nigerian listed service companies' quality financial reporting. A unit increase in the size of the firms would leads to 0.409 increase in the EFR.</w:t>
      </w:r>
    </w:p>
    <w:p w:rsidR="00FA1AC4" w:rsidRDefault="00B11CCA">
      <w:pPr>
        <w:pStyle w:val="Heading3"/>
        <w:numPr>
          <w:ilvl w:val="2"/>
          <w:numId w:val="8"/>
        </w:numPr>
        <w:spacing w:line="480" w:lineRule="auto"/>
        <w:ind w:left="709"/>
        <w:rPr>
          <w:rStyle w:val="Heading3Char"/>
          <w:b/>
        </w:rPr>
      </w:pPr>
      <w:bookmarkStart w:id="72" w:name="_Toc112342389"/>
      <w:r>
        <w:rPr>
          <w:rStyle w:val="Heading3Char"/>
          <w:b/>
        </w:rPr>
        <w:t>Discussion of the Results of Survey Questionnaire Analysis</w:t>
      </w:r>
      <w:bookmarkEnd w:id="72"/>
      <w:r>
        <w:rPr>
          <w:rStyle w:val="Heading3Char"/>
          <w:b/>
        </w:rPr>
        <w:t xml:space="preserve"> </w:t>
      </w:r>
    </w:p>
    <w:p w:rsidR="00FA1AC4" w:rsidRDefault="00B11CCA">
      <w:pPr>
        <w:pStyle w:val="ListParagraph"/>
        <w:autoSpaceDE w:val="0"/>
        <w:autoSpaceDN w:val="0"/>
        <w:adjustRightInd w:val="0"/>
        <w:ind w:left="0"/>
        <w:rPr>
          <w:rFonts w:eastAsia="Calibri"/>
        </w:rPr>
      </w:pPr>
      <w:r>
        <w:rPr>
          <w:rFonts w:eastAsia="Calibri"/>
        </w:rPr>
        <w:t xml:space="preserve">The statistical evidence from Table 4.18 shows that the COTA has a regression co-efficient value of -0.488 which implies that COTA exercises about 49 influence on the tested variable (LEFR) at 5% level of significance. The link between the variable and quality </w:t>
      </w:r>
      <w:r>
        <w:rPr>
          <w:rFonts w:eastAsia="Calibri"/>
        </w:rPr>
        <w:lastRenderedPageBreak/>
        <w:t>financial reporting of Nigerian listed service companies is negative yet significant. A unit increase in the control activities of the internal control would lead to a decrease in the EFR by 49%. This finding is consistent with that made by Owolabi and Amosun (2020), who discovered that control actions had a statistically significant favourable impact on the accuracy of the financial reporting of the Nigerian insurance sector.</w:t>
      </w:r>
    </w:p>
    <w:p w:rsidR="00FA1AC4" w:rsidRDefault="00B11CCA">
      <w:pPr>
        <w:pStyle w:val="ListParagraph"/>
        <w:autoSpaceDE w:val="0"/>
        <w:autoSpaceDN w:val="0"/>
        <w:adjustRightInd w:val="0"/>
        <w:ind w:left="0"/>
        <w:rPr>
          <w:rFonts w:eastAsia="Calibri"/>
        </w:rPr>
      </w:pPr>
      <w:r>
        <w:rPr>
          <w:rFonts w:eastAsia="Calibri"/>
        </w:rPr>
        <w:t xml:space="preserve">MOTA has a regression co-efficient value of -0.223 which implies that MOTA exercises 22% influence on the tested variable (LEFR) with the significant at 5% level of significance. The factor is negatively but significantly related to the quality of financial reporting of Nigerian listed service companies. A unit increase in the monitoring activities of the internal control would lead to a decrease in the EFR by 22%. </w:t>
      </w:r>
    </w:p>
    <w:p w:rsidR="00FA1AC4" w:rsidRDefault="00B11CCA">
      <w:pPr>
        <w:pStyle w:val="ListParagraph"/>
        <w:autoSpaceDE w:val="0"/>
        <w:autoSpaceDN w:val="0"/>
        <w:adjustRightInd w:val="0"/>
        <w:spacing w:after="240"/>
        <w:ind w:left="0"/>
        <w:rPr>
          <w:rFonts w:eastAsia="Calibri"/>
        </w:rPr>
      </w:pPr>
      <w:r>
        <w:rPr>
          <w:rFonts w:eastAsia="Calibri"/>
        </w:rPr>
        <w:t xml:space="preserve">RIAS in LEFR has a regression co-efficient value of 0.185. This indicates that ACS exercises about 19% influence on the tested variable (LEFR). Additionally, the variable is significant at 5%, revealing that the variable RIAS has a significant and favourable link with the quality financial reporting of listed service firms in Nigeria. When risk assessment becomes one unit larger, it will result in a 19% increase in the EFR. </w:t>
      </w:r>
    </w:p>
    <w:p w:rsidR="00FA1AC4" w:rsidRDefault="00B11CCA">
      <w:pPr>
        <w:autoSpaceDE w:val="0"/>
        <w:autoSpaceDN w:val="0"/>
        <w:adjustRightInd w:val="0"/>
        <w:rPr>
          <w:rFonts w:eastAsia="Calibri"/>
        </w:rPr>
      </w:pPr>
      <w:r>
        <w:rPr>
          <w:rFonts w:eastAsia="Calibri"/>
        </w:rPr>
        <w:t xml:space="preserve">According to the main data survey questionnaire analysis results displayed in Figures 4.5 to 4.16, an efficient internal control system is essential to improving the company's financial performances. The findings of the firms' understudied stakeholders' groups indicate that the Audit Committee is crucial to the internal control of the enterprises. This is in line with the corporate governance regulation. </w:t>
      </w:r>
    </w:p>
    <w:p w:rsidR="00FA1AC4" w:rsidRDefault="00FA1AC4">
      <w:pPr>
        <w:autoSpaceDE w:val="0"/>
        <w:autoSpaceDN w:val="0"/>
        <w:adjustRightInd w:val="0"/>
        <w:rPr>
          <w:rFonts w:eastAsia="Calibri"/>
        </w:rPr>
      </w:pPr>
    </w:p>
    <w:p w:rsidR="00FA1AC4" w:rsidRDefault="00FA1AC4">
      <w:pPr>
        <w:autoSpaceDE w:val="0"/>
        <w:autoSpaceDN w:val="0"/>
        <w:adjustRightInd w:val="0"/>
        <w:rPr>
          <w:rFonts w:eastAsia="Calibri"/>
        </w:rPr>
      </w:pPr>
    </w:p>
    <w:p w:rsidR="00FA1AC4" w:rsidRDefault="00B11CCA">
      <w:pPr>
        <w:autoSpaceDE w:val="0"/>
        <w:autoSpaceDN w:val="0"/>
        <w:adjustRightInd w:val="0"/>
        <w:rPr>
          <w:rFonts w:eastAsia="Calibri"/>
        </w:rPr>
      </w:pPr>
      <w:r>
        <w:rPr>
          <w:rFonts w:eastAsia="Calibri"/>
        </w:rPr>
        <w:lastRenderedPageBreak/>
        <w:t>Some of the benefits of the audit committee supports to internal control are as follows:</w:t>
      </w:r>
    </w:p>
    <w:p w:rsidR="00FA1AC4" w:rsidRDefault="00B11CCA">
      <w:pPr>
        <w:pStyle w:val="ListParagraph"/>
        <w:numPr>
          <w:ilvl w:val="0"/>
          <w:numId w:val="11"/>
        </w:numPr>
        <w:autoSpaceDE w:val="0"/>
        <w:autoSpaceDN w:val="0"/>
        <w:adjustRightInd w:val="0"/>
        <w:rPr>
          <w:rFonts w:eastAsia="Calibri"/>
        </w:rPr>
      </w:pPr>
      <w:r>
        <w:rPr>
          <w:rFonts w:eastAsia="Calibri"/>
        </w:rPr>
        <w:t xml:space="preserve">There is an effective flow of authority in the company’s internal control system. </w:t>
      </w:r>
    </w:p>
    <w:p w:rsidR="00FA1AC4" w:rsidRDefault="00B11CCA">
      <w:pPr>
        <w:pStyle w:val="ListParagraph"/>
        <w:numPr>
          <w:ilvl w:val="0"/>
          <w:numId w:val="11"/>
        </w:numPr>
        <w:autoSpaceDE w:val="0"/>
        <w:autoSpaceDN w:val="0"/>
        <w:adjustRightInd w:val="0"/>
        <w:rPr>
          <w:rFonts w:eastAsia="Calibri"/>
        </w:rPr>
      </w:pPr>
      <w:r>
        <w:rPr>
          <w:rFonts w:eastAsia="Calibri"/>
        </w:rPr>
        <w:t xml:space="preserve">An effective internal control promotes effectiveness in financial report for service firms. </w:t>
      </w:r>
    </w:p>
    <w:p w:rsidR="00FA1AC4" w:rsidRDefault="00B11CCA">
      <w:pPr>
        <w:pStyle w:val="ListParagraph"/>
        <w:numPr>
          <w:ilvl w:val="0"/>
          <w:numId w:val="11"/>
        </w:numPr>
        <w:autoSpaceDE w:val="0"/>
        <w:autoSpaceDN w:val="0"/>
        <w:adjustRightInd w:val="0"/>
        <w:rPr>
          <w:rFonts w:eastAsia="Calibri"/>
        </w:rPr>
      </w:pPr>
      <w:r>
        <w:rPr>
          <w:rFonts w:eastAsia="Calibri"/>
        </w:rPr>
        <w:t xml:space="preserve">Audit committee support effective internal control system in service firms. </w:t>
      </w:r>
    </w:p>
    <w:p w:rsidR="00FA1AC4" w:rsidRDefault="00B11CCA">
      <w:pPr>
        <w:pStyle w:val="ListParagraph"/>
        <w:numPr>
          <w:ilvl w:val="0"/>
          <w:numId w:val="11"/>
        </w:numPr>
        <w:autoSpaceDE w:val="0"/>
        <w:autoSpaceDN w:val="0"/>
        <w:adjustRightInd w:val="0"/>
        <w:rPr>
          <w:rFonts w:eastAsia="Calibri"/>
        </w:rPr>
      </w:pPr>
      <w:r>
        <w:rPr>
          <w:rFonts w:eastAsia="Calibri"/>
        </w:rPr>
        <w:t xml:space="preserve">Good corporate governance system leads to effective financial report. </w:t>
      </w:r>
    </w:p>
    <w:p w:rsidR="00FA1AC4" w:rsidRDefault="00B11CCA">
      <w:pPr>
        <w:pStyle w:val="ListParagraph"/>
        <w:numPr>
          <w:ilvl w:val="0"/>
          <w:numId w:val="11"/>
        </w:numPr>
        <w:autoSpaceDE w:val="0"/>
        <w:autoSpaceDN w:val="0"/>
        <w:adjustRightInd w:val="0"/>
        <w:rPr>
          <w:rFonts w:eastAsia="Calibri"/>
        </w:rPr>
      </w:pPr>
      <w:r>
        <w:rPr>
          <w:rFonts w:eastAsia="Calibri"/>
        </w:rPr>
        <w:t>Audit committee helps in reducing both financial and business risk because of lack of effective internal control.</w:t>
      </w:r>
    </w:p>
    <w:p w:rsidR="00FA1AC4" w:rsidRDefault="00B11CCA">
      <w:pPr>
        <w:pStyle w:val="ListParagraph"/>
        <w:numPr>
          <w:ilvl w:val="0"/>
          <w:numId w:val="11"/>
        </w:numPr>
        <w:autoSpaceDE w:val="0"/>
        <w:autoSpaceDN w:val="0"/>
        <w:adjustRightInd w:val="0"/>
        <w:rPr>
          <w:rFonts w:eastAsia="Calibri"/>
        </w:rPr>
      </w:pPr>
      <w:r>
        <w:rPr>
          <w:rFonts w:eastAsia="Calibri"/>
        </w:rPr>
        <w:t xml:space="preserve">There are frameworks within which the company perform its various activities and conduct its business affairs. </w:t>
      </w:r>
    </w:p>
    <w:p w:rsidR="00FA1AC4" w:rsidRDefault="00B11CCA">
      <w:pPr>
        <w:pStyle w:val="ListParagraph"/>
        <w:numPr>
          <w:ilvl w:val="0"/>
          <w:numId w:val="11"/>
        </w:numPr>
        <w:autoSpaceDE w:val="0"/>
        <w:autoSpaceDN w:val="0"/>
        <w:adjustRightInd w:val="0"/>
        <w:rPr>
          <w:rFonts w:eastAsia="Calibri"/>
        </w:rPr>
      </w:pPr>
      <w:r>
        <w:rPr>
          <w:rFonts w:eastAsia="Calibri"/>
        </w:rPr>
        <w:t xml:space="preserve">The top management of the company oversee monitoring all controls. </w:t>
      </w:r>
    </w:p>
    <w:p w:rsidR="00FA1AC4" w:rsidRDefault="00B11CCA">
      <w:pPr>
        <w:pStyle w:val="ListParagraph"/>
        <w:numPr>
          <w:ilvl w:val="0"/>
          <w:numId w:val="11"/>
        </w:numPr>
        <w:autoSpaceDE w:val="0"/>
        <w:autoSpaceDN w:val="0"/>
        <w:adjustRightInd w:val="0"/>
        <w:rPr>
          <w:rFonts w:eastAsia="Calibri"/>
        </w:rPr>
      </w:pPr>
      <w:r>
        <w:rPr>
          <w:rFonts w:eastAsia="Calibri"/>
        </w:rPr>
        <w:t xml:space="preserve">The quality assurance or internal control department of the company monitors all controls frequently. </w:t>
      </w:r>
    </w:p>
    <w:p w:rsidR="00FA1AC4" w:rsidRDefault="00B11CCA">
      <w:pPr>
        <w:pStyle w:val="ListParagraph"/>
        <w:numPr>
          <w:ilvl w:val="0"/>
          <w:numId w:val="11"/>
        </w:numPr>
        <w:autoSpaceDE w:val="0"/>
        <w:autoSpaceDN w:val="0"/>
        <w:adjustRightInd w:val="0"/>
        <w:rPr>
          <w:rFonts w:eastAsia="Calibri"/>
        </w:rPr>
      </w:pPr>
      <w:r>
        <w:rPr>
          <w:rFonts w:eastAsia="Calibri"/>
        </w:rPr>
        <w:t>Audit committee must have access to both Internal and External Auditors for internal control effectiveness.</w:t>
      </w:r>
    </w:p>
    <w:p w:rsidR="00FA1AC4" w:rsidRDefault="00B11CCA">
      <w:pPr>
        <w:pStyle w:val="ListParagraph"/>
        <w:numPr>
          <w:ilvl w:val="0"/>
          <w:numId w:val="11"/>
        </w:numPr>
        <w:autoSpaceDE w:val="0"/>
        <w:autoSpaceDN w:val="0"/>
        <w:adjustRightInd w:val="0"/>
        <w:rPr>
          <w:rFonts w:eastAsia="Calibri"/>
        </w:rPr>
      </w:pPr>
      <w:r>
        <w:rPr>
          <w:rFonts w:eastAsia="Calibri"/>
        </w:rPr>
        <w:t>Effective financial reporting system contribute corporate performance in the service sector.</w:t>
      </w:r>
    </w:p>
    <w:p w:rsidR="00FA1AC4" w:rsidRDefault="00B11CCA">
      <w:pPr>
        <w:pStyle w:val="ListParagraph"/>
        <w:numPr>
          <w:ilvl w:val="0"/>
          <w:numId w:val="11"/>
        </w:numPr>
        <w:tabs>
          <w:tab w:val="left" w:pos="450"/>
        </w:tabs>
        <w:autoSpaceDE w:val="0"/>
        <w:autoSpaceDN w:val="0"/>
        <w:adjustRightInd w:val="0"/>
        <w:rPr>
          <w:rFonts w:eastAsia="Calibri"/>
        </w:rPr>
      </w:pPr>
      <w:r>
        <w:rPr>
          <w:rFonts w:eastAsia="Calibri"/>
        </w:rPr>
        <w:t xml:space="preserve">Audit committee must be independent of the executive directors for effective internal control. </w:t>
      </w:r>
    </w:p>
    <w:p w:rsidR="00FA1AC4" w:rsidRDefault="00B11CCA">
      <w:pPr>
        <w:pStyle w:val="ListParagraph"/>
        <w:numPr>
          <w:ilvl w:val="0"/>
          <w:numId w:val="11"/>
        </w:numPr>
        <w:tabs>
          <w:tab w:val="left" w:pos="450"/>
        </w:tabs>
        <w:autoSpaceDE w:val="0"/>
        <w:autoSpaceDN w:val="0"/>
        <w:adjustRightInd w:val="0"/>
        <w:spacing w:after="240"/>
        <w:rPr>
          <w:rFonts w:eastAsia="Calibri"/>
        </w:rPr>
      </w:pPr>
      <w:r>
        <w:rPr>
          <w:rFonts w:eastAsia="Calibri"/>
        </w:rPr>
        <w:t>All employees must understand how their activities affect the company’s internal control.</w:t>
      </w:r>
    </w:p>
    <w:p w:rsidR="00FA1AC4" w:rsidRDefault="00B11CCA">
      <w:pPr>
        <w:pStyle w:val="Heading3"/>
        <w:numPr>
          <w:ilvl w:val="2"/>
          <w:numId w:val="8"/>
        </w:numPr>
        <w:ind w:left="709"/>
        <w:rPr>
          <w:rFonts w:eastAsia="Calibri"/>
        </w:rPr>
      </w:pPr>
      <w:bookmarkStart w:id="73" w:name="_Toc112342390"/>
      <w:r>
        <w:rPr>
          <w:rFonts w:eastAsia="Calibri"/>
        </w:rPr>
        <w:lastRenderedPageBreak/>
        <w:t>Hypotheses Testing and Decisions</w:t>
      </w:r>
      <w:bookmarkEnd w:id="73"/>
    </w:p>
    <w:p w:rsidR="00FA1AC4" w:rsidRDefault="00B11CCA">
      <w:pPr>
        <w:autoSpaceDE w:val="0"/>
        <w:autoSpaceDN w:val="0"/>
        <w:adjustRightInd w:val="0"/>
        <w:spacing w:after="240" w:line="360" w:lineRule="auto"/>
        <w:rPr>
          <w:rFonts w:eastAsia="Calibri"/>
          <w:iCs/>
        </w:rPr>
      </w:pPr>
      <w:r>
        <w:rPr>
          <w:rFonts w:eastAsia="Calibri"/>
          <w:iCs/>
        </w:rPr>
        <w:t>An overview of the hypothesis tested is provided in Table 4.6.</w:t>
      </w:r>
    </w:p>
    <w:p w:rsidR="00FA1AC4" w:rsidRDefault="00B11CCA">
      <w:pPr>
        <w:autoSpaceDE w:val="0"/>
        <w:autoSpaceDN w:val="0"/>
        <w:adjustRightInd w:val="0"/>
        <w:spacing w:line="360" w:lineRule="auto"/>
        <w:rPr>
          <w:rFonts w:eastAsia="Calibri"/>
          <w:iCs/>
        </w:rPr>
      </w:pPr>
      <w:r>
        <w:rPr>
          <w:rFonts w:eastAsia="Calibri"/>
          <w:iCs/>
        </w:rPr>
        <w:t>Table 4.19 Hypothesis Testing and Decisions</w:t>
      </w:r>
    </w:p>
    <w:tbl>
      <w:tblPr>
        <w:tblW w:w="881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9"/>
        <w:gridCol w:w="5656"/>
        <w:gridCol w:w="1350"/>
      </w:tblGrid>
      <w:tr w:rsidR="00FA1AC4">
        <w:tc>
          <w:tcPr>
            <w:tcW w:w="1809" w:type="dxa"/>
            <w:tcBorders>
              <w:top w:val="single" w:sz="4" w:space="0" w:color="auto"/>
              <w:bottom w:val="single" w:sz="4" w:space="0" w:color="auto"/>
              <w:right w:val="single" w:sz="4" w:space="0" w:color="auto"/>
            </w:tcBorders>
          </w:tcPr>
          <w:p w:rsidR="00FA1AC4" w:rsidRDefault="00FA1AC4">
            <w:pPr>
              <w:autoSpaceDE w:val="0"/>
              <w:autoSpaceDN w:val="0"/>
              <w:adjustRightInd w:val="0"/>
              <w:spacing w:line="360" w:lineRule="auto"/>
              <w:rPr>
                <w:rFonts w:eastAsia="Calibri"/>
              </w:rPr>
            </w:pPr>
          </w:p>
        </w:tc>
        <w:tc>
          <w:tcPr>
            <w:tcW w:w="5656"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jc w:val="center"/>
              <w:rPr>
                <w:rFonts w:eastAsia="Calibri"/>
              </w:rPr>
            </w:pPr>
            <w:r>
              <w:rPr>
                <w:rFonts w:eastAsia="Calibri"/>
              </w:rPr>
              <w:t>Null Hypotheses</w:t>
            </w:r>
          </w:p>
        </w:tc>
        <w:tc>
          <w:tcPr>
            <w:tcW w:w="1350" w:type="dxa"/>
            <w:tcBorders>
              <w:top w:val="single" w:sz="4" w:space="0" w:color="auto"/>
              <w:left w:val="single" w:sz="4" w:space="0" w:color="auto"/>
              <w:bottom w:val="single" w:sz="4" w:space="0" w:color="auto"/>
            </w:tcBorders>
          </w:tcPr>
          <w:p w:rsidR="00FA1AC4" w:rsidRDefault="00B11CCA">
            <w:pPr>
              <w:autoSpaceDE w:val="0"/>
              <w:autoSpaceDN w:val="0"/>
              <w:adjustRightInd w:val="0"/>
              <w:spacing w:line="360" w:lineRule="auto"/>
              <w:rPr>
                <w:rFonts w:eastAsia="Calibri"/>
              </w:rPr>
            </w:pPr>
            <w:r>
              <w:rPr>
                <w:rFonts w:eastAsia="Calibri"/>
              </w:rPr>
              <w:t>Decision</w:t>
            </w:r>
          </w:p>
        </w:tc>
      </w:tr>
      <w:tr w:rsidR="00FA1AC4">
        <w:tc>
          <w:tcPr>
            <w:tcW w:w="1809"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rPr>
                <w:rFonts w:eastAsia="Calibri"/>
              </w:rPr>
            </w:pPr>
            <w:r>
              <w:rPr>
                <w:rFonts w:eastAsia="Calibri"/>
              </w:rPr>
              <w:t>Hypothesis one</w:t>
            </w:r>
          </w:p>
        </w:tc>
        <w:tc>
          <w:tcPr>
            <w:tcW w:w="5656"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rPr>
                <w:rFonts w:eastAsia="Calibri"/>
              </w:rPr>
            </w:pPr>
            <w:r>
              <w:rPr>
                <w:rFonts w:eastAsia="Calibri"/>
              </w:rPr>
              <w:t>H</w:t>
            </w:r>
            <w:r>
              <w:rPr>
                <w:rFonts w:eastAsia="Calibri"/>
                <w:b/>
                <w:bCs/>
                <w:vertAlign w:val="subscript"/>
              </w:rPr>
              <w:t>01</w:t>
            </w:r>
            <w:r>
              <w:rPr>
                <w:rFonts w:eastAsia="Calibri"/>
              </w:rPr>
              <w:t xml:space="preserve">: </w:t>
            </w:r>
            <w:r>
              <w:rPr>
                <w:color w:val="000000"/>
              </w:rPr>
              <w:t xml:space="preserve">Audit committee characteristics </w:t>
            </w:r>
            <w:r>
              <w:t xml:space="preserve">and </w:t>
            </w:r>
            <w:r>
              <w:rPr>
                <w:color w:val="000000"/>
              </w:rPr>
              <w:t xml:space="preserve">financial reporting </w:t>
            </w:r>
            <w:r>
              <w:t>of</w:t>
            </w:r>
            <w:r>
              <w:rPr>
                <w:color w:val="000000"/>
              </w:rPr>
              <w:t xml:space="preserve"> listed service firms in Nigeria is not significant</w:t>
            </w:r>
          </w:p>
        </w:tc>
        <w:tc>
          <w:tcPr>
            <w:tcW w:w="1350" w:type="dxa"/>
            <w:tcBorders>
              <w:top w:val="single" w:sz="4" w:space="0" w:color="auto"/>
              <w:left w:val="single" w:sz="4" w:space="0" w:color="auto"/>
              <w:bottom w:val="single" w:sz="4" w:space="0" w:color="auto"/>
            </w:tcBorders>
          </w:tcPr>
          <w:p w:rsidR="00FA1AC4" w:rsidRDefault="00B11CCA">
            <w:pPr>
              <w:autoSpaceDE w:val="0"/>
              <w:autoSpaceDN w:val="0"/>
              <w:adjustRightInd w:val="0"/>
              <w:spacing w:line="360" w:lineRule="auto"/>
              <w:rPr>
                <w:rFonts w:eastAsia="Calibri"/>
              </w:rPr>
            </w:pPr>
            <w:r>
              <w:rPr>
                <w:rFonts w:eastAsia="Calibri"/>
              </w:rPr>
              <w:t>Rejected</w:t>
            </w:r>
          </w:p>
        </w:tc>
      </w:tr>
      <w:tr w:rsidR="00FA1AC4">
        <w:tc>
          <w:tcPr>
            <w:tcW w:w="1809" w:type="dxa"/>
            <w:tcBorders>
              <w:top w:val="single" w:sz="4" w:space="0" w:color="auto"/>
              <w:bottom w:val="single" w:sz="4" w:space="0" w:color="auto"/>
              <w:right w:val="single" w:sz="4" w:space="0" w:color="auto"/>
            </w:tcBorders>
          </w:tcPr>
          <w:p w:rsidR="00FA1AC4" w:rsidRDefault="00B11CCA">
            <w:pPr>
              <w:autoSpaceDE w:val="0"/>
              <w:autoSpaceDN w:val="0"/>
              <w:adjustRightInd w:val="0"/>
              <w:spacing w:line="360" w:lineRule="auto"/>
              <w:rPr>
                <w:rFonts w:eastAsia="Calibri"/>
              </w:rPr>
            </w:pPr>
            <w:r>
              <w:rPr>
                <w:rFonts w:eastAsia="Calibri"/>
              </w:rPr>
              <w:t>Hypothesis two</w:t>
            </w:r>
          </w:p>
        </w:tc>
        <w:tc>
          <w:tcPr>
            <w:tcW w:w="5656" w:type="dxa"/>
            <w:tcBorders>
              <w:top w:val="single" w:sz="4" w:space="0" w:color="auto"/>
              <w:left w:val="single" w:sz="4" w:space="0" w:color="auto"/>
              <w:bottom w:val="single" w:sz="4" w:space="0" w:color="auto"/>
              <w:right w:val="single" w:sz="4" w:space="0" w:color="auto"/>
            </w:tcBorders>
          </w:tcPr>
          <w:p w:rsidR="00FA1AC4" w:rsidRDefault="00B11CCA">
            <w:pPr>
              <w:autoSpaceDE w:val="0"/>
              <w:autoSpaceDN w:val="0"/>
              <w:adjustRightInd w:val="0"/>
              <w:spacing w:line="360" w:lineRule="auto"/>
              <w:rPr>
                <w:rFonts w:eastAsia="Calibri"/>
              </w:rPr>
            </w:pPr>
            <w:r>
              <w:rPr>
                <w:rFonts w:eastAsia="Calibri"/>
              </w:rPr>
              <w:t xml:space="preserve"> H</w:t>
            </w:r>
            <w:r>
              <w:rPr>
                <w:rFonts w:eastAsia="Calibri"/>
                <w:b/>
                <w:bCs/>
                <w:vertAlign w:val="subscript"/>
              </w:rPr>
              <w:t>02</w:t>
            </w:r>
            <w:r>
              <w:rPr>
                <w:rFonts w:eastAsia="Calibri"/>
              </w:rPr>
              <w:t xml:space="preserve">: </w:t>
            </w:r>
            <w:r>
              <w:rPr>
                <w:color w:val="000000"/>
              </w:rPr>
              <w:t xml:space="preserve">Internal control components </w:t>
            </w:r>
            <w:r>
              <w:t xml:space="preserve">on </w:t>
            </w:r>
            <w:r>
              <w:rPr>
                <w:color w:val="000000"/>
              </w:rPr>
              <w:t>financial reporting of listed service firms in Nigeria is not significant.</w:t>
            </w:r>
          </w:p>
        </w:tc>
        <w:tc>
          <w:tcPr>
            <w:tcW w:w="1350" w:type="dxa"/>
            <w:tcBorders>
              <w:top w:val="single" w:sz="4" w:space="0" w:color="auto"/>
              <w:left w:val="single" w:sz="4" w:space="0" w:color="auto"/>
              <w:bottom w:val="single" w:sz="4" w:space="0" w:color="auto"/>
            </w:tcBorders>
          </w:tcPr>
          <w:p w:rsidR="00FA1AC4" w:rsidRDefault="00B11CCA">
            <w:pPr>
              <w:autoSpaceDE w:val="0"/>
              <w:autoSpaceDN w:val="0"/>
              <w:adjustRightInd w:val="0"/>
              <w:spacing w:line="360" w:lineRule="auto"/>
              <w:rPr>
                <w:rFonts w:eastAsia="Calibri"/>
              </w:rPr>
            </w:pPr>
            <w:r>
              <w:rPr>
                <w:rFonts w:eastAsia="Calibri"/>
              </w:rPr>
              <w:t>Rejected</w:t>
            </w:r>
          </w:p>
        </w:tc>
      </w:tr>
    </w:tbl>
    <w:p w:rsidR="00FA1AC4" w:rsidRDefault="00FA1AC4">
      <w:pPr>
        <w:autoSpaceDE w:val="0"/>
        <w:autoSpaceDN w:val="0"/>
        <w:adjustRightInd w:val="0"/>
        <w:ind w:left="720"/>
        <w:rPr>
          <w:rFonts w:eastAsia="Calibri"/>
        </w:rPr>
      </w:pPr>
    </w:p>
    <w:p w:rsidR="00FA1AC4" w:rsidRDefault="00FA1AC4">
      <w:pPr>
        <w:spacing w:after="160" w:line="259" w:lineRule="auto"/>
        <w:rPr>
          <w:rFonts w:eastAsia="Calibri"/>
          <w:b/>
          <w:bCs/>
          <w:sz w:val="32"/>
          <w:szCs w:val="32"/>
        </w:rPr>
      </w:pPr>
    </w:p>
    <w:p w:rsidR="00FA1AC4" w:rsidRDefault="00FA1AC4">
      <w:pPr>
        <w:autoSpaceDE w:val="0"/>
        <w:autoSpaceDN w:val="0"/>
        <w:adjustRightInd w:val="0"/>
        <w:jc w:val="center"/>
        <w:rPr>
          <w:rFonts w:eastAsia="Calibri"/>
          <w:b/>
          <w:bCs/>
          <w:sz w:val="32"/>
          <w:szCs w:val="32"/>
        </w:rPr>
      </w:pPr>
    </w:p>
    <w:p w:rsidR="00FA1AC4" w:rsidRDefault="00FA1AC4">
      <w:pPr>
        <w:autoSpaceDE w:val="0"/>
        <w:autoSpaceDN w:val="0"/>
        <w:adjustRightInd w:val="0"/>
        <w:jc w:val="center"/>
        <w:rPr>
          <w:rFonts w:eastAsia="Calibri"/>
          <w:b/>
          <w:bCs/>
          <w:sz w:val="32"/>
          <w:szCs w:val="32"/>
        </w:rPr>
      </w:pPr>
    </w:p>
    <w:p w:rsidR="00FA1AC4" w:rsidRDefault="00B11CCA">
      <w:pPr>
        <w:spacing w:after="160" w:line="259" w:lineRule="auto"/>
        <w:jc w:val="left"/>
        <w:rPr>
          <w:rFonts w:eastAsia="Calibri"/>
          <w:b/>
          <w:bCs/>
          <w:sz w:val="32"/>
          <w:szCs w:val="32"/>
        </w:rPr>
      </w:pPr>
      <w:r>
        <w:rPr>
          <w:rFonts w:eastAsia="Calibri"/>
          <w:bCs/>
        </w:rPr>
        <w:br w:type="page"/>
      </w:r>
    </w:p>
    <w:p w:rsidR="00FA1AC4" w:rsidRDefault="00B11CCA">
      <w:pPr>
        <w:pStyle w:val="Heading1"/>
        <w:rPr>
          <w:rFonts w:eastAsia="Calibri"/>
        </w:rPr>
      </w:pPr>
      <w:bookmarkStart w:id="74" w:name="_Toc112342391"/>
      <w:r>
        <w:rPr>
          <w:rFonts w:eastAsia="Calibri"/>
        </w:rPr>
        <w:lastRenderedPageBreak/>
        <w:t>CHAPTER FIVE</w:t>
      </w:r>
      <w:bookmarkEnd w:id="74"/>
    </w:p>
    <w:p w:rsidR="00FA1AC4" w:rsidRDefault="00B11CCA">
      <w:pPr>
        <w:pStyle w:val="Heading1"/>
        <w:rPr>
          <w:rFonts w:eastAsia="Calibri"/>
        </w:rPr>
      </w:pPr>
      <w:bookmarkStart w:id="75" w:name="_Toc112342392"/>
      <w:r>
        <w:rPr>
          <w:rFonts w:eastAsia="Calibri"/>
        </w:rPr>
        <w:t>SUMMARY, CONCLUSION, AND RECOMMENDATIONS</w:t>
      </w:r>
      <w:bookmarkEnd w:id="75"/>
    </w:p>
    <w:p w:rsidR="00FA1AC4" w:rsidRDefault="00FA1AC4">
      <w:pPr>
        <w:autoSpaceDE w:val="0"/>
        <w:autoSpaceDN w:val="0"/>
        <w:adjustRightInd w:val="0"/>
        <w:rPr>
          <w:rFonts w:eastAsia="Calibri"/>
          <w:b/>
          <w:bCs/>
          <w:sz w:val="32"/>
          <w:szCs w:val="32"/>
        </w:rPr>
      </w:pPr>
    </w:p>
    <w:p w:rsidR="00FA1AC4" w:rsidRDefault="00B11CCA">
      <w:pPr>
        <w:pStyle w:val="Heading2"/>
        <w:numPr>
          <w:ilvl w:val="1"/>
          <w:numId w:val="19"/>
        </w:numPr>
        <w:rPr>
          <w:rFonts w:eastAsia="Calibri"/>
        </w:rPr>
      </w:pPr>
      <w:bookmarkStart w:id="76" w:name="_Toc112342393"/>
      <w:r>
        <w:rPr>
          <w:rFonts w:eastAsia="Calibri"/>
        </w:rPr>
        <w:t>Introduction</w:t>
      </w:r>
      <w:bookmarkEnd w:id="76"/>
    </w:p>
    <w:p w:rsidR="00FA1AC4" w:rsidRDefault="00B11CCA">
      <w:pPr>
        <w:autoSpaceDE w:val="0"/>
        <w:autoSpaceDN w:val="0"/>
        <w:adjustRightInd w:val="0"/>
        <w:spacing w:after="240"/>
        <w:rPr>
          <w:rFonts w:eastAsia="Calibri"/>
        </w:rPr>
      </w:pPr>
      <w:r>
        <w:rPr>
          <w:rFonts w:eastAsia="Calibri"/>
        </w:rPr>
        <w:t>This chapter provides information on the research carried out, it is organized into; summary of work done, summary of findings, conclusion, recommendation, contribution to knowledge, limitations to the study and suggestions for further studies</w:t>
      </w:r>
    </w:p>
    <w:p w:rsidR="00FA1AC4" w:rsidRDefault="00B11CCA">
      <w:pPr>
        <w:pStyle w:val="Heading2"/>
        <w:numPr>
          <w:ilvl w:val="1"/>
          <w:numId w:val="19"/>
        </w:numPr>
        <w:rPr>
          <w:rFonts w:eastAsia="Calibri"/>
        </w:rPr>
      </w:pPr>
      <w:bookmarkStart w:id="77" w:name="_Toc112342394"/>
      <w:r>
        <w:rPr>
          <w:rFonts w:eastAsia="Calibri"/>
        </w:rPr>
        <w:t>Summary of the Study</w:t>
      </w:r>
      <w:bookmarkEnd w:id="77"/>
    </w:p>
    <w:p w:rsidR="00FA1AC4" w:rsidRDefault="00B11CCA">
      <w:pPr>
        <w:autoSpaceDE w:val="0"/>
        <w:autoSpaceDN w:val="0"/>
        <w:adjustRightInd w:val="0"/>
        <w:spacing w:after="240"/>
        <w:rPr>
          <w:rFonts w:eastAsia="Calibri"/>
        </w:rPr>
      </w:pPr>
      <w:r>
        <w:rPr>
          <w:rFonts w:eastAsia="Calibri"/>
        </w:rPr>
        <w:t xml:space="preserve">The goal of this study was to examine the impact of internal control and the audit committee on the accurate financial reporting of listed service companies in Nigeria. It offers in-depth details on the composition of the audit committee, internal controls, the effectiveness of financial reporting, and a review of relevant academic research on the topic. In the first chapter of this study, it also discussed the context of the report, the statement of the research problem, the research objectives, the research theory, the nature of the analysis, the purpose of the study, and the relevance of the study. To address the research topics in chapter one, this study used both quantitative and qualitative data. It adapted five variables; audit committee size, audit committee meeting, control environment, risk assessment and monitoring activities to analyze financial reporting effectiveness. Audit committee characteristics was proxy ACS, ACFM, ACC and ACM, internal control was proxy by COTA, RIAS, MOTA and INFOC while accruals was used as a proxy for effective financial reporting. The primary data employed in this study was in form of questionnaire which contained several twelve statements from 189 independent </w:t>
      </w:r>
      <w:r>
        <w:rPr>
          <w:rFonts w:eastAsia="Calibri"/>
        </w:rPr>
        <w:lastRenderedPageBreak/>
        <w:t>auditors and other stakeholders of the firms while the secondary data were extracted from 50 annual reports of service firms that are publicly traded on the floor of Nigerian Stock Exchange between 2010 and 2020 (11 years).</w:t>
      </w:r>
    </w:p>
    <w:p w:rsidR="00FA1AC4" w:rsidRDefault="00B11CCA">
      <w:pPr>
        <w:autoSpaceDE w:val="0"/>
        <w:autoSpaceDN w:val="0"/>
        <w:adjustRightInd w:val="0"/>
        <w:spacing w:after="240"/>
        <w:rPr>
          <w:rFonts w:eastAsia="Calibri"/>
        </w:rPr>
      </w:pPr>
      <w:r>
        <w:rPr>
          <w:rFonts w:eastAsia="Calibri"/>
        </w:rPr>
        <w:t>The preliminary analysis by using the descriptive statistics to explain the variables in the study, multiple linear regression analysis was also employed for the analysis of the same variables, and this was followed by discussion of the tests carried out on the data. In addition to this, this study provides the summary, conclusion, and recommendation.</w:t>
      </w:r>
    </w:p>
    <w:p w:rsidR="00FA1AC4" w:rsidRDefault="00B11CCA">
      <w:pPr>
        <w:pStyle w:val="Heading2"/>
        <w:numPr>
          <w:ilvl w:val="1"/>
          <w:numId w:val="25"/>
        </w:numPr>
        <w:rPr>
          <w:rFonts w:eastAsia="Calibri"/>
        </w:rPr>
      </w:pPr>
      <w:bookmarkStart w:id="78" w:name="_Toc112342395"/>
      <w:r>
        <w:rPr>
          <w:rFonts w:eastAsia="Calibri"/>
        </w:rPr>
        <w:t>Summary of Findings</w:t>
      </w:r>
      <w:bookmarkEnd w:id="78"/>
    </w:p>
    <w:p w:rsidR="00FA1AC4" w:rsidRDefault="00B11CCA">
      <w:pPr>
        <w:autoSpaceDE w:val="0"/>
        <w:autoSpaceDN w:val="0"/>
        <w:adjustRightInd w:val="0"/>
        <w:spacing w:after="240"/>
        <w:rPr>
          <w:rFonts w:eastAsia="Calibri"/>
        </w:rPr>
      </w:pPr>
      <w:r>
        <w:rPr>
          <w:rFonts w:eastAsia="Calibri"/>
        </w:rPr>
        <w:t>This part presents the discoveries of the researcher on both the theoretical and empirical findings.</w:t>
      </w:r>
    </w:p>
    <w:p w:rsidR="00FA1AC4" w:rsidRDefault="00B11CCA">
      <w:pPr>
        <w:pStyle w:val="Heading3"/>
        <w:numPr>
          <w:ilvl w:val="2"/>
          <w:numId w:val="25"/>
        </w:numPr>
        <w:rPr>
          <w:rFonts w:eastAsia="Calibri"/>
        </w:rPr>
      </w:pPr>
      <w:bookmarkStart w:id="79" w:name="_Toc112342396"/>
      <w:r>
        <w:rPr>
          <w:rFonts w:eastAsia="Calibri"/>
        </w:rPr>
        <w:t>Theoretical Findings</w:t>
      </w:r>
      <w:bookmarkEnd w:id="79"/>
    </w:p>
    <w:p w:rsidR="00FA1AC4" w:rsidRDefault="00B11CCA">
      <w:pPr>
        <w:autoSpaceDE w:val="0"/>
        <w:autoSpaceDN w:val="0"/>
        <w:adjustRightInd w:val="0"/>
        <w:spacing w:after="240"/>
        <w:rPr>
          <w:rFonts w:eastAsia="Calibri"/>
        </w:rPr>
      </w:pPr>
      <w:r>
        <w:rPr>
          <w:rFonts w:eastAsia="Calibri"/>
        </w:rPr>
        <w:t>A theoretical viewpoint has been deduced from different literatures with an emphasis on Shareholdership model and Stakeholdership model on relevance of audit committee and internal control on effective financial reporting.</w:t>
      </w:r>
    </w:p>
    <w:p w:rsidR="00FA1AC4" w:rsidRDefault="00B11CCA">
      <w:pPr>
        <w:pStyle w:val="ListParagraph"/>
        <w:numPr>
          <w:ilvl w:val="3"/>
          <w:numId w:val="25"/>
        </w:numPr>
        <w:rPr>
          <w:rFonts w:eastAsia="Calibri"/>
          <w:b/>
          <w:sz w:val="28"/>
          <w:szCs w:val="28"/>
        </w:rPr>
      </w:pPr>
      <w:r>
        <w:rPr>
          <w:rFonts w:eastAsia="Calibri"/>
          <w:b/>
          <w:sz w:val="28"/>
          <w:szCs w:val="28"/>
        </w:rPr>
        <w:t>Shareholdership Model</w:t>
      </w:r>
    </w:p>
    <w:p w:rsidR="00FA1AC4" w:rsidRDefault="00B11CCA">
      <w:pPr>
        <w:autoSpaceDE w:val="0"/>
        <w:autoSpaceDN w:val="0"/>
        <w:adjustRightInd w:val="0"/>
        <w:spacing w:after="160"/>
        <w:rPr>
          <w:rFonts w:eastAsia="Calibri"/>
        </w:rPr>
      </w:pPr>
      <w:r>
        <w:rPr>
          <w:rFonts w:eastAsia="Calibri"/>
        </w:rPr>
        <w:t xml:space="preserve">According Nwanji and Howell, (2007) to Shareholdership model </w:t>
      </w:r>
      <w:r>
        <w:rPr>
          <w:rFonts w:eastAsia="Calibri"/>
          <w:i/>
          <w:iCs/>
        </w:rPr>
        <w:t xml:space="preserve">“Profit maximization is the foundation of the conventional Anglo-American model of corporate governance, which states that it serves to safeguard the interests of shareholders. The idea of profit maximization is a product of the free market economy. The pricing system controls this. The general economic well-being of society is maximized by individual entrepreneurs' efforts to maximize their profits”.  </w:t>
      </w:r>
    </w:p>
    <w:p w:rsidR="00FA1AC4" w:rsidRDefault="00B11CCA">
      <w:pPr>
        <w:autoSpaceDE w:val="0"/>
        <w:autoSpaceDN w:val="0"/>
        <w:adjustRightInd w:val="0"/>
        <w:rPr>
          <w:rFonts w:eastAsia="Calibri"/>
        </w:rPr>
      </w:pPr>
      <w:r>
        <w:rPr>
          <w:rFonts w:eastAsia="Calibri"/>
        </w:rPr>
        <w:lastRenderedPageBreak/>
        <w:t xml:space="preserve">The study was guided by the agency theory which is in line with </w:t>
      </w:r>
      <w:r>
        <w:rPr>
          <w:rFonts w:eastAsia="Calibri"/>
          <w:lang w:val="en-US"/>
        </w:rPr>
        <w:t xml:space="preserve">(Jerubet </w:t>
      </w:r>
      <w:r>
        <w:rPr>
          <w:rFonts w:eastAsia="Calibri"/>
          <w:i/>
          <w:iCs/>
          <w:lang w:val="en-US"/>
        </w:rPr>
        <w:t>et al</w:t>
      </w:r>
      <w:r>
        <w:rPr>
          <w:rFonts w:eastAsia="Calibri"/>
          <w:lang w:val="en-US"/>
        </w:rPr>
        <w:t>., 2017)</w:t>
      </w:r>
      <w:r>
        <w:rPr>
          <w:rFonts w:eastAsia="Calibri"/>
        </w:rPr>
        <w:t xml:space="preserve"> which is defined as a relationship between the principal and the agent. The principal increases monitoring expenditures, including board restructuring by hiring new directors, hiring financial experts for the AC, and promoting gender diversity, to monitor the agent, where high expenditures lower firm value, according to agency theory, which further elaborates on the assumption that each party is acting in their own interests (Zalata </w:t>
      </w:r>
      <w:r>
        <w:rPr>
          <w:rFonts w:eastAsia="Calibri"/>
          <w:i/>
        </w:rPr>
        <w:t>et al</w:t>
      </w:r>
      <w:r>
        <w:rPr>
          <w:rFonts w:eastAsia="Calibri"/>
        </w:rPr>
        <w:t>., 2018) Managers are urged to create financial statements that unequivocally demonstrate the quantity of revenues a firm receives over a given time period in order to ensure the efficacy of an audit committee. Making sure the audit committees carry out their duties enables the business to establish correct financial records and statements in order to provide highly effective financial reports.</w:t>
      </w:r>
    </w:p>
    <w:p w:rsidR="00FA1AC4" w:rsidRDefault="00FA1AC4">
      <w:pPr>
        <w:autoSpaceDE w:val="0"/>
        <w:autoSpaceDN w:val="0"/>
        <w:adjustRightInd w:val="0"/>
        <w:rPr>
          <w:rFonts w:eastAsia="Calibri"/>
        </w:rPr>
      </w:pPr>
    </w:p>
    <w:p w:rsidR="00FA1AC4" w:rsidRDefault="00B11CCA">
      <w:pPr>
        <w:pStyle w:val="ListParagraph"/>
        <w:numPr>
          <w:ilvl w:val="3"/>
          <w:numId w:val="25"/>
        </w:numPr>
        <w:autoSpaceDE w:val="0"/>
        <w:autoSpaceDN w:val="0"/>
        <w:adjustRightInd w:val="0"/>
        <w:rPr>
          <w:rFonts w:eastAsia="Calibri"/>
          <w:b/>
          <w:sz w:val="28"/>
          <w:szCs w:val="28"/>
        </w:rPr>
      </w:pPr>
      <w:r>
        <w:rPr>
          <w:rFonts w:eastAsia="Calibri"/>
          <w:b/>
          <w:sz w:val="28"/>
          <w:szCs w:val="28"/>
        </w:rPr>
        <w:t xml:space="preserve">Stakeholdership Model </w:t>
      </w:r>
    </w:p>
    <w:p w:rsidR="00FA1AC4" w:rsidRDefault="00B11CCA">
      <w:pPr>
        <w:autoSpaceDE w:val="0"/>
        <w:autoSpaceDN w:val="0"/>
        <w:adjustRightInd w:val="0"/>
        <w:spacing w:after="240" w:line="276" w:lineRule="auto"/>
        <w:ind w:left="567" w:right="855"/>
        <w:rPr>
          <w:rFonts w:eastAsia="Calibri"/>
          <w:sz w:val="22"/>
          <w:szCs w:val="22"/>
        </w:rPr>
      </w:pPr>
      <w:r>
        <w:rPr>
          <w:rFonts w:eastAsia="Calibri"/>
        </w:rPr>
        <w:t xml:space="preserve">Nwanji and Howell (2005) stated that </w:t>
      </w:r>
      <w:r>
        <w:rPr>
          <w:rFonts w:eastAsia="Calibri"/>
          <w:i/>
          <w:iCs/>
          <w:sz w:val="22"/>
          <w:szCs w:val="22"/>
        </w:rPr>
        <w:t>“Since 2000, the majority of multinational corporations in the UK and the US have shut down their call centers and other service operations and relocated the jobs to India and other Asian nations, resulting in the creation of global stakeholder groups, including the local residents and workers in those nations. What transpired, though, to the stakeholder groups whose members lost their jobs in industrialized nations? According to HSBC Bank, the nations in which it conducts business have local and international interests.”</w:t>
      </w:r>
      <w:r>
        <w:rPr>
          <w:rFonts w:eastAsia="Calibri"/>
          <w:sz w:val="22"/>
          <w:szCs w:val="22"/>
        </w:rPr>
        <w:t xml:space="preserve">  </w:t>
      </w:r>
    </w:p>
    <w:p w:rsidR="00FA1AC4" w:rsidRDefault="00B11CCA">
      <w:pPr>
        <w:autoSpaceDE w:val="0"/>
        <w:autoSpaceDN w:val="0"/>
        <w:adjustRightInd w:val="0"/>
        <w:rPr>
          <w:rFonts w:eastAsia="Calibri"/>
        </w:rPr>
      </w:pPr>
      <w:r>
        <w:rPr>
          <w:rFonts w:eastAsia="Calibri"/>
        </w:rPr>
        <w:t xml:space="preserve">Therefore, risk assessment is paramount in identifying and mitigating both internal and external hostile. In general, the debate over corporate governance centers on the relative merits of shareholder and stakeholder perspectives for running a business (GCGC, 2016). The first responsibility of the board of directors is the monitoring role, which enables the </w:t>
      </w:r>
      <w:r>
        <w:rPr>
          <w:rFonts w:eastAsia="Calibri"/>
        </w:rPr>
        <w:lastRenderedPageBreak/>
        <w:t xml:space="preserve">board to address issues with corporate governance. Due to boards' failure, external control mechanisms, such as hostile takeovers, have increased </w:t>
      </w:r>
      <w:r>
        <w:rPr>
          <w:rFonts w:eastAsia="Calibri"/>
          <w:lang w:val="en-US"/>
        </w:rPr>
        <w:t>(Madugba</w:t>
      </w:r>
      <w:r>
        <w:rPr>
          <w:rFonts w:eastAsia="Calibri"/>
          <w:i/>
          <w:iCs/>
          <w:lang w:val="en-US"/>
        </w:rPr>
        <w:t xml:space="preserve"> et al</w:t>
      </w:r>
      <w:r>
        <w:rPr>
          <w:rFonts w:eastAsia="Calibri"/>
          <w:lang w:val="en-US"/>
        </w:rPr>
        <w:t>., 2021)</w:t>
      </w:r>
      <w:r>
        <w:rPr>
          <w:rFonts w:eastAsia="Calibri"/>
        </w:rPr>
        <w:t>.</w:t>
      </w:r>
    </w:p>
    <w:p w:rsidR="00FA1AC4" w:rsidRDefault="00FA1AC4">
      <w:pPr>
        <w:autoSpaceDE w:val="0"/>
        <w:autoSpaceDN w:val="0"/>
        <w:adjustRightInd w:val="0"/>
        <w:rPr>
          <w:rFonts w:eastAsia="Calibri"/>
        </w:rPr>
      </w:pPr>
    </w:p>
    <w:p w:rsidR="00FA1AC4" w:rsidRDefault="00B11CCA">
      <w:pPr>
        <w:pStyle w:val="Heading3"/>
        <w:numPr>
          <w:ilvl w:val="2"/>
          <w:numId w:val="25"/>
        </w:numPr>
        <w:spacing w:line="480" w:lineRule="auto"/>
        <w:rPr>
          <w:rFonts w:eastAsia="Calibri"/>
        </w:rPr>
      </w:pPr>
      <w:bookmarkStart w:id="80" w:name="_Toc112342397"/>
      <w:r>
        <w:rPr>
          <w:rFonts w:eastAsia="Calibri"/>
        </w:rPr>
        <w:t>Empirical Findings</w:t>
      </w:r>
      <w:bookmarkEnd w:id="80"/>
    </w:p>
    <w:p w:rsidR="00FA1AC4" w:rsidRDefault="00B11CCA">
      <w:pPr>
        <w:autoSpaceDE w:val="0"/>
        <w:autoSpaceDN w:val="0"/>
        <w:adjustRightInd w:val="0"/>
        <w:rPr>
          <w:rFonts w:eastAsia="Calibri"/>
        </w:rPr>
      </w:pPr>
      <w:r>
        <w:rPr>
          <w:rFonts w:eastAsia="Calibri"/>
        </w:rPr>
        <w:t>This study analytically studied the relationship between the audit committee and internal control of listed service firms using ACS, ACFM, ACC, ACM, COTA, RIAS, MOTA and INFOC as metrics and effective financial reporting using accruals as it metric. For this reason, the empirical findings of this study are as follows:</w:t>
      </w:r>
    </w:p>
    <w:p w:rsidR="00FA1AC4" w:rsidRDefault="00B11CCA">
      <w:pPr>
        <w:numPr>
          <w:ilvl w:val="0"/>
          <w:numId w:val="17"/>
        </w:numPr>
        <w:autoSpaceDE w:val="0"/>
        <w:autoSpaceDN w:val="0"/>
        <w:adjustRightInd w:val="0"/>
        <w:spacing w:after="160"/>
        <w:ind w:left="720" w:hanging="360"/>
        <w:rPr>
          <w:rFonts w:eastAsia="Calibri"/>
        </w:rPr>
      </w:pPr>
      <w:r>
        <w:rPr>
          <w:rFonts w:eastAsia="Calibri"/>
        </w:rPr>
        <w:t>According to the analysis conducted in chapter four of this study, the size of the audit committee is positively and significantly related to the quality of the financial reporting of listed service companies in Nigeria. This suggests that the audit committee size should consist of atleast six members, as doing so will reduce the efficacy of the financial reporting of listed service companies.</w:t>
      </w:r>
    </w:p>
    <w:p w:rsidR="00FA1AC4" w:rsidRDefault="00B11CCA">
      <w:pPr>
        <w:pStyle w:val="ListParagraph"/>
        <w:numPr>
          <w:ilvl w:val="0"/>
          <w:numId w:val="17"/>
        </w:numPr>
        <w:autoSpaceDE w:val="0"/>
        <w:autoSpaceDN w:val="0"/>
        <w:adjustRightInd w:val="0"/>
        <w:spacing w:after="160"/>
        <w:ind w:hanging="360"/>
        <w:rPr>
          <w:rFonts w:eastAsia="Calibri"/>
        </w:rPr>
      </w:pPr>
      <w:r>
        <w:rPr>
          <w:rFonts w:eastAsia="Calibri"/>
        </w:rPr>
        <w:t xml:space="preserve">Secondly, this study finds that more female members of the audit committee are necessary for a successful financial report, according to the findings. This is consistent with the finding that ACFM significantly influenced the financial reporting quality of publicly traded consumer products businesses in Nigeria between 2009 and 2019 (Olowookere </w:t>
      </w:r>
      <w:r>
        <w:rPr>
          <w:rFonts w:eastAsia="Calibri"/>
          <w:i/>
        </w:rPr>
        <w:t>et al</w:t>
      </w:r>
      <w:r>
        <w:rPr>
          <w:rFonts w:eastAsia="Calibri"/>
        </w:rPr>
        <w:t>., 2021)</w:t>
      </w:r>
    </w:p>
    <w:p w:rsidR="00FA1AC4" w:rsidRDefault="00B11CCA">
      <w:pPr>
        <w:numPr>
          <w:ilvl w:val="0"/>
          <w:numId w:val="17"/>
        </w:numPr>
        <w:autoSpaceDE w:val="0"/>
        <w:autoSpaceDN w:val="0"/>
        <w:adjustRightInd w:val="0"/>
        <w:spacing w:after="160"/>
        <w:ind w:left="720" w:hanging="360"/>
        <w:rPr>
          <w:rFonts w:eastAsia="Calibri"/>
        </w:rPr>
      </w:pPr>
      <w:r>
        <w:rPr>
          <w:rFonts w:eastAsia="Calibri"/>
        </w:rPr>
        <w:t xml:space="preserve">The third finding in this study shows that a significant but unfavorable association exist between the firm age and a successful financial report. The quality of the financial report would decrease when the age of the firm goes up. This finding is in line with that of (Kharashgah </w:t>
      </w:r>
      <w:r>
        <w:rPr>
          <w:rFonts w:eastAsia="Calibri"/>
          <w:i/>
        </w:rPr>
        <w:t>et al</w:t>
      </w:r>
      <w:r>
        <w:rPr>
          <w:rFonts w:eastAsia="Calibri"/>
        </w:rPr>
        <w:t xml:space="preserve">., 2019), who discovered a weak but substantial </w:t>
      </w:r>
      <w:r>
        <w:rPr>
          <w:rFonts w:eastAsia="Calibri"/>
        </w:rPr>
        <w:lastRenderedPageBreak/>
        <w:t>correlation between actual earnings management of service and industrial enterprises and company size.</w:t>
      </w:r>
    </w:p>
    <w:p w:rsidR="00FA1AC4" w:rsidRDefault="00B11CCA">
      <w:pPr>
        <w:numPr>
          <w:ilvl w:val="0"/>
          <w:numId w:val="17"/>
        </w:numPr>
        <w:autoSpaceDE w:val="0"/>
        <w:autoSpaceDN w:val="0"/>
        <w:adjustRightInd w:val="0"/>
        <w:spacing w:after="160"/>
        <w:ind w:left="720" w:hanging="360"/>
        <w:rPr>
          <w:rFonts w:eastAsia="Calibri"/>
        </w:rPr>
      </w:pPr>
      <w:r>
        <w:rPr>
          <w:rFonts w:eastAsia="Calibri"/>
        </w:rPr>
        <w:t>The fourth finding in this study shows that a significant and favorable association exist between the firm size and a successful financial report. The quality of the financial report would increase when the size of the firm goes up. This finding concur with the finding of (Efobi and Okougbo, 2014), who discovered a favorable and significant correlation between the age of the firm and the promptness of financial reporting by listed financial institutions in Nigeria between 2005 and 2008.</w:t>
      </w:r>
    </w:p>
    <w:p w:rsidR="00FA1AC4" w:rsidRDefault="00B11CCA">
      <w:pPr>
        <w:numPr>
          <w:ilvl w:val="0"/>
          <w:numId w:val="17"/>
        </w:numPr>
        <w:autoSpaceDE w:val="0"/>
        <w:autoSpaceDN w:val="0"/>
        <w:adjustRightInd w:val="0"/>
        <w:spacing w:after="160"/>
        <w:ind w:left="720" w:hanging="360"/>
        <w:rPr>
          <w:rFonts w:eastAsia="Calibri"/>
        </w:rPr>
      </w:pPr>
      <w:r>
        <w:rPr>
          <w:rFonts w:eastAsia="Calibri"/>
        </w:rPr>
        <w:t>The study's fifth finding is that there is a negative but significant association between successful financial reporting and control activities; as a result, more investment in control activities will result in less effective financial reporting. The findings of (Ejoh and Ejom, 2014) indicate there is no significant correlation between internal control activities and the financial performance of tertiary institutions (Cross River State College of Education, Akamkpa) in Nigeria for the year 2013 are in conflict with this.</w:t>
      </w:r>
    </w:p>
    <w:p w:rsidR="00FA1AC4" w:rsidRDefault="00B11CCA">
      <w:pPr>
        <w:numPr>
          <w:ilvl w:val="0"/>
          <w:numId w:val="17"/>
        </w:numPr>
        <w:autoSpaceDE w:val="0"/>
        <w:autoSpaceDN w:val="0"/>
        <w:adjustRightInd w:val="0"/>
        <w:spacing w:after="160"/>
        <w:ind w:left="720" w:hanging="360"/>
        <w:rPr>
          <w:rFonts w:eastAsia="Calibri"/>
        </w:rPr>
      </w:pPr>
      <w:r>
        <w:rPr>
          <w:rFonts w:eastAsia="Calibri"/>
        </w:rPr>
        <w:t>The study's findings indicate is that there is a positive and significant correlation between quality financial reporting and risk assessment; as a result, increasing the investment in risk assessment will result in more quality in financial reporting. This finding is in line with that of Ahmed and Muhammad (2020), who discovered a correlation between financial performance of telecommunication businesses in the Kurdistan Region of Iraq in 2018 and risk assessment of internal control.</w:t>
      </w:r>
    </w:p>
    <w:p w:rsidR="00FA1AC4" w:rsidRDefault="00B11CCA">
      <w:pPr>
        <w:numPr>
          <w:ilvl w:val="0"/>
          <w:numId w:val="17"/>
        </w:numPr>
        <w:autoSpaceDE w:val="0"/>
        <w:autoSpaceDN w:val="0"/>
        <w:adjustRightInd w:val="0"/>
        <w:ind w:left="720" w:hanging="360"/>
        <w:rPr>
          <w:rFonts w:eastAsia="Calibri"/>
        </w:rPr>
      </w:pPr>
      <w:r>
        <w:rPr>
          <w:rFonts w:eastAsia="Calibri"/>
        </w:rPr>
        <w:lastRenderedPageBreak/>
        <w:t xml:space="preserve">This study also finds a substantial but unfavourable correlation between monitoring activities, and quality financial reporting of a subset of Nigerian listed service companies. This supports the finding that there is a considerable positive association between internal control and financial success (Hanoon </w:t>
      </w:r>
      <w:r>
        <w:rPr>
          <w:rFonts w:eastAsia="Calibri"/>
          <w:i/>
        </w:rPr>
        <w:t>et al</w:t>
      </w:r>
      <w:r>
        <w:rPr>
          <w:rFonts w:eastAsia="Calibri"/>
        </w:rPr>
        <w:t>., 2020).</w:t>
      </w:r>
    </w:p>
    <w:p w:rsidR="00FA1AC4" w:rsidRDefault="00FA1AC4">
      <w:pPr>
        <w:autoSpaceDE w:val="0"/>
        <w:autoSpaceDN w:val="0"/>
        <w:adjustRightInd w:val="0"/>
        <w:ind w:left="720"/>
        <w:rPr>
          <w:rFonts w:eastAsia="Calibri"/>
        </w:rPr>
      </w:pPr>
    </w:p>
    <w:p w:rsidR="00FA1AC4" w:rsidRDefault="00B11CCA">
      <w:pPr>
        <w:pStyle w:val="Heading2"/>
        <w:numPr>
          <w:ilvl w:val="1"/>
          <w:numId w:val="25"/>
        </w:numPr>
        <w:rPr>
          <w:rFonts w:eastAsia="Calibri"/>
        </w:rPr>
      </w:pPr>
      <w:bookmarkStart w:id="81" w:name="_Toc112342398"/>
      <w:r>
        <w:rPr>
          <w:rFonts w:eastAsia="Calibri"/>
        </w:rPr>
        <w:t>Conclusion</w:t>
      </w:r>
      <w:bookmarkEnd w:id="81"/>
      <w:r>
        <w:rPr>
          <w:rFonts w:eastAsia="Calibri"/>
        </w:rPr>
        <w:t xml:space="preserve"> </w:t>
      </w:r>
    </w:p>
    <w:p w:rsidR="00FA1AC4" w:rsidRDefault="00B11CCA">
      <w:pPr>
        <w:autoSpaceDE w:val="0"/>
        <w:autoSpaceDN w:val="0"/>
        <w:adjustRightInd w:val="0"/>
        <w:spacing w:after="240"/>
        <w:rPr>
          <w:rFonts w:eastAsia="Calibri"/>
        </w:rPr>
      </w:pPr>
      <w:r>
        <w:rPr>
          <w:rFonts w:eastAsia="Calibri"/>
        </w:rPr>
        <w:t>In this study, the impact of internal controls and audit committees on listed service companies in Nigeria was empirically investigated. The study demonstrates a substantial relationship between the explanatory variables ACS, ACFM, COTA, RIAS and MOTA and the explained variable accruals, which is a stand-in for efficient financial reporting. The study comes to the conclusion that key determinants of efficient financial reporting in listed service organizations in Nigeria are audit committee size, female members, control activities, risk assessment and monitoring activities. This shows that increasing the number of audit committee female members, size, firm age, firm size and risk assessment will increase the efficacy of financial reporting, however increasing control and monitoring activities will result in a drop in the quality of financial reporting.</w:t>
      </w:r>
    </w:p>
    <w:p w:rsidR="00FA1AC4" w:rsidRDefault="00B11CCA">
      <w:pPr>
        <w:pStyle w:val="Heading2"/>
        <w:numPr>
          <w:ilvl w:val="1"/>
          <w:numId w:val="25"/>
        </w:numPr>
        <w:rPr>
          <w:rFonts w:eastAsia="Calibri"/>
        </w:rPr>
      </w:pPr>
      <w:bookmarkStart w:id="82" w:name="_Toc112342399"/>
      <w:r>
        <w:rPr>
          <w:rFonts w:eastAsia="Calibri"/>
        </w:rPr>
        <w:t>Recommendations</w:t>
      </w:r>
      <w:bookmarkEnd w:id="82"/>
    </w:p>
    <w:p w:rsidR="00FA1AC4" w:rsidRDefault="00B11CCA">
      <w:pPr>
        <w:autoSpaceDE w:val="0"/>
        <w:autoSpaceDN w:val="0"/>
        <w:adjustRightInd w:val="0"/>
        <w:rPr>
          <w:rFonts w:eastAsia="Calibri"/>
        </w:rPr>
      </w:pPr>
      <w:r>
        <w:rPr>
          <w:rFonts w:eastAsia="Calibri"/>
        </w:rPr>
        <w:t>This study’s recommendations are as follows:</w:t>
      </w:r>
    </w:p>
    <w:p w:rsidR="00FA1AC4" w:rsidRDefault="00B11CCA">
      <w:pPr>
        <w:pStyle w:val="ListParagraph"/>
        <w:numPr>
          <w:ilvl w:val="0"/>
          <w:numId w:val="22"/>
        </w:numPr>
        <w:autoSpaceDE w:val="0"/>
        <w:autoSpaceDN w:val="0"/>
        <w:adjustRightInd w:val="0"/>
        <w:spacing w:after="160"/>
        <w:rPr>
          <w:rFonts w:eastAsia="Calibri"/>
        </w:rPr>
      </w:pPr>
      <w:r>
        <w:rPr>
          <w:rFonts w:eastAsia="Calibri"/>
          <w:lang w:val="en-US"/>
        </w:rPr>
        <w:t xml:space="preserve">Audit committee size should be atleast minimum of </w:t>
      </w:r>
      <w:proofErr w:type="gramStart"/>
      <w:r>
        <w:rPr>
          <w:rFonts w:eastAsia="Calibri"/>
          <w:lang w:val="en-US"/>
        </w:rPr>
        <w:t>six(</w:t>
      </w:r>
      <w:proofErr w:type="gramEnd"/>
      <w:r>
        <w:rPr>
          <w:rFonts w:eastAsia="Calibri"/>
          <w:lang w:val="en-US"/>
        </w:rPr>
        <w:t>6)memers</w:t>
      </w:r>
      <w:r>
        <w:rPr>
          <w:rFonts w:eastAsia="Calibri"/>
        </w:rPr>
        <w:t xml:space="preserve"> The size of the AC should not be packed in order to avoid talking about other topics.</w:t>
      </w:r>
    </w:p>
    <w:p w:rsidR="00FA1AC4" w:rsidRDefault="00B11CCA">
      <w:pPr>
        <w:pStyle w:val="ListParagraph"/>
        <w:numPr>
          <w:ilvl w:val="0"/>
          <w:numId w:val="22"/>
        </w:numPr>
        <w:autoSpaceDE w:val="0"/>
        <w:autoSpaceDN w:val="0"/>
        <w:adjustRightInd w:val="0"/>
        <w:spacing w:after="160"/>
        <w:rPr>
          <w:rFonts w:eastAsia="Calibri"/>
        </w:rPr>
      </w:pPr>
      <w:r>
        <w:rPr>
          <w:rFonts w:eastAsia="Calibri"/>
        </w:rPr>
        <w:t xml:space="preserve">This study suggests that there should be at least three female members among the audit committee size of six (three male and three female). Management should give </w:t>
      </w:r>
      <w:r>
        <w:rPr>
          <w:rFonts w:eastAsia="Calibri"/>
        </w:rPr>
        <w:lastRenderedPageBreak/>
        <w:t>the female appropriate consideration in the audit committee membership because the result of this study shows that more of them in the size will result into a quality financial reporting.</w:t>
      </w:r>
    </w:p>
    <w:p w:rsidR="00FA1AC4" w:rsidRDefault="00B11CCA">
      <w:pPr>
        <w:pStyle w:val="ListParagraph"/>
        <w:numPr>
          <w:ilvl w:val="0"/>
          <w:numId w:val="22"/>
        </w:numPr>
        <w:autoSpaceDE w:val="0"/>
        <w:autoSpaceDN w:val="0"/>
        <w:adjustRightInd w:val="0"/>
        <w:spacing w:after="160"/>
        <w:rPr>
          <w:rFonts w:eastAsia="Calibri"/>
        </w:rPr>
      </w:pPr>
      <w:r>
        <w:rPr>
          <w:rFonts w:eastAsia="Calibri"/>
        </w:rPr>
        <w:t>There should be timely report of internal control issues to achieve highest level of financial reporting effectiveness because risk assessment is paramount in identifying and mitigating both internal and external hostile.</w:t>
      </w:r>
    </w:p>
    <w:p w:rsidR="00FA1AC4" w:rsidRDefault="00B11CCA">
      <w:pPr>
        <w:pStyle w:val="ListParagraph"/>
        <w:numPr>
          <w:ilvl w:val="0"/>
          <w:numId w:val="22"/>
        </w:numPr>
        <w:autoSpaceDE w:val="0"/>
        <w:autoSpaceDN w:val="0"/>
        <w:adjustRightInd w:val="0"/>
        <w:rPr>
          <w:rFonts w:eastAsia="Calibri"/>
        </w:rPr>
      </w:pPr>
      <w:r>
        <w:rPr>
          <w:rFonts w:eastAsia="Calibri"/>
        </w:rPr>
        <w:t>The control and monitoring activities of the quality assurance or internal control department should be done more frequently so as to be able to identify any form of risk as they occur and flag the variations identified for provision of possible solutions to overcome it.</w:t>
      </w:r>
    </w:p>
    <w:p w:rsidR="00FA1AC4" w:rsidRDefault="00FA1AC4">
      <w:pPr>
        <w:pStyle w:val="ListParagraph"/>
        <w:autoSpaceDE w:val="0"/>
        <w:autoSpaceDN w:val="0"/>
        <w:adjustRightInd w:val="0"/>
        <w:rPr>
          <w:rFonts w:eastAsia="Calibri"/>
        </w:rPr>
      </w:pPr>
    </w:p>
    <w:p w:rsidR="00FA1AC4" w:rsidRDefault="00B11CCA">
      <w:pPr>
        <w:pStyle w:val="Heading2"/>
        <w:numPr>
          <w:ilvl w:val="1"/>
          <w:numId w:val="25"/>
        </w:numPr>
        <w:rPr>
          <w:rFonts w:eastAsia="Calibri"/>
        </w:rPr>
      </w:pPr>
      <w:bookmarkStart w:id="83" w:name="_Toc112342400"/>
      <w:r>
        <w:rPr>
          <w:rFonts w:eastAsia="Calibri"/>
        </w:rPr>
        <w:t>Contributions to Knowledge</w:t>
      </w:r>
      <w:bookmarkEnd w:id="83"/>
    </w:p>
    <w:p w:rsidR="00FA1AC4" w:rsidRDefault="00B11CCA">
      <w:pPr>
        <w:autoSpaceDE w:val="0"/>
        <w:autoSpaceDN w:val="0"/>
        <w:adjustRightInd w:val="0"/>
        <w:rPr>
          <w:rFonts w:eastAsia="Calibri"/>
        </w:rPr>
      </w:pPr>
      <w:r>
        <w:rPr>
          <w:rFonts w:eastAsia="Calibri"/>
        </w:rPr>
        <w:t>Based on the findings of this study, contributions are made to empirical studies of internal control, quality financial reporting, and audit committee characteristics. It contributes by revealing that ACS, ACFM, COTA, RIAS and MOTA have significant effect on the quality of financial reporting. This discovery provides important contributions to the growing body of knowledge on corporate governance (CG), particularly with regards to the applicability of Audit Committee characteristics and internal control components in emerging economies. This study closes knowledge gaps about the value of internal control and audit committee in reducing financial manipulations and improving the accuracy of financial reporting. This study helps the stakeholders emphasize the audit committee and internal control more.</w:t>
      </w:r>
    </w:p>
    <w:p w:rsidR="00FA1AC4" w:rsidRDefault="00B11CCA">
      <w:pPr>
        <w:autoSpaceDE w:val="0"/>
        <w:autoSpaceDN w:val="0"/>
        <w:adjustRightInd w:val="0"/>
        <w:rPr>
          <w:rFonts w:eastAsia="Calibri"/>
        </w:rPr>
      </w:pPr>
      <w:r>
        <w:rPr>
          <w:rFonts w:eastAsia="Calibri"/>
          <w:b/>
          <w:bCs/>
        </w:rPr>
        <w:lastRenderedPageBreak/>
        <w:t>Practical implications</w:t>
      </w:r>
      <w:r>
        <w:rPr>
          <w:rFonts w:eastAsia="Calibri"/>
        </w:rPr>
        <w:t xml:space="preserve"> – Policymakers and regulators can gain from this study by being better able to understand the importance of the audit committee and internal control role in reducing artificial manipulations and so improving the effectiveness of financial reporting.</w:t>
      </w:r>
    </w:p>
    <w:p w:rsidR="00FA1AC4" w:rsidRDefault="00B11CCA">
      <w:pPr>
        <w:autoSpaceDE w:val="0"/>
        <w:autoSpaceDN w:val="0"/>
        <w:adjustRightInd w:val="0"/>
        <w:spacing w:after="240"/>
        <w:rPr>
          <w:rFonts w:eastAsia="Calibri"/>
        </w:rPr>
      </w:pPr>
      <w:r>
        <w:rPr>
          <w:rFonts w:eastAsia="Calibri"/>
          <w:b/>
          <w:bCs/>
        </w:rPr>
        <w:t xml:space="preserve">Social implications </w:t>
      </w:r>
      <w:r>
        <w:rPr>
          <w:rFonts w:eastAsia="Calibri"/>
        </w:rPr>
        <w:t>– The general public can gain from this study by being better able to understand the importance of the audit committee's and internal controls' role in reducing financial manipulation and improving the calibre of financial reporting.</w:t>
      </w:r>
    </w:p>
    <w:p w:rsidR="00FA1AC4" w:rsidRDefault="00B11CCA">
      <w:pPr>
        <w:autoSpaceDE w:val="0"/>
        <w:autoSpaceDN w:val="0"/>
        <w:adjustRightInd w:val="0"/>
        <w:rPr>
          <w:rFonts w:eastAsia="Calibri"/>
        </w:rPr>
      </w:pPr>
      <w:r>
        <w:rPr>
          <w:rFonts w:eastAsia="Calibri"/>
        </w:rPr>
        <w:t>Generally, this study will add to already exiting literature with regards to audit committee characteristics and internal control of service listed firms in Nigeria.</w:t>
      </w:r>
    </w:p>
    <w:p w:rsidR="00FA1AC4" w:rsidRDefault="00FA1AC4">
      <w:pPr>
        <w:autoSpaceDE w:val="0"/>
        <w:autoSpaceDN w:val="0"/>
        <w:adjustRightInd w:val="0"/>
        <w:rPr>
          <w:rFonts w:eastAsia="Calibri"/>
        </w:rPr>
      </w:pPr>
    </w:p>
    <w:p w:rsidR="00FA1AC4" w:rsidRDefault="00B11CCA">
      <w:pPr>
        <w:pStyle w:val="Heading2"/>
        <w:numPr>
          <w:ilvl w:val="1"/>
          <w:numId w:val="25"/>
        </w:numPr>
        <w:rPr>
          <w:rFonts w:eastAsia="Calibri"/>
        </w:rPr>
      </w:pPr>
      <w:bookmarkStart w:id="84" w:name="_Toc112342401"/>
      <w:r>
        <w:rPr>
          <w:rFonts w:eastAsia="Calibri"/>
        </w:rPr>
        <w:t>Limitations of the Study</w:t>
      </w:r>
      <w:bookmarkEnd w:id="84"/>
    </w:p>
    <w:p w:rsidR="00FA1AC4" w:rsidRDefault="00B11CCA">
      <w:pPr>
        <w:autoSpaceDE w:val="0"/>
        <w:autoSpaceDN w:val="0"/>
        <w:adjustRightInd w:val="0"/>
        <w:rPr>
          <w:rFonts w:eastAsia="Calibri"/>
        </w:rPr>
      </w:pPr>
      <w:r>
        <w:rPr>
          <w:rFonts w:eastAsia="Calibri"/>
        </w:rPr>
        <w:t>This study has some limitations:</w:t>
      </w:r>
    </w:p>
    <w:p w:rsidR="00FA1AC4" w:rsidRDefault="00B11CCA">
      <w:pPr>
        <w:numPr>
          <w:ilvl w:val="0"/>
          <w:numId w:val="20"/>
        </w:numPr>
        <w:autoSpaceDE w:val="0"/>
        <w:autoSpaceDN w:val="0"/>
        <w:adjustRightInd w:val="0"/>
        <w:ind w:left="720" w:hanging="360"/>
        <w:rPr>
          <w:rFonts w:eastAsia="Calibri"/>
        </w:rPr>
      </w:pPr>
      <w:r>
        <w:rPr>
          <w:rFonts w:eastAsia="Calibri"/>
        </w:rPr>
        <w:t>This study only focusses on audit committee size, composition, female members and meeting while there are other audit committee characteristics like audit committee financial expertise, tenure, religion, experiences, ethnic groups whose effect can be measured on the effective financial reporting.</w:t>
      </w:r>
    </w:p>
    <w:p w:rsidR="00FA1AC4" w:rsidRDefault="00B11CCA">
      <w:pPr>
        <w:numPr>
          <w:ilvl w:val="0"/>
          <w:numId w:val="20"/>
        </w:numPr>
        <w:autoSpaceDE w:val="0"/>
        <w:autoSpaceDN w:val="0"/>
        <w:adjustRightInd w:val="0"/>
        <w:spacing w:after="160"/>
        <w:ind w:left="720" w:hanging="360"/>
        <w:rPr>
          <w:rFonts w:eastAsia="Calibri"/>
        </w:rPr>
      </w:pPr>
      <w:r>
        <w:rPr>
          <w:rFonts w:eastAsia="Calibri"/>
        </w:rPr>
        <w:t>The research focuses only on listed service sector in Nigeria while there are other sectors like manufacturing, consumer goods, oil, and gas etc.</w:t>
      </w:r>
    </w:p>
    <w:p w:rsidR="00FA1AC4" w:rsidRDefault="00B11CCA">
      <w:pPr>
        <w:numPr>
          <w:ilvl w:val="0"/>
          <w:numId w:val="20"/>
        </w:numPr>
        <w:autoSpaceDE w:val="0"/>
        <w:autoSpaceDN w:val="0"/>
        <w:adjustRightInd w:val="0"/>
        <w:spacing w:after="160"/>
        <w:ind w:left="720" w:hanging="360"/>
        <w:rPr>
          <w:rFonts w:eastAsia="Calibri"/>
        </w:rPr>
      </w:pPr>
      <w:r>
        <w:rPr>
          <w:rFonts w:eastAsia="Calibri"/>
        </w:rPr>
        <w:t xml:space="preserve">It only covered a period of eleven years (2010-2020). </w:t>
      </w:r>
    </w:p>
    <w:p w:rsidR="00FA1AC4" w:rsidRDefault="00B11CCA">
      <w:pPr>
        <w:pStyle w:val="Heading2"/>
        <w:numPr>
          <w:ilvl w:val="1"/>
          <w:numId w:val="25"/>
        </w:numPr>
        <w:rPr>
          <w:rFonts w:eastAsia="Calibri"/>
        </w:rPr>
      </w:pPr>
      <w:bookmarkStart w:id="85" w:name="_Toc112342402"/>
      <w:r>
        <w:rPr>
          <w:rFonts w:eastAsia="Calibri"/>
        </w:rPr>
        <w:t>Suggestions for Future Study</w:t>
      </w:r>
      <w:bookmarkEnd w:id="85"/>
    </w:p>
    <w:p w:rsidR="00FA1AC4" w:rsidRDefault="00B11CCA">
      <w:pPr>
        <w:autoSpaceDE w:val="0"/>
        <w:autoSpaceDN w:val="0"/>
        <w:adjustRightInd w:val="0"/>
        <w:rPr>
          <w:rFonts w:eastAsia="Calibri"/>
        </w:rPr>
      </w:pPr>
      <w:r>
        <w:rPr>
          <w:rFonts w:eastAsia="Calibri"/>
        </w:rPr>
        <w:t xml:space="preserve">This study assessed the importance of the audit committee and internal controls for listed service firms in Nigeria between 2010 and 2020, (11 years). This study then makes the case </w:t>
      </w:r>
      <w:r>
        <w:rPr>
          <w:rFonts w:eastAsia="Calibri"/>
        </w:rPr>
        <w:lastRenderedPageBreak/>
        <w:t>for future research to include other factors as a stand-in for the effectiveness of internal controls, the audit committee, and financial reporting.</w:t>
      </w:r>
    </w:p>
    <w:p w:rsidR="00FA1AC4" w:rsidRDefault="00B11CCA">
      <w:pPr>
        <w:autoSpaceDE w:val="0"/>
        <w:autoSpaceDN w:val="0"/>
        <w:adjustRightInd w:val="0"/>
        <w:rPr>
          <w:rFonts w:eastAsia="Calibri"/>
        </w:rPr>
      </w:pPr>
      <w:r>
        <w:rPr>
          <w:rFonts w:eastAsia="Calibri"/>
        </w:rPr>
        <w:t>The scope could be increased for future studies; the number of years covered and population sample. Future studies can also look at a different or more than one model.</w:t>
      </w:r>
    </w:p>
    <w:p w:rsidR="00FA1AC4" w:rsidRDefault="00B11CCA">
      <w:pPr>
        <w:spacing w:after="160" w:line="259" w:lineRule="auto"/>
        <w:rPr>
          <w:rFonts w:eastAsia="Calibri"/>
        </w:rPr>
      </w:pPr>
      <w:r>
        <w:rPr>
          <w:rFonts w:eastAsia="Calibri"/>
        </w:rPr>
        <w:br w:type="page"/>
      </w:r>
    </w:p>
    <w:p w:rsidR="00FA1AC4" w:rsidRDefault="00B11CCA">
      <w:pPr>
        <w:pStyle w:val="Heading1"/>
        <w:spacing w:before="0" w:line="480" w:lineRule="auto"/>
        <w:rPr>
          <w:rFonts w:eastAsia="AdvGulliv-R"/>
        </w:rPr>
      </w:pPr>
      <w:bookmarkStart w:id="86" w:name="_Toc112342403"/>
      <w:r>
        <w:rPr>
          <w:rFonts w:eastAsia="AdvGulliv-R"/>
        </w:rPr>
        <w:lastRenderedPageBreak/>
        <w:t>REFERENCES</w:t>
      </w:r>
      <w:bookmarkEnd w:id="86"/>
    </w:p>
    <w:p w:rsidR="00FA1AC4" w:rsidRDefault="00B11CCA">
      <w:pPr>
        <w:widowControl w:val="0"/>
        <w:autoSpaceDE w:val="0"/>
        <w:autoSpaceDN w:val="0"/>
        <w:adjustRightInd w:val="0"/>
        <w:ind w:left="480" w:hanging="480"/>
        <w:rPr>
          <w:noProof/>
        </w:rPr>
      </w:pPr>
      <w:r>
        <w:rPr>
          <w:rFonts w:eastAsia="AdvGulliv-R"/>
          <w:bCs/>
        </w:rPr>
        <w:fldChar w:fldCharType="begin"/>
      </w:r>
      <w:r>
        <w:rPr>
          <w:rFonts w:eastAsia="AdvGulliv-R"/>
          <w:bCs/>
        </w:rPr>
        <w:instrText xml:space="preserve">ADDIN Mendeley Bibliography CSL_BIBLIOGRAPHY </w:instrText>
      </w:r>
      <w:r>
        <w:rPr>
          <w:rFonts w:eastAsia="AdvGulliv-R"/>
          <w:bCs/>
        </w:rPr>
        <w:fldChar w:fldCharType="separate"/>
      </w:r>
      <w:r>
        <w:rPr>
          <w:noProof/>
        </w:rPr>
        <w:t xml:space="preserve">Aanu, O. S. (2017). Examining the Quality of Financial Reporting in the Banking Sector iccounting Expertise. </w:t>
      </w:r>
      <w:r>
        <w:rPr>
          <w:i/>
          <w:iCs/>
          <w:noProof/>
        </w:rPr>
        <w:t>Journal of Internet Banking and Commerce</w:t>
      </w:r>
      <w:r>
        <w:rPr>
          <w:noProof/>
        </w:rPr>
        <w:t xml:space="preserve">, </w:t>
      </w:r>
      <w:r>
        <w:rPr>
          <w:i/>
          <w:iCs/>
          <w:noProof/>
        </w:rPr>
        <w:t>21</w:t>
      </w:r>
      <w:r>
        <w:rPr>
          <w:noProof/>
        </w:rPr>
        <w:t>(3), 1–18.</w:t>
      </w:r>
    </w:p>
    <w:p w:rsidR="00FA1AC4" w:rsidRDefault="00B11CCA">
      <w:pPr>
        <w:widowControl w:val="0"/>
        <w:autoSpaceDE w:val="0"/>
        <w:autoSpaceDN w:val="0"/>
        <w:adjustRightInd w:val="0"/>
        <w:ind w:left="480" w:hanging="480"/>
        <w:rPr>
          <w:noProof/>
        </w:rPr>
      </w:pPr>
      <w:r>
        <w:rPr>
          <w:noProof/>
        </w:rPr>
        <w:t xml:space="preserve">Abbasi, K., Alam, A., &amp; Bhuiyan, M. B. U. (2020). Audit committees, female directors and the types of female and male financial experts: Further evidence. </w:t>
      </w:r>
      <w:r>
        <w:rPr>
          <w:i/>
          <w:iCs/>
          <w:noProof/>
        </w:rPr>
        <w:t>Journal of Business Research</w:t>
      </w:r>
      <w:r>
        <w:rPr>
          <w:noProof/>
        </w:rPr>
        <w:t xml:space="preserve">, </w:t>
      </w:r>
      <w:r>
        <w:rPr>
          <w:i/>
          <w:iCs/>
          <w:noProof/>
        </w:rPr>
        <w:t>114</w:t>
      </w:r>
      <w:r>
        <w:rPr>
          <w:noProof/>
        </w:rPr>
        <w:t>(September 2019), 186–197. https://doi.org/10.1016/j.jbusres.2020.04.013</w:t>
      </w:r>
    </w:p>
    <w:p w:rsidR="00FA1AC4" w:rsidRDefault="00B11CCA">
      <w:pPr>
        <w:widowControl w:val="0"/>
        <w:autoSpaceDE w:val="0"/>
        <w:autoSpaceDN w:val="0"/>
        <w:adjustRightInd w:val="0"/>
        <w:ind w:left="480" w:hanging="480"/>
        <w:rPr>
          <w:noProof/>
        </w:rPr>
      </w:pPr>
      <w:r>
        <w:rPr>
          <w:noProof/>
        </w:rPr>
        <w:t>Abdulla, J.M.A., 1996. ‘Timeliness of Bahraini Annual Reports’, In Doupnik T.S. and Salter, S.B. (Eds.), Advances in International Accounting, 9: 73-88.</w:t>
      </w:r>
    </w:p>
    <w:p w:rsidR="00FA1AC4" w:rsidRDefault="00B11CCA">
      <w:pPr>
        <w:widowControl w:val="0"/>
        <w:autoSpaceDE w:val="0"/>
        <w:autoSpaceDN w:val="0"/>
        <w:adjustRightInd w:val="0"/>
        <w:ind w:left="480" w:hanging="480"/>
        <w:rPr>
          <w:noProof/>
        </w:rPr>
      </w:pPr>
      <w:r>
        <w:rPr>
          <w:noProof/>
        </w:rPr>
        <w:t xml:space="preserve">Abernathy, J. L., Kang, T., &amp; Krishnan, G. V. (2012). Audit Committee Expertise and Financial Analysts’ and Investors’ Ability to Anticipate Future Earnings. </w:t>
      </w:r>
      <w:r>
        <w:rPr>
          <w:i/>
          <w:iCs/>
          <w:noProof/>
        </w:rPr>
        <w:t>SSRN Electronic Journal</w:t>
      </w:r>
      <w:r>
        <w:rPr>
          <w:noProof/>
        </w:rPr>
        <w:t>. https://doi.org/10.2139/ssrn.1942928</w:t>
      </w:r>
    </w:p>
    <w:p w:rsidR="00FA1AC4" w:rsidRDefault="00B11CCA">
      <w:pPr>
        <w:widowControl w:val="0"/>
        <w:autoSpaceDE w:val="0"/>
        <w:autoSpaceDN w:val="0"/>
        <w:adjustRightInd w:val="0"/>
        <w:ind w:left="480" w:hanging="480"/>
        <w:rPr>
          <w:noProof/>
        </w:rPr>
      </w:pPr>
      <w:r>
        <w:rPr>
          <w:noProof/>
        </w:rPr>
        <w:t>Adediran, S. A., Alade, S. O., &amp; Oshode, A. A. (2013). Reliability of financial reporting and companies attribute: The Nigerian experience. Research Journal of Finance and Accounting, 4(16), 108-114</w:t>
      </w:r>
    </w:p>
    <w:p w:rsidR="00FA1AC4" w:rsidRDefault="00B11CCA">
      <w:pPr>
        <w:widowControl w:val="0"/>
        <w:autoSpaceDE w:val="0"/>
        <w:autoSpaceDN w:val="0"/>
        <w:adjustRightInd w:val="0"/>
        <w:ind w:left="480" w:hanging="480"/>
        <w:rPr>
          <w:noProof/>
        </w:rPr>
      </w:pPr>
      <w:r>
        <w:rPr>
          <w:noProof/>
        </w:rPr>
        <w:t xml:space="preserve">Adetokunbo, A. M., &amp; Edioye, O. P. (2020). Response of economic growth to the dynamics of service sector in Nigeria. </w:t>
      </w:r>
      <w:r>
        <w:rPr>
          <w:i/>
          <w:iCs/>
          <w:noProof/>
        </w:rPr>
        <w:t>Future Business Journal</w:t>
      </w:r>
      <w:r>
        <w:rPr>
          <w:noProof/>
        </w:rPr>
        <w:t xml:space="preserve">, </w:t>
      </w:r>
      <w:r>
        <w:rPr>
          <w:i/>
          <w:iCs/>
          <w:noProof/>
        </w:rPr>
        <w:t>6</w:t>
      </w:r>
      <w:r>
        <w:rPr>
          <w:noProof/>
        </w:rPr>
        <w:t>(27). https://doi.org/10.1186/s43093-020-00018-9</w:t>
      </w:r>
    </w:p>
    <w:p w:rsidR="00FA1AC4" w:rsidRDefault="00B11CCA">
      <w:pPr>
        <w:widowControl w:val="0"/>
        <w:autoSpaceDE w:val="0"/>
        <w:autoSpaceDN w:val="0"/>
        <w:adjustRightInd w:val="0"/>
        <w:ind w:left="480" w:hanging="480"/>
        <w:rPr>
          <w:noProof/>
        </w:rPr>
      </w:pPr>
      <w:r>
        <w:rPr>
          <w:noProof/>
        </w:rPr>
        <w:t xml:space="preserve">Afiah, N. N., &amp; Azwari, P. C. (2015). The Effect of the Implementation of Government Internal Control System (GICS) on the Quality of Financial Reporting of the Local Government and its Impact on the Principles of Good Governance_ A Research in District, City, and Provincial Government in Sou. </w:t>
      </w:r>
      <w:r>
        <w:rPr>
          <w:i/>
          <w:iCs/>
          <w:noProof/>
        </w:rPr>
        <w:t>Business and Behavioural Sciences</w:t>
      </w:r>
      <w:r>
        <w:rPr>
          <w:noProof/>
        </w:rPr>
        <w:t xml:space="preserve">, </w:t>
      </w:r>
      <w:r>
        <w:rPr>
          <w:i/>
          <w:iCs/>
          <w:noProof/>
        </w:rPr>
        <w:lastRenderedPageBreak/>
        <w:t>211</w:t>
      </w:r>
      <w:r>
        <w:rPr>
          <w:noProof/>
        </w:rPr>
        <w:t>, 811–818.</w:t>
      </w:r>
    </w:p>
    <w:p w:rsidR="00FA1AC4" w:rsidRDefault="00B11CCA">
      <w:pPr>
        <w:widowControl w:val="0"/>
        <w:autoSpaceDE w:val="0"/>
        <w:autoSpaceDN w:val="0"/>
        <w:adjustRightInd w:val="0"/>
        <w:ind w:left="480" w:hanging="480"/>
        <w:rPr>
          <w:noProof/>
        </w:rPr>
      </w:pPr>
      <w:r>
        <w:rPr>
          <w:noProof/>
        </w:rPr>
        <w:t xml:space="preserve">Agwor, T. C., &amp; Onukogu, J. O. (2018). Audit Committee Expertise and Earnings Management of Quoted Food and Beverages Firms in Nigeria. </w:t>
      </w:r>
      <w:r>
        <w:rPr>
          <w:i/>
          <w:iCs/>
          <w:noProof/>
        </w:rPr>
        <w:t>International Journal of Economics and Financial Management</w:t>
      </w:r>
      <w:r>
        <w:rPr>
          <w:noProof/>
        </w:rPr>
        <w:t xml:space="preserve">, </w:t>
      </w:r>
      <w:r>
        <w:rPr>
          <w:i/>
          <w:iCs/>
          <w:noProof/>
        </w:rPr>
        <w:t>3</w:t>
      </w:r>
      <w:r>
        <w:rPr>
          <w:noProof/>
        </w:rPr>
        <w:t>(1), 44–55.</w:t>
      </w:r>
    </w:p>
    <w:p w:rsidR="00FA1AC4" w:rsidRDefault="00B11CCA">
      <w:pPr>
        <w:widowControl w:val="0"/>
        <w:autoSpaceDE w:val="0"/>
        <w:autoSpaceDN w:val="0"/>
        <w:adjustRightInd w:val="0"/>
        <w:ind w:left="480" w:hanging="480"/>
        <w:rPr>
          <w:noProof/>
        </w:rPr>
      </w:pPr>
      <w:r>
        <w:rPr>
          <w:noProof/>
        </w:rPr>
        <w:t xml:space="preserve">Agyei-Mensah, B. K., Agyemang, O. S., &amp; Ansong, A. (2019). </w:t>
      </w:r>
      <w:r>
        <w:rPr>
          <w:i/>
          <w:iCs/>
          <w:noProof/>
        </w:rPr>
        <w:t>Audit Committee Effectiveness, Audit Quality, and Internal Control Information Disclosures</w:t>
      </w:r>
      <w:r>
        <w:rPr>
          <w:noProof/>
        </w:rPr>
        <w:t xml:space="preserve">. </w:t>
      </w:r>
      <w:r>
        <w:rPr>
          <w:i/>
          <w:iCs/>
          <w:noProof/>
        </w:rPr>
        <w:t>August</w:t>
      </w:r>
      <w:r>
        <w:rPr>
          <w:noProof/>
        </w:rPr>
        <w:t>, 1–22. https://doi.org/10.4018/978-1-5225-9607-3.ch001</w:t>
      </w:r>
    </w:p>
    <w:p w:rsidR="00FA1AC4" w:rsidRDefault="00B11CCA">
      <w:pPr>
        <w:widowControl w:val="0"/>
        <w:autoSpaceDE w:val="0"/>
        <w:autoSpaceDN w:val="0"/>
        <w:adjustRightInd w:val="0"/>
        <w:ind w:left="480" w:hanging="480"/>
        <w:rPr>
          <w:noProof/>
        </w:rPr>
      </w:pPr>
      <w:r>
        <w:rPr>
          <w:noProof/>
        </w:rPr>
        <w:t xml:space="preserve">Ahmed, A. M., &amp; Muhammed, A. A. (2020). Internal Control Systems And Its Relationships With The Financial Performance In Telecommunication Companies ― A Case Study Of Asiacell. </w:t>
      </w:r>
      <w:r>
        <w:rPr>
          <w:i/>
          <w:iCs/>
          <w:noProof/>
        </w:rPr>
        <w:t>International Journal of Siencentific &amp; Technology Research</w:t>
      </w:r>
      <w:r>
        <w:rPr>
          <w:noProof/>
        </w:rPr>
        <w:t xml:space="preserve">, </w:t>
      </w:r>
      <w:r>
        <w:rPr>
          <w:i/>
          <w:iCs/>
          <w:noProof/>
        </w:rPr>
        <w:t>7</w:t>
      </w:r>
      <w:r>
        <w:rPr>
          <w:noProof/>
        </w:rPr>
        <w:t>(11). https://doi.org/10.29358/sceco.v0i28.416</w:t>
      </w:r>
    </w:p>
    <w:p w:rsidR="00FA1AC4" w:rsidRDefault="00B11CCA">
      <w:pPr>
        <w:widowControl w:val="0"/>
        <w:autoSpaceDE w:val="0"/>
        <w:autoSpaceDN w:val="0"/>
        <w:adjustRightInd w:val="0"/>
        <w:ind w:left="480" w:hanging="480"/>
        <w:rPr>
          <w:noProof/>
        </w:rPr>
      </w:pPr>
      <w:r>
        <w:rPr>
          <w:noProof/>
        </w:rPr>
        <w:t xml:space="preserve">Ajao, O. S., &amp; Amosun, O. O. (2020). Internal Control Systems and Quality of Financial Reporting in Insurance Industry in Nigeria. </w:t>
      </w:r>
      <w:r>
        <w:rPr>
          <w:i/>
          <w:iCs/>
          <w:noProof/>
        </w:rPr>
        <w:t>Journal of Finance and Accounting</w:t>
      </w:r>
      <w:r>
        <w:rPr>
          <w:noProof/>
        </w:rPr>
        <w:t xml:space="preserve">, </w:t>
      </w:r>
      <w:r>
        <w:rPr>
          <w:i/>
          <w:iCs/>
          <w:noProof/>
        </w:rPr>
        <w:t>8</w:t>
      </w:r>
      <w:r>
        <w:rPr>
          <w:noProof/>
        </w:rPr>
        <w:t>(5), 218. https://doi.org/10.11648/j.jfa.20200805.12</w:t>
      </w:r>
    </w:p>
    <w:p w:rsidR="00FA1AC4" w:rsidRDefault="00B11CCA">
      <w:pPr>
        <w:widowControl w:val="0"/>
        <w:autoSpaceDE w:val="0"/>
        <w:autoSpaceDN w:val="0"/>
        <w:adjustRightInd w:val="0"/>
        <w:ind w:left="480" w:hanging="480"/>
        <w:rPr>
          <w:noProof/>
        </w:rPr>
      </w:pPr>
      <w:r>
        <w:rPr>
          <w:noProof/>
        </w:rPr>
        <w:t xml:space="preserve">Al Lawati, H., &amp; Hussainey, K. (2021). The impact of audit committee financial expertise on corporate financial decisions. </w:t>
      </w:r>
      <w:r>
        <w:rPr>
          <w:i/>
          <w:iCs/>
          <w:noProof/>
        </w:rPr>
        <w:t>Corporate Ownership and Control</w:t>
      </w:r>
      <w:r>
        <w:rPr>
          <w:noProof/>
        </w:rPr>
        <w:t xml:space="preserve">, </w:t>
      </w:r>
      <w:r>
        <w:rPr>
          <w:i/>
          <w:iCs/>
          <w:noProof/>
        </w:rPr>
        <w:t>18</w:t>
      </w:r>
      <w:r>
        <w:rPr>
          <w:noProof/>
        </w:rPr>
        <w:t>(3, special issue), 348–359. https://doi.org/10.22495/cocv18i3siart9</w:t>
      </w:r>
    </w:p>
    <w:p w:rsidR="00FA1AC4" w:rsidRDefault="00B11CCA">
      <w:pPr>
        <w:widowControl w:val="0"/>
        <w:autoSpaceDE w:val="0"/>
        <w:autoSpaceDN w:val="0"/>
        <w:adjustRightInd w:val="0"/>
        <w:ind w:left="480" w:hanging="480"/>
        <w:rPr>
          <w:noProof/>
        </w:rPr>
      </w:pPr>
      <w:r>
        <w:rPr>
          <w:noProof/>
        </w:rPr>
        <w:t xml:space="preserve">Alawaqleh, Q. A., &amp; Almasria, N. A. (2021). The Impact of Audit Committee Performance and Composition on Financial Reporting Quality in Jordan. </w:t>
      </w:r>
      <w:r>
        <w:rPr>
          <w:i/>
          <w:iCs/>
          <w:noProof/>
        </w:rPr>
        <w:t>International Journal of Financial Research</w:t>
      </w:r>
      <w:r>
        <w:rPr>
          <w:noProof/>
        </w:rPr>
        <w:t xml:space="preserve">, </w:t>
      </w:r>
      <w:r>
        <w:rPr>
          <w:i/>
          <w:iCs/>
          <w:noProof/>
        </w:rPr>
        <w:t>12</w:t>
      </w:r>
      <w:r>
        <w:rPr>
          <w:noProof/>
        </w:rPr>
        <w:t>(3), 55–69. https://doi.org/10.5430/ijfr.v12n3p55</w:t>
      </w:r>
    </w:p>
    <w:p w:rsidR="00FA1AC4" w:rsidRDefault="00B11CCA">
      <w:pPr>
        <w:widowControl w:val="0"/>
        <w:autoSpaceDE w:val="0"/>
        <w:autoSpaceDN w:val="0"/>
        <w:adjustRightInd w:val="0"/>
        <w:ind w:left="480" w:hanging="480"/>
        <w:rPr>
          <w:noProof/>
        </w:rPr>
      </w:pPr>
      <w:r>
        <w:rPr>
          <w:noProof/>
        </w:rPr>
        <w:t xml:space="preserve">Alfonso, M., &amp; Castrillón, G. (2021). THE CONCEPT OF CORPORATE GOVERNANCE. </w:t>
      </w:r>
      <w:r>
        <w:rPr>
          <w:i/>
          <w:iCs/>
          <w:noProof/>
        </w:rPr>
        <w:t>Revista Científica “Visión de Futuro,”</w:t>
      </w:r>
      <w:r>
        <w:rPr>
          <w:noProof/>
        </w:rPr>
        <w:t xml:space="preserve"> </w:t>
      </w:r>
      <w:r>
        <w:rPr>
          <w:i/>
          <w:iCs/>
          <w:noProof/>
        </w:rPr>
        <w:t>25</w:t>
      </w:r>
      <w:r>
        <w:rPr>
          <w:noProof/>
        </w:rPr>
        <w:t>(2).</w:t>
      </w:r>
    </w:p>
    <w:p w:rsidR="00FA1AC4" w:rsidRDefault="00B11CCA">
      <w:pPr>
        <w:widowControl w:val="0"/>
        <w:autoSpaceDE w:val="0"/>
        <w:autoSpaceDN w:val="0"/>
        <w:adjustRightInd w:val="0"/>
        <w:ind w:left="480" w:hanging="480"/>
        <w:rPr>
          <w:noProof/>
        </w:rPr>
      </w:pPr>
      <w:r>
        <w:rPr>
          <w:noProof/>
        </w:rPr>
        <w:t xml:space="preserve">Alhababsah, S., &amp; Yekini, S. (2021). Audit committee and audit quality: An empirical </w:t>
      </w:r>
      <w:r>
        <w:rPr>
          <w:noProof/>
        </w:rPr>
        <w:lastRenderedPageBreak/>
        <w:t xml:space="preserve">analysis considering industry expertise, legal expertise and gender diversity. </w:t>
      </w:r>
      <w:r>
        <w:rPr>
          <w:i/>
          <w:iCs/>
          <w:noProof/>
        </w:rPr>
        <w:t>Journal of International Accounting, Auditing and Taxation</w:t>
      </w:r>
      <w:r>
        <w:rPr>
          <w:noProof/>
        </w:rPr>
        <w:t xml:space="preserve">, </w:t>
      </w:r>
      <w:r>
        <w:rPr>
          <w:i/>
          <w:iCs/>
          <w:noProof/>
        </w:rPr>
        <w:t>42</w:t>
      </w:r>
      <w:r>
        <w:rPr>
          <w:noProof/>
        </w:rPr>
        <w:t>, 100377. https://doi.org/10.1016/j.intaccaudtax.2021.100377</w:t>
      </w:r>
    </w:p>
    <w:p w:rsidR="00FA1AC4" w:rsidRDefault="00B11CCA">
      <w:pPr>
        <w:widowControl w:val="0"/>
        <w:autoSpaceDE w:val="0"/>
        <w:autoSpaceDN w:val="0"/>
        <w:adjustRightInd w:val="0"/>
        <w:ind w:left="480" w:hanging="480"/>
        <w:rPr>
          <w:noProof/>
        </w:rPr>
      </w:pPr>
      <w:r>
        <w:rPr>
          <w:noProof/>
        </w:rPr>
        <w:t xml:space="preserve">Almuzaiqer, M. A. (2018). Timeliness of financial reporting and audit committee effectiveness: evidence from UAE. </w:t>
      </w:r>
      <w:r>
        <w:rPr>
          <w:i/>
          <w:iCs/>
          <w:noProof/>
        </w:rPr>
        <w:t>UNIMAS Review of Accounting and Finance</w:t>
      </w:r>
      <w:r>
        <w:rPr>
          <w:noProof/>
        </w:rPr>
        <w:t xml:space="preserve">, </w:t>
      </w:r>
      <w:r>
        <w:rPr>
          <w:i/>
          <w:iCs/>
          <w:noProof/>
        </w:rPr>
        <w:t>1</w:t>
      </w:r>
      <w:r>
        <w:rPr>
          <w:noProof/>
        </w:rPr>
        <w:t>(1). https://doi.org/10.33736/uraf.931.2018</w:t>
      </w:r>
    </w:p>
    <w:p w:rsidR="00FA1AC4" w:rsidRDefault="00B11CCA">
      <w:pPr>
        <w:widowControl w:val="0"/>
        <w:autoSpaceDE w:val="0"/>
        <w:autoSpaceDN w:val="0"/>
        <w:adjustRightInd w:val="0"/>
        <w:ind w:left="480" w:hanging="480"/>
        <w:rPr>
          <w:noProof/>
        </w:rPr>
      </w:pPr>
      <w:r>
        <w:rPr>
          <w:noProof/>
        </w:rPr>
        <w:t>American Institute of Certified Public Accountants (AICPA), 2008. Managing the Business Risk of Fraud: A Practical Guide. Also sponsored by the Institute of Internal Auditors and Association of Certified Fraud Examiners.</w:t>
      </w:r>
    </w:p>
    <w:p w:rsidR="00FA1AC4" w:rsidRDefault="00B11CCA">
      <w:pPr>
        <w:widowControl w:val="0"/>
        <w:autoSpaceDE w:val="0"/>
        <w:autoSpaceDN w:val="0"/>
        <w:adjustRightInd w:val="0"/>
        <w:ind w:left="480" w:hanging="480"/>
        <w:rPr>
          <w:noProof/>
        </w:rPr>
      </w:pPr>
      <w:r>
        <w:rPr>
          <w:noProof/>
        </w:rPr>
        <w:t xml:space="preserve">Armstrong, C. S., Guay, W. R., Mehran, H., &amp; Weber, J. P. (2016). The Role of Financial Reporting in Corporate Governance. </w:t>
      </w:r>
      <w:r>
        <w:rPr>
          <w:i/>
          <w:iCs/>
          <w:noProof/>
        </w:rPr>
        <w:t>Economic Policy Review</w:t>
      </w:r>
      <w:r>
        <w:rPr>
          <w:noProof/>
        </w:rPr>
        <w:t xml:space="preserve">, </w:t>
      </w:r>
      <w:r>
        <w:rPr>
          <w:i/>
          <w:iCs/>
          <w:noProof/>
        </w:rPr>
        <w:t>3</w:t>
      </w:r>
      <w:r>
        <w:rPr>
          <w:noProof/>
        </w:rPr>
        <w:t>(97), 107–128.</w:t>
      </w:r>
    </w:p>
    <w:p w:rsidR="00FA1AC4" w:rsidRDefault="00B11CCA">
      <w:pPr>
        <w:widowControl w:val="0"/>
        <w:autoSpaceDE w:val="0"/>
        <w:autoSpaceDN w:val="0"/>
        <w:adjustRightInd w:val="0"/>
        <w:ind w:left="480" w:hanging="480"/>
        <w:rPr>
          <w:noProof/>
        </w:rPr>
      </w:pPr>
      <w:r>
        <w:rPr>
          <w:noProof/>
        </w:rPr>
        <w:t xml:space="preserve">Baatwah, S. R., Ahmad, N., &amp; Salleh, Z. (2016). Audit Committee Financial Expertise and Financial Reporting Timeliness in Emerging Market: Does Audit Committee Chair Matter? </w:t>
      </w:r>
      <w:r>
        <w:rPr>
          <w:i/>
          <w:iCs/>
          <w:noProof/>
        </w:rPr>
        <w:t>Issues In Social And Environmental Accounting</w:t>
      </w:r>
      <w:r>
        <w:rPr>
          <w:noProof/>
        </w:rPr>
        <w:t xml:space="preserve">, </w:t>
      </w:r>
      <w:r>
        <w:rPr>
          <w:i/>
          <w:iCs/>
          <w:noProof/>
        </w:rPr>
        <w:t>10</w:t>
      </w:r>
      <w:r>
        <w:rPr>
          <w:noProof/>
        </w:rPr>
        <w:t>(4), 63–85. https://doi.org/10.22164/isea.v10i4.164</w:t>
      </w:r>
    </w:p>
    <w:p w:rsidR="00FA1AC4" w:rsidRDefault="00B11CCA">
      <w:pPr>
        <w:widowControl w:val="0"/>
        <w:autoSpaceDE w:val="0"/>
        <w:autoSpaceDN w:val="0"/>
        <w:adjustRightInd w:val="0"/>
        <w:ind w:left="480" w:hanging="480"/>
        <w:rPr>
          <w:noProof/>
        </w:rPr>
      </w:pPr>
      <w:r>
        <w:rPr>
          <w:noProof/>
        </w:rPr>
        <w:t xml:space="preserve">Baatwah, S. R., Salleh, Z., &amp; Ahmad, N. (2012). the Influence of Audit Committee Expertise on the Timeliness of Financial Reporting : Recent Evidence. </w:t>
      </w:r>
      <w:r>
        <w:rPr>
          <w:i/>
          <w:iCs/>
          <w:noProof/>
        </w:rPr>
        <w:t>2nd International Conference on Accounting, Business and Economics</w:t>
      </w:r>
      <w:r>
        <w:rPr>
          <w:noProof/>
        </w:rPr>
        <w:t xml:space="preserve">, </w:t>
      </w:r>
      <w:r>
        <w:rPr>
          <w:i/>
          <w:iCs/>
          <w:noProof/>
        </w:rPr>
        <w:t>November</w:t>
      </w:r>
      <w:r>
        <w:rPr>
          <w:noProof/>
        </w:rPr>
        <w:t>.</w:t>
      </w:r>
    </w:p>
    <w:p w:rsidR="00FA1AC4" w:rsidRDefault="00B11CCA">
      <w:pPr>
        <w:widowControl w:val="0"/>
        <w:autoSpaceDE w:val="0"/>
        <w:autoSpaceDN w:val="0"/>
        <w:adjustRightInd w:val="0"/>
        <w:ind w:left="480" w:hanging="480"/>
        <w:rPr>
          <w:noProof/>
        </w:rPr>
      </w:pPr>
      <w:r>
        <w:rPr>
          <w:noProof/>
        </w:rPr>
        <w:t xml:space="preserve">Baatwah, S. R., Salleh, Z., &amp; Ahmad, N. (2013a). Whether Audit Committee Financial Expertise Is the Only Relevant Expertise: A Review of Audit Committee Expertise and Timeliness of Financial Reporting. </w:t>
      </w:r>
      <w:r>
        <w:rPr>
          <w:i/>
          <w:iCs/>
          <w:noProof/>
        </w:rPr>
        <w:t>Issues In Social And Environmental Accounting</w:t>
      </w:r>
      <w:r>
        <w:rPr>
          <w:noProof/>
        </w:rPr>
        <w:t xml:space="preserve">, </w:t>
      </w:r>
      <w:r>
        <w:rPr>
          <w:i/>
          <w:iCs/>
          <w:noProof/>
        </w:rPr>
        <w:t>7</w:t>
      </w:r>
      <w:r>
        <w:rPr>
          <w:noProof/>
        </w:rPr>
        <w:t>(2), 86. https://doi.org/10.22164/isea.v7i2.76</w:t>
      </w:r>
    </w:p>
    <w:p w:rsidR="00FA1AC4" w:rsidRDefault="00B11CCA">
      <w:pPr>
        <w:widowControl w:val="0"/>
        <w:autoSpaceDE w:val="0"/>
        <w:autoSpaceDN w:val="0"/>
        <w:adjustRightInd w:val="0"/>
        <w:ind w:left="480" w:hanging="480"/>
        <w:rPr>
          <w:noProof/>
        </w:rPr>
      </w:pPr>
      <w:r>
        <w:rPr>
          <w:noProof/>
        </w:rPr>
        <w:t xml:space="preserve">Baatwah, S. R., Salleh, Z., &amp; Ahmad, N. (2013b). Whether Audit Committee Financial </w:t>
      </w:r>
      <w:r>
        <w:rPr>
          <w:noProof/>
        </w:rPr>
        <w:lastRenderedPageBreak/>
        <w:t xml:space="preserve">Expertise Is the Only Relevant Expertise: A Review of Audit Committee Expertise and Timeliness of Financial Reporting. </w:t>
      </w:r>
      <w:r>
        <w:rPr>
          <w:i/>
          <w:iCs/>
          <w:noProof/>
        </w:rPr>
        <w:t>Issues in Social and Environmental Accounting</w:t>
      </w:r>
      <w:r>
        <w:rPr>
          <w:noProof/>
        </w:rPr>
        <w:t xml:space="preserve">, </w:t>
      </w:r>
      <w:r>
        <w:rPr>
          <w:i/>
          <w:iCs/>
          <w:noProof/>
        </w:rPr>
        <w:t>7</w:t>
      </w:r>
      <w:r>
        <w:rPr>
          <w:noProof/>
        </w:rPr>
        <w:t>(2), 86–101. https://doi.org/10.22164/isea.v7i2.76</w:t>
      </w:r>
    </w:p>
    <w:p w:rsidR="00FA1AC4" w:rsidRDefault="00B11CCA">
      <w:pPr>
        <w:widowControl w:val="0"/>
        <w:autoSpaceDE w:val="0"/>
        <w:autoSpaceDN w:val="0"/>
        <w:adjustRightInd w:val="0"/>
        <w:ind w:left="480" w:hanging="480"/>
        <w:rPr>
          <w:noProof/>
        </w:rPr>
      </w:pPr>
      <w:r>
        <w:rPr>
          <w:noProof/>
        </w:rPr>
        <w:t xml:space="preserve">Babalola, J. B. (2020). </w:t>
      </w:r>
      <w:r>
        <w:rPr>
          <w:i/>
          <w:iCs/>
          <w:noProof/>
        </w:rPr>
        <w:t>GOVERNANCE AND INTERNAL CONTROL IN PUBLIC INSTITUTIONS</w:t>
      </w:r>
      <w:r>
        <w:rPr>
          <w:noProof/>
        </w:rPr>
        <w:t xml:space="preserve">. </w:t>
      </w:r>
      <w:r>
        <w:rPr>
          <w:i/>
          <w:iCs/>
          <w:noProof/>
        </w:rPr>
        <w:t>February</w:t>
      </w:r>
      <w:r>
        <w:rPr>
          <w:noProof/>
        </w:rPr>
        <w:t>. https://doi.org/10.13140/RG.2.2.14521.52321</w:t>
      </w:r>
    </w:p>
    <w:p w:rsidR="00FA1AC4" w:rsidRDefault="00B11CCA">
      <w:pPr>
        <w:widowControl w:val="0"/>
        <w:autoSpaceDE w:val="0"/>
        <w:autoSpaceDN w:val="0"/>
        <w:adjustRightInd w:val="0"/>
        <w:ind w:left="480" w:hanging="480"/>
        <w:rPr>
          <w:noProof/>
        </w:rPr>
      </w:pPr>
      <w:r>
        <w:rPr>
          <w:noProof/>
        </w:rPr>
        <w:t xml:space="preserve">Bajra, U., &amp; Čadež, S. (2018). Audit committees and financial reporting quality: The 8th EU Company Law Directive perspective. </w:t>
      </w:r>
      <w:r>
        <w:rPr>
          <w:i/>
          <w:iCs/>
          <w:noProof/>
        </w:rPr>
        <w:t>Economic Systems</w:t>
      </w:r>
      <w:r>
        <w:rPr>
          <w:noProof/>
        </w:rPr>
        <w:t xml:space="preserve">, </w:t>
      </w:r>
      <w:r>
        <w:rPr>
          <w:i/>
          <w:iCs/>
          <w:noProof/>
        </w:rPr>
        <w:t>42</w:t>
      </w:r>
      <w:r>
        <w:rPr>
          <w:noProof/>
        </w:rPr>
        <w:t>(1), 151–163. https://doi.org/10.1016/j.ecosys.2017.03.002</w:t>
      </w:r>
    </w:p>
    <w:p w:rsidR="00FA1AC4" w:rsidRDefault="00B11CCA">
      <w:pPr>
        <w:widowControl w:val="0"/>
        <w:autoSpaceDE w:val="0"/>
        <w:autoSpaceDN w:val="0"/>
        <w:adjustRightInd w:val="0"/>
        <w:ind w:left="480" w:hanging="480"/>
        <w:rPr>
          <w:noProof/>
        </w:rPr>
      </w:pPr>
      <w:r>
        <w:rPr>
          <w:noProof/>
        </w:rPr>
        <w:t xml:space="preserve">Bala, H., Amran, N. A., &amp; Shaari, H. (2020). </w:t>
      </w:r>
      <w:r>
        <w:rPr>
          <w:i/>
          <w:iCs/>
          <w:noProof/>
        </w:rPr>
        <w:t>Audit committee attributes and cosmetic accounting in Nigeria The moderating effect of audit price</w:t>
      </w:r>
      <w:r>
        <w:rPr>
          <w:noProof/>
        </w:rPr>
        <w:t xml:space="preserve">. </w:t>
      </w:r>
      <w:r>
        <w:rPr>
          <w:i/>
          <w:iCs/>
          <w:noProof/>
        </w:rPr>
        <w:t>35</w:t>
      </w:r>
      <w:r>
        <w:rPr>
          <w:noProof/>
        </w:rPr>
        <w:t>(2), 177–206. https://doi.org/10.1108/MAJ-06-2018-1897</w:t>
      </w:r>
    </w:p>
    <w:p w:rsidR="00FA1AC4" w:rsidRDefault="00B11CCA">
      <w:pPr>
        <w:widowControl w:val="0"/>
        <w:autoSpaceDE w:val="0"/>
        <w:autoSpaceDN w:val="0"/>
        <w:adjustRightInd w:val="0"/>
        <w:ind w:left="480" w:hanging="480"/>
        <w:rPr>
          <w:noProof/>
        </w:rPr>
      </w:pPr>
      <w:r>
        <w:rPr>
          <w:noProof/>
        </w:rPr>
        <w:t xml:space="preserve">Barua, A., Rama, D. V., &amp; Sharma, V. (2010). Audit committee characteristics and investment in internal auditing. </w:t>
      </w:r>
      <w:r>
        <w:rPr>
          <w:i/>
          <w:iCs/>
          <w:noProof/>
        </w:rPr>
        <w:t>Journal of Accounting and Public Policy</w:t>
      </w:r>
      <w:r>
        <w:rPr>
          <w:noProof/>
        </w:rPr>
        <w:t xml:space="preserve">, </w:t>
      </w:r>
      <w:r>
        <w:rPr>
          <w:i/>
          <w:iCs/>
          <w:noProof/>
        </w:rPr>
        <w:t>29</w:t>
      </w:r>
      <w:r>
        <w:rPr>
          <w:noProof/>
        </w:rPr>
        <w:t>(5), 503–513. https://doi.org/10.1016/j.jaccpubpol.2010.09.001</w:t>
      </w:r>
    </w:p>
    <w:p w:rsidR="00FA1AC4" w:rsidRDefault="00B11CCA">
      <w:pPr>
        <w:widowControl w:val="0"/>
        <w:autoSpaceDE w:val="0"/>
        <w:autoSpaceDN w:val="0"/>
        <w:adjustRightInd w:val="0"/>
        <w:ind w:left="480" w:hanging="480"/>
        <w:rPr>
          <w:noProof/>
        </w:rPr>
      </w:pPr>
      <w:r>
        <w:rPr>
          <w:noProof/>
        </w:rPr>
        <w:t>Bedard, J., Chtourou, S., Courteau, L., 2004. The effect of audit committee expertise, independence and activity on aggressive earnings management. Audit.: J. Practice Theory 23, 13–35</w:t>
      </w:r>
    </w:p>
    <w:p w:rsidR="00FA1AC4" w:rsidRDefault="00B11CCA">
      <w:pPr>
        <w:widowControl w:val="0"/>
        <w:autoSpaceDE w:val="0"/>
        <w:autoSpaceDN w:val="0"/>
        <w:adjustRightInd w:val="0"/>
        <w:ind w:left="480" w:hanging="480"/>
        <w:rPr>
          <w:noProof/>
        </w:rPr>
      </w:pPr>
      <w:r>
        <w:rPr>
          <w:noProof/>
        </w:rPr>
        <w:t>Berle, A.A. and Means, G.C. (1932). The Modern Corporation and Private Property. New York: Macmillan</w:t>
      </w:r>
    </w:p>
    <w:p w:rsidR="00FA1AC4" w:rsidRDefault="00FA1AC4">
      <w:pPr>
        <w:widowControl w:val="0"/>
        <w:autoSpaceDE w:val="0"/>
        <w:autoSpaceDN w:val="0"/>
        <w:adjustRightInd w:val="0"/>
        <w:rPr>
          <w:noProof/>
        </w:rPr>
      </w:pPr>
    </w:p>
    <w:p w:rsidR="00FA1AC4" w:rsidRDefault="00B11CCA">
      <w:pPr>
        <w:widowControl w:val="0"/>
        <w:autoSpaceDE w:val="0"/>
        <w:autoSpaceDN w:val="0"/>
        <w:adjustRightInd w:val="0"/>
        <w:ind w:left="480" w:hanging="480"/>
        <w:rPr>
          <w:noProof/>
        </w:rPr>
      </w:pPr>
      <w:r>
        <w:rPr>
          <w:noProof/>
        </w:rPr>
        <w:t xml:space="preserve">Bhuiyan, M. B. U., Rahman, A., &amp; Sultana, N. (2020). Female tainted directors, financial reporting quality and audit fees. </w:t>
      </w:r>
      <w:r>
        <w:rPr>
          <w:i/>
          <w:iCs/>
          <w:noProof/>
        </w:rPr>
        <w:t>Journal of Contemporary Accounting and Economics</w:t>
      </w:r>
      <w:r>
        <w:rPr>
          <w:noProof/>
        </w:rPr>
        <w:t xml:space="preserve">, </w:t>
      </w:r>
      <w:r>
        <w:rPr>
          <w:i/>
          <w:iCs/>
          <w:noProof/>
        </w:rPr>
        <w:t>16</w:t>
      </w:r>
      <w:r>
        <w:rPr>
          <w:noProof/>
        </w:rPr>
        <w:t>(2). https://doi.org/10.1016/j.jcae.2020.100189</w:t>
      </w:r>
    </w:p>
    <w:p w:rsidR="00FA1AC4" w:rsidRDefault="00B11CCA">
      <w:pPr>
        <w:widowControl w:val="0"/>
        <w:autoSpaceDE w:val="0"/>
        <w:autoSpaceDN w:val="0"/>
        <w:adjustRightInd w:val="0"/>
        <w:ind w:left="480" w:hanging="480"/>
        <w:rPr>
          <w:noProof/>
        </w:rPr>
      </w:pPr>
      <w:r>
        <w:rPr>
          <w:noProof/>
        </w:rPr>
        <w:lastRenderedPageBreak/>
        <w:t xml:space="preserve">Bilal, Chen, S., &amp; Komal, B. (2018). Audit committee financial expertise and earnings quality: A meta-analysis. </w:t>
      </w:r>
      <w:r>
        <w:rPr>
          <w:i/>
          <w:iCs/>
          <w:noProof/>
        </w:rPr>
        <w:t>Journal of Business Research</w:t>
      </w:r>
      <w:r>
        <w:rPr>
          <w:noProof/>
        </w:rPr>
        <w:t xml:space="preserve">, </w:t>
      </w:r>
      <w:r>
        <w:rPr>
          <w:i/>
          <w:iCs/>
          <w:noProof/>
        </w:rPr>
        <w:t>84</w:t>
      </w:r>
      <w:r>
        <w:rPr>
          <w:noProof/>
        </w:rPr>
        <w:t>(November 2017), 253–270. https://doi.org/10.1016/j.jbusres.2017.11.048</w:t>
      </w:r>
    </w:p>
    <w:p w:rsidR="00FA1AC4" w:rsidRDefault="00B11CCA">
      <w:pPr>
        <w:widowControl w:val="0"/>
        <w:autoSpaceDE w:val="0"/>
        <w:autoSpaceDN w:val="0"/>
        <w:adjustRightInd w:val="0"/>
        <w:ind w:left="480" w:hanging="480"/>
        <w:rPr>
          <w:noProof/>
        </w:rPr>
      </w:pPr>
      <w:r>
        <w:rPr>
          <w:noProof/>
        </w:rPr>
        <w:t>Blue Ribbon Committee on Improving the Effectiveness of Corporate Audit Committees (1999) Report and Recommendations of the Blue Ribbon Committee on Improving the Effectiveness of Corporate Audit Committees, New York Stock Exchange and the National Association of Securities Dealers, New York, NY</w:t>
      </w:r>
    </w:p>
    <w:p w:rsidR="00FA1AC4" w:rsidRDefault="00B11CCA">
      <w:pPr>
        <w:widowControl w:val="0"/>
        <w:autoSpaceDE w:val="0"/>
        <w:autoSpaceDN w:val="0"/>
        <w:adjustRightInd w:val="0"/>
        <w:ind w:left="480" w:hanging="480"/>
        <w:rPr>
          <w:noProof/>
        </w:rPr>
      </w:pPr>
      <w:r>
        <w:rPr>
          <w:noProof/>
        </w:rPr>
        <w:t xml:space="preserve">Bottazzi, G., &amp; Gragnolati, U. (2012). Cities and Clusters: Economy-Wide and Sector-Specific Effects in Corporate Location. </w:t>
      </w:r>
      <w:r>
        <w:rPr>
          <w:i/>
          <w:iCs/>
          <w:noProof/>
        </w:rPr>
        <w:t>Regional Studies</w:t>
      </w:r>
      <w:r>
        <w:rPr>
          <w:noProof/>
        </w:rPr>
        <w:t xml:space="preserve">, </w:t>
      </w:r>
      <w:r>
        <w:rPr>
          <w:i/>
          <w:iCs/>
          <w:noProof/>
        </w:rPr>
        <w:t>49</w:t>
      </w:r>
      <w:r>
        <w:rPr>
          <w:noProof/>
        </w:rPr>
        <w:t>(1), 113–129. https://doi.org/10.1080/00343404.2012.739281</w:t>
      </w:r>
    </w:p>
    <w:p w:rsidR="00FA1AC4" w:rsidRDefault="00B11CCA">
      <w:pPr>
        <w:widowControl w:val="0"/>
        <w:autoSpaceDE w:val="0"/>
        <w:autoSpaceDN w:val="0"/>
        <w:adjustRightInd w:val="0"/>
        <w:ind w:left="480" w:hanging="480"/>
        <w:rPr>
          <w:noProof/>
        </w:rPr>
      </w:pPr>
      <w:r>
        <w:rPr>
          <w:noProof/>
        </w:rPr>
        <w:t xml:space="preserve">Bronson, S. N., Carcello, J. V., Hollingsworth, C. W., &amp; Neal, T. L. (2009). Are fully independent audit committees really necessary? </w:t>
      </w:r>
      <w:r>
        <w:rPr>
          <w:i/>
          <w:iCs/>
          <w:noProof/>
        </w:rPr>
        <w:t>Journal of Accounting and Public Policy</w:t>
      </w:r>
      <w:r>
        <w:rPr>
          <w:noProof/>
        </w:rPr>
        <w:t xml:space="preserve">, </w:t>
      </w:r>
      <w:r>
        <w:rPr>
          <w:i/>
          <w:iCs/>
          <w:noProof/>
        </w:rPr>
        <w:t>28</w:t>
      </w:r>
      <w:r>
        <w:rPr>
          <w:noProof/>
        </w:rPr>
        <w:t>(4), 265–280. https://doi.org/10.1016/j.jaccpubpol.2009.06.001</w:t>
      </w:r>
    </w:p>
    <w:p w:rsidR="00FA1AC4" w:rsidRDefault="00B11CCA">
      <w:pPr>
        <w:widowControl w:val="0"/>
        <w:autoSpaceDE w:val="0"/>
        <w:autoSpaceDN w:val="0"/>
        <w:adjustRightInd w:val="0"/>
        <w:ind w:left="480" w:hanging="480"/>
        <w:rPr>
          <w:noProof/>
        </w:rPr>
      </w:pPr>
      <w:r>
        <w:rPr>
          <w:noProof/>
        </w:rPr>
        <w:t xml:space="preserve">Cabello, A., Moncarz, E., Moncarz, R., &amp; Moncarz, B. (2009). The rise and collapse of Enron: financial innovation, errors and lessons. </w:t>
      </w:r>
      <w:r>
        <w:rPr>
          <w:i/>
          <w:iCs/>
          <w:noProof/>
        </w:rPr>
        <w:t>Contaduría y Administración</w:t>
      </w:r>
      <w:r>
        <w:rPr>
          <w:noProof/>
        </w:rPr>
        <w:t xml:space="preserve">, </w:t>
      </w:r>
      <w:r>
        <w:rPr>
          <w:i/>
          <w:iCs/>
          <w:noProof/>
        </w:rPr>
        <w:t>218</w:t>
      </w:r>
      <w:r>
        <w:rPr>
          <w:noProof/>
        </w:rPr>
        <w:t>. https://doi.org/10.22201/fca.24488410e.2006.579</w:t>
      </w:r>
    </w:p>
    <w:p w:rsidR="00FA1AC4" w:rsidRDefault="00B11CCA">
      <w:pPr>
        <w:widowControl w:val="0"/>
        <w:autoSpaceDE w:val="0"/>
        <w:autoSpaceDN w:val="0"/>
        <w:adjustRightInd w:val="0"/>
        <w:ind w:left="480" w:hanging="480"/>
        <w:rPr>
          <w:noProof/>
        </w:rPr>
      </w:pPr>
      <w:r>
        <w:rPr>
          <w:noProof/>
        </w:rPr>
        <w:t>Cadbury Committee (1992). Report of the Committee on the Financial Aspects of Corporate</w:t>
      </w:r>
    </w:p>
    <w:p w:rsidR="00FA1AC4" w:rsidRDefault="00B11CCA">
      <w:pPr>
        <w:widowControl w:val="0"/>
        <w:autoSpaceDE w:val="0"/>
        <w:autoSpaceDN w:val="0"/>
        <w:adjustRightInd w:val="0"/>
        <w:ind w:left="480"/>
        <w:rPr>
          <w:noProof/>
        </w:rPr>
      </w:pPr>
      <w:r>
        <w:rPr>
          <w:noProof/>
        </w:rPr>
        <w:t>Governance. Gee Publishing, London.</w:t>
      </w:r>
    </w:p>
    <w:p w:rsidR="00FA1AC4" w:rsidRDefault="00B11CCA">
      <w:pPr>
        <w:widowControl w:val="0"/>
        <w:autoSpaceDE w:val="0"/>
        <w:autoSpaceDN w:val="0"/>
        <w:adjustRightInd w:val="0"/>
        <w:ind w:left="480" w:hanging="480"/>
        <w:rPr>
          <w:noProof/>
        </w:rPr>
      </w:pPr>
      <w:r>
        <w:rPr>
          <w:noProof/>
        </w:rPr>
        <w:t xml:space="preserve">Cai, C. X., Hillier, D., Tian, G., &amp; Wu, Q. (2015). Do audit committees reduce the agency costs of ownership structure? </w:t>
      </w:r>
      <w:r>
        <w:rPr>
          <w:i/>
          <w:iCs/>
          <w:noProof/>
        </w:rPr>
        <w:t>Pacific Basin Finance Journal</w:t>
      </w:r>
      <w:r>
        <w:rPr>
          <w:noProof/>
        </w:rPr>
        <w:t xml:space="preserve">, </w:t>
      </w:r>
      <w:r>
        <w:rPr>
          <w:i/>
          <w:iCs/>
          <w:noProof/>
        </w:rPr>
        <w:t>35</w:t>
      </w:r>
      <w:r>
        <w:rPr>
          <w:noProof/>
        </w:rPr>
        <w:t>, 225–240. https://doi.org/10.1016/j.pacfin.2015.01.002</w:t>
      </w:r>
    </w:p>
    <w:p w:rsidR="00FA1AC4" w:rsidRDefault="00B11CCA">
      <w:pPr>
        <w:widowControl w:val="0"/>
        <w:autoSpaceDE w:val="0"/>
        <w:autoSpaceDN w:val="0"/>
        <w:adjustRightInd w:val="0"/>
        <w:ind w:left="480" w:hanging="480"/>
        <w:rPr>
          <w:noProof/>
        </w:rPr>
      </w:pPr>
      <w:r>
        <w:rPr>
          <w:noProof/>
        </w:rPr>
        <w:t xml:space="preserve">Cardinaels, E. (2013). </w:t>
      </w:r>
      <w:r>
        <w:rPr>
          <w:i/>
          <w:iCs/>
          <w:noProof/>
        </w:rPr>
        <w:t xml:space="preserve">The Audit Committee : Management Watchdog or Personal Friend </w:t>
      </w:r>
      <w:r>
        <w:rPr>
          <w:i/>
          <w:iCs/>
          <w:noProof/>
        </w:rPr>
        <w:lastRenderedPageBreak/>
        <w:t>of the CEO ? The Audit Committee : Management Watchdog or Personal Friend of the CEO ?</w:t>
      </w:r>
      <w:r>
        <w:rPr>
          <w:noProof/>
        </w:rPr>
        <w:t xml:space="preserve"> </w:t>
      </w:r>
      <w:r>
        <w:rPr>
          <w:i/>
          <w:iCs/>
          <w:noProof/>
        </w:rPr>
        <w:t>Rome 2011</w:t>
      </w:r>
      <w:r>
        <w:rPr>
          <w:noProof/>
        </w:rPr>
        <w:t>.</w:t>
      </w:r>
    </w:p>
    <w:p w:rsidR="00FA1AC4" w:rsidRDefault="00B11CCA">
      <w:pPr>
        <w:widowControl w:val="0"/>
        <w:autoSpaceDE w:val="0"/>
        <w:autoSpaceDN w:val="0"/>
        <w:adjustRightInd w:val="0"/>
        <w:ind w:left="480" w:hanging="480"/>
        <w:rPr>
          <w:noProof/>
        </w:rPr>
      </w:pPr>
      <w:r>
        <w:rPr>
          <w:noProof/>
        </w:rPr>
        <w:t>Carmichael, D., Ghosh, A. &amp; Lee, H. 2011. Causes and consequences of abnormally long audit reporting lags. Paper presented at the American Accounting Association Annual Meeting, Colorado. https://aaahq.org/AM2011/abstract. cfm?submissionID=2198</w:t>
      </w:r>
    </w:p>
    <w:p w:rsidR="00FA1AC4" w:rsidRDefault="00B11CCA">
      <w:pPr>
        <w:widowControl w:val="0"/>
        <w:autoSpaceDE w:val="0"/>
        <w:autoSpaceDN w:val="0"/>
        <w:adjustRightInd w:val="0"/>
        <w:ind w:left="480" w:hanging="480"/>
        <w:rPr>
          <w:noProof/>
        </w:rPr>
      </w:pPr>
      <w:r>
        <w:rPr>
          <w:noProof/>
        </w:rPr>
        <w:t xml:space="preserve">Chalevas, C., &amp; Koutoupis, A. G. (2021). Evaluating the role and effectiveness of the Audit Committee on the quality of financial reporting : Evidence from Greek PIEs. </w:t>
      </w:r>
      <w:r>
        <w:rPr>
          <w:i/>
          <w:iCs/>
          <w:noProof/>
        </w:rPr>
        <w:t>Int. J. Banking, Accounting and Finance</w:t>
      </w:r>
      <w:r>
        <w:rPr>
          <w:noProof/>
        </w:rPr>
        <w:t xml:space="preserve">, </w:t>
      </w:r>
      <w:r>
        <w:rPr>
          <w:i/>
          <w:iCs/>
          <w:noProof/>
        </w:rPr>
        <w:t>4</w:t>
      </w:r>
      <w:r>
        <w:rPr>
          <w:noProof/>
        </w:rPr>
        <w:t>, 368–388. https://doi.org/10.1504/IJBAAF.2021.10041386</w:t>
      </w:r>
    </w:p>
    <w:p w:rsidR="00FA1AC4" w:rsidRDefault="00B11CCA">
      <w:pPr>
        <w:widowControl w:val="0"/>
        <w:autoSpaceDE w:val="0"/>
        <w:autoSpaceDN w:val="0"/>
        <w:adjustRightInd w:val="0"/>
        <w:ind w:left="480" w:hanging="480"/>
        <w:rPr>
          <w:noProof/>
        </w:rPr>
      </w:pPr>
      <w:r>
        <w:rPr>
          <w:noProof/>
        </w:rPr>
        <w:t xml:space="preserve">Chang, Y., Chen, H., Cheng, R. K., &amp; Chi, W. (2019). The impact of internal audit attributes on the effectiveness of internal control over operations and compliance. </w:t>
      </w:r>
      <w:r>
        <w:rPr>
          <w:i/>
          <w:iCs/>
          <w:noProof/>
        </w:rPr>
        <w:t>Journal of Contemporary Accounting &amp; Economics</w:t>
      </w:r>
      <w:r>
        <w:rPr>
          <w:noProof/>
        </w:rPr>
        <w:t xml:space="preserve">, </w:t>
      </w:r>
      <w:r>
        <w:rPr>
          <w:i/>
          <w:iCs/>
          <w:noProof/>
        </w:rPr>
        <w:t>15</w:t>
      </w:r>
      <w:r>
        <w:rPr>
          <w:noProof/>
        </w:rPr>
        <w:t>(November 2018), 1–19.</w:t>
      </w:r>
    </w:p>
    <w:p w:rsidR="00FA1AC4" w:rsidRDefault="00B11CCA">
      <w:pPr>
        <w:widowControl w:val="0"/>
        <w:autoSpaceDE w:val="0"/>
        <w:autoSpaceDN w:val="0"/>
        <w:adjustRightInd w:val="0"/>
        <w:ind w:left="480" w:hanging="480"/>
        <w:rPr>
          <w:noProof/>
        </w:rPr>
      </w:pPr>
      <w:r>
        <w:rPr>
          <w:noProof/>
        </w:rPr>
        <w:t xml:space="preserve">Clinton, S. B., Spina, A., &amp; Skaife, H. A. (2014). </w:t>
      </w:r>
      <w:r>
        <w:rPr>
          <w:i/>
          <w:iCs/>
          <w:noProof/>
        </w:rPr>
        <w:t>J . Account . Public Policy The implications of ineffective internal control and SOX 404 reporting for financial analysts</w:t>
      </w:r>
      <w:r>
        <w:rPr>
          <w:noProof/>
        </w:rPr>
        <w:t xml:space="preserve">. </w:t>
      </w:r>
      <w:r>
        <w:rPr>
          <w:i/>
          <w:iCs/>
          <w:noProof/>
        </w:rPr>
        <w:t>33</w:t>
      </w:r>
      <w:r>
        <w:rPr>
          <w:noProof/>
        </w:rPr>
        <w:t>, 303–327.</w:t>
      </w:r>
    </w:p>
    <w:p w:rsidR="00FA1AC4" w:rsidRDefault="00B11CCA">
      <w:pPr>
        <w:widowControl w:val="0"/>
        <w:autoSpaceDE w:val="0"/>
        <w:autoSpaceDN w:val="0"/>
        <w:adjustRightInd w:val="0"/>
        <w:ind w:left="480" w:hanging="480"/>
        <w:rPr>
          <w:noProof/>
        </w:rPr>
      </w:pPr>
      <w:r>
        <w:rPr>
          <w:noProof/>
        </w:rPr>
        <w:t>Committee of Sponsoring Organization (COSO), 1985. Definition of Internal Control on-line: http://www.coso.org Cross</w:t>
      </w:r>
    </w:p>
    <w:p w:rsidR="00FA1AC4" w:rsidRDefault="00B11CCA">
      <w:pPr>
        <w:widowControl w:val="0"/>
        <w:autoSpaceDE w:val="0"/>
        <w:autoSpaceDN w:val="0"/>
        <w:adjustRightInd w:val="0"/>
        <w:ind w:left="480" w:hanging="480"/>
        <w:rPr>
          <w:noProof/>
        </w:rPr>
      </w:pPr>
      <w:r>
        <w:rPr>
          <w:noProof/>
        </w:rPr>
        <w:t xml:space="preserve">Committee of Sponsoring Organization (COSO), 1992. Internal Control Integrated Framework: Executive Summary. www.coso.org. </w:t>
      </w:r>
    </w:p>
    <w:p w:rsidR="00FA1AC4" w:rsidRDefault="00B11CCA">
      <w:pPr>
        <w:widowControl w:val="0"/>
        <w:autoSpaceDE w:val="0"/>
        <w:autoSpaceDN w:val="0"/>
        <w:adjustRightInd w:val="0"/>
        <w:ind w:left="480" w:hanging="480"/>
        <w:rPr>
          <w:noProof/>
        </w:rPr>
      </w:pPr>
      <w:r>
        <w:rPr>
          <w:noProof/>
        </w:rPr>
        <w:t>Committee of Sponsoring Organizations of the Treadway Commission (COSO), 2012. Internal Control—Integrated Framework. Exposure Draft, September. http:// www.ic.coso.org.</w:t>
      </w:r>
    </w:p>
    <w:p w:rsidR="00FA1AC4" w:rsidRDefault="00B11CCA">
      <w:pPr>
        <w:widowControl w:val="0"/>
        <w:autoSpaceDE w:val="0"/>
        <w:autoSpaceDN w:val="0"/>
        <w:adjustRightInd w:val="0"/>
        <w:ind w:left="480" w:hanging="480"/>
        <w:rPr>
          <w:noProof/>
        </w:rPr>
      </w:pPr>
      <w:r>
        <w:rPr>
          <w:noProof/>
        </w:rPr>
        <w:t xml:space="preserve">Committee of Sponsoring Organization (COSO) 2013. Internal control-integrated </w:t>
      </w:r>
      <w:r>
        <w:rPr>
          <w:noProof/>
        </w:rPr>
        <w:lastRenderedPageBreak/>
        <w:t>framework. Available at: http://www.coso.org.</w:t>
      </w:r>
    </w:p>
    <w:p w:rsidR="00FA1AC4" w:rsidRDefault="00B11CCA">
      <w:pPr>
        <w:widowControl w:val="0"/>
        <w:autoSpaceDE w:val="0"/>
        <w:autoSpaceDN w:val="0"/>
        <w:adjustRightInd w:val="0"/>
        <w:ind w:left="480" w:hanging="480"/>
        <w:rPr>
          <w:noProof/>
        </w:rPr>
      </w:pPr>
      <w:r>
        <w:rPr>
          <w:noProof/>
        </w:rPr>
        <w:t xml:space="preserve">Davidson, W. N., Xie, B., &amp; Xu, W. (2004). Market reaction to voluntary announcements of audit committee appointments: The effect of financial expertise. </w:t>
      </w:r>
      <w:r>
        <w:rPr>
          <w:i/>
          <w:iCs/>
          <w:noProof/>
        </w:rPr>
        <w:t>Journal of Accounting and Public Policy</w:t>
      </w:r>
      <w:r>
        <w:rPr>
          <w:noProof/>
        </w:rPr>
        <w:t xml:space="preserve">, </w:t>
      </w:r>
      <w:r>
        <w:rPr>
          <w:i/>
          <w:iCs/>
          <w:noProof/>
        </w:rPr>
        <w:t>23</w:t>
      </w:r>
      <w:r>
        <w:rPr>
          <w:noProof/>
        </w:rPr>
        <w:t>(4), 279–293. https://doi.org/10.1016/j.jaccpubpol.2004.06.001</w:t>
      </w:r>
    </w:p>
    <w:p w:rsidR="00FA1AC4" w:rsidRDefault="00B11CCA">
      <w:pPr>
        <w:widowControl w:val="0"/>
        <w:autoSpaceDE w:val="0"/>
        <w:autoSpaceDN w:val="0"/>
        <w:adjustRightInd w:val="0"/>
        <w:ind w:left="480" w:hanging="480"/>
        <w:rPr>
          <w:noProof/>
        </w:rPr>
      </w:pPr>
      <w:r>
        <w:rPr>
          <w:noProof/>
        </w:rPr>
        <w:t>DeZoort, F. T., Hermanson, D. R., Archambeault, D. S., &amp; Reed, S. A. (2002). Audit committee effectiveness: A synthesis of the empirical audit committee literature. Journal of Accounting Literature, 21,38−75</w:t>
      </w:r>
    </w:p>
    <w:p w:rsidR="00FA1AC4" w:rsidRDefault="00B11CCA">
      <w:pPr>
        <w:widowControl w:val="0"/>
        <w:autoSpaceDE w:val="0"/>
        <w:autoSpaceDN w:val="0"/>
        <w:adjustRightInd w:val="0"/>
        <w:ind w:left="480" w:hanging="480"/>
        <w:rPr>
          <w:noProof/>
        </w:rPr>
      </w:pPr>
      <w:r>
        <w:rPr>
          <w:noProof/>
        </w:rPr>
        <w:t xml:space="preserve">Din, N. U., Cheng, X., Ahmad, B., &amp; Sheikh, M. F. (2020). Gender diversity in the audit committee and the efficiency of internal control and financial reporting quality. </w:t>
      </w:r>
      <w:r>
        <w:rPr>
          <w:i/>
          <w:iCs/>
          <w:noProof/>
        </w:rPr>
        <w:t>Economic Research-Ekonomska Istraživanja</w:t>
      </w:r>
      <w:r>
        <w:rPr>
          <w:noProof/>
        </w:rPr>
        <w:t xml:space="preserve">, </w:t>
      </w:r>
      <w:r>
        <w:rPr>
          <w:i/>
          <w:iCs/>
          <w:noProof/>
        </w:rPr>
        <w:t>34</w:t>
      </w:r>
      <w:r>
        <w:rPr>
          <w:noProof/>
        </w:rPr>
        <w:t>(1), 1170–1189. https://doi.org/10.1080/1331677X.2020.1820357</w:t>
      </w:r>
    </w:p>
    <w:p w:rsidR="00FA1AC4" w:rsidRDefault="00B11CCA">
      <w:pPr>
        <w:widowControl w:val="0"/>
        <w:autoSpaceDE w:val="0"/>
        <w:autoSpaceDN w:val="0"/>
        <w:adjustRightInd w:val="0"/>
        <w:ind w:left="480" w:hanging="480"/>
        <w:rPr>
          <w:noProof/>
        </w:rPr>
      </w:pPr>
      <w:r>
        <w:rPr>
          <w:noProof/>
        </w:rPr>
        <w:t xml:space="preserve">Doyle, J., Ge, W., &amp; Mcvay, S. (2007). </w:t>
      </w:r>
      <w:r>
        <w:rPr>
          <w:i/>
          <w:iCs/>
          <w:noProof/>
        </w:rPr>
        <w:t>Determinants of weaknesses in internal control over financial reporting</w:t>
      </w:r>
      <w:r>
        <w:rPr>
          <w:noProof/>
        </w:rPr>
        <w:t xml:space="preserve">. </w:t>
      </w:r>
      <w:r>
        <w:rPr>
          <w:i/>
          <w:iCs/>
          <w:noProof/>
        </w:rPr>
        <w:t>44</w:t>
      </w:r>
      <w:r>
        <w:rPr>
          <w:noProof/>
        </w:rPr>
        <w:t>, 193–223. https://doi.org/10.1016/j.jacceco.2006.10.003</w:t>
      </w:r>
    </w:p>
    <w:p w:rsidR="00FA1AC4" w:rsidRDefault="00B11CCA">
      <w:pPr>
        <w:widowControl w:val="0"/>
        <w:autoSpaceDE w:val="0"/>
        <w:autoSpaceDN w:val="0"/>
        <w:adjustRightInd w:val="0"/>
        <w:ind w:left="480" w:hanging="480"/>
        <w:rPr>
          <w:noProof/>
        </w:rPr>
      </w:pPr>
      <w:r>
        <w:rPr>
          <w:noProof/>
        </w:rPr>
        <w:t xml:space="preserve">Drost, E. A. (2015). Validity and Reliability in Social Science Research Validity and Reliability in Social Science Research. </w:t>
      </w:r>
      <w:r>
        <w:rPr>
          <w:i/>
          <w:iCs/>
          <w:noProof/>
        </w:rPr>
        <w:t>International Perspectives on Higher Education Research</w:t>
      </w:r>
      <w:r>
        <w:rPr>
          <w:noProof/>
        </w:rPr>
        <w:t xml:space="preserve">, </w:t>
      </w:r>
      <w:r>
        <w:rPr>
          <w:i/>
          <w:iCs/>
          <w:noProof/>
        </w:rPr>
        <w:t>38</w:t>
      </w:r>
      <w:r>
        <w:rPr>
          <w:noProof/>
        </w:rPr>
        <w:t>(1).</w:t>
      </w:r>
    </w:p>
    <w:p w:rsidR="00FA1AC4" w:rsidRDefault="00B11CCA">
      <w:pPr>
        <w:widowControl w:val="0"/>
        <w:autoSpaceDE w:val="0"/>
        <w:autoSpaceDN w:val="0"/>
        <w:adjustRightInd w:val="0"/>
        <w:ind w:left="480" w:hanging="480"/>
        <w:rPr>
          <w:noProof/>
        </w:rPr>
      </w:pPr>
      <w:r>
        <w:rPr>
          <w:noProof/>
        </w:rPr>
        <w:t xml:space="preserve">Efobi, U., &amp; Okougbo, P. (2014). Timeliness of Financial Reporting in Nigeria. </w:t>
      </w:r>
      <w:r>
        <w:rPr>
          <w:i/>
          <w:iCs/>
          <w:noProof/>
        </w:rPr>
        <w:t>South African Journal of Accounting Research</w:t>
      </w:r>
      <w:r>
        <w:rPr>
          <w:noProof/>
        </w:rPr>
        <w:t xml:space="preserve">, </w:t>
      </w:r>
      <w:r>
        <w:rPr>
          <w:i/>
          <w:iCs/>
          <w:noProof/>
        </w:rPr>
        <w:t>28</w:t>
      </w:r>
      <w:r>
        <w:rPr>
          <w:noProof/>
        </w:rPr>
        <w:t>(1), 65–77. https://doi.org/10.1080/10291954.2014.11463127</w:t>
      </w:r>
    </w:p>
    <w:p w:rsidR="00FA1AC4" w:rsidRDefault="00B11CCA">
      <w:pPr>
        <w:widowControl w:val="0"/>
        <w:autoSpaceDE w:val="0"/>
        <w:autoSpaceDN w:val="0"/>
        <w:adjustRightInd w:val="0"/>
        <w:ind w:left="480" w:hanging="480"/>
        <w:rPr>
          <w:noProof/>
        </w:rPr>
      </w:pPr>
      <w:r>
        <w:rPr>
          <w:noProof/>
        </w:rPr>
        <w:t xml:space="preserve">Ejoh, N., &amp; Ejom, P. (2014). </w:t>
      </w:r>
      <w:r>
        <w:rPr>
          <w:i/>
          <w:iCs/>
          <w:noProof/>
        </w:rPr>
        <w:t>The Impact of Internal Control Activities on Financial Performance of Tertiary Institutions in Nigeria</w:t>
      </w:r>
      <w:r>
        <w:rPr>
          <w:noProof/>
        </w:rPr>
        <w:t xml:space="preserve">. </w:t>
      </w:r>
      <w:r>
        <w:rPr>
          <w:i/>
          <w:iCs/>
          <w:noProof/>
        </w:rPr>
        <w:t>5</w:t>
      </w:r>
      <w:r>
        <w:rPr>
          <w:noProof/>
        </w:rPr>
        <w:t>(16), 133–144.</w:t>
      </w:r>
    </w:p>
    <w:p w:rsidR="00FA1AC4" w:rsidRDefault="00B11CCA">
      <w:pPr>
        <w:widowControl w:val="0"/>
        <w:autoSpaceDE w:val="0"/>
        <w:autoSpaceDN w:val="0"/>
        <w:adjustRightInd w:val="0"/>
        <w:ind w:left="480" w:hanging="480"/>
        <w:rPr>
          <w:noProof/>
        </w:rPr>
      </w:pPr>
      <w:r>
        <w:rPr>
          <w:noProof/>
        </w:rPr>
        <w:t xml:space="preserve">Ekienabor, E., &amp; Oluwole, O. S. (2019). Reliability of Timeliness in Financial Reporting in </w:t>
      </w:r>
      <w:r>
        <w:rPr>
          <w:noProof/>
        </w:rPr>
        <w:lastRenderedPageBreak/>
        <w:t xml:space="preserve">Nigeria Reliability of Timeliness in Financial Reporting in Nigeria. </w:t>
      </w:r>
      <w:r>
        <w:rPr>
          <w:i/>
          <w:iCs/>
          <w:noProof/>
        </w:rPr>
        <w:t>International Journal of Research Publications</w:t>
      </w:r>
      <w:r>
        <w:rPr>
          <w:noProof/>
        </w:rPr>
        <w:t xml:space="preserve">, </w:t>
      </w:r>
      <w:r>
        <w:rPr>
          <w:i/>
          <w:iCs/>
          <w:noProof/>
        </w:rPr>
        <w:t>July</w:t>
      </w:r>
      <w:r>
        <w:rPr>
          <w:noProof/>
        </w:rPr>
        <w:t>.</w:t>
      </w:r>
    </w:p>
    <w:p w:rsidR="00FA1AC4" w:rsidRDefault="00B11CCA">
      <w:pPr>
        <w:widowControl w:val="0"/>
        <w:autoSpaceDE w:val="0"/>
        <w:autoSpaceDN w:val="0"/>
        <w:adjustRightInd w:val="0"/>
        <w:ind w:left="480" w:hanging="480"/>
      </w:pPr>
      <w:r>
        <w:rPr>
          <w:noProof/>
        </w:rPr>
        <w:t>Ettredge, M. L., Li, C., &amp; Sun, L. (2006). The impact of SOX Section 404 internal control quality assessment on audit delay in the SOX era. Auditing. A Journal of Practice &amp; Theory, 25(2), 1–23. https://doi.org/10. 2308/aud.2006.25.2.1</w:t>
      </w:r>
      <w:r>
        <w:t xml:space="preserve"> </w:t>
      </w:r>
    </w:p>
    <w:p w:rsidR="00FA1AC4" w:rsidRDefault="00B11CCA">
      <w:pPr>
        <w:widowControl w:val="0"/>
        <w:autoSpaceDE w:val="0"/>
        <w:autoSpaceDN w:val="0"/>
        <w:adjustRightInd w:val="0"/>
        <w:ind w:left="480" w:hanging="480"/>
        <w:rPr>
          <w:noProof/>
        </w:rPr>
      </w:pPr>
      <w:r>
        <w:rPr>
          <w:noProof/>
        </w:rPr>
        <w:t>Feng, M., Li, C., McVay, S. E., &amp; Skaife, H. (2015). Does ineffective internal control over financial reporting affect a firm's operations? Evidence from firms' inventory management. The Accounting Review, (2), 529e557.</w:t>
      </w:r>
    </w:p>
    <w:p w:rsidR="00FA1AC4" w:rsidRDefault="00B11CCA">
      <w:pPr>
        <w:widowControl w:val="0"/>
        <w:autoSpaceDE w:val="0"/>
        <w:autoSpaceDN w:val="0"/>
        <w:adjustRightInd w:val="0"/>
        <w:ind w:left="480" w:hanging="480"/>
        <w:rPr>
          <w:noProof/>
        </w:rPr>
      </w:pPr>
      <w:r>
        <w:rPr>
          <w:noProof/>
        </w:rPr>
        <w:t>Freeman R. E. (1984). “Strategic Management: A Stakeholder Approach”. Pitman, London.</w:t>
      </w:r>
    </w:p>
    <w:p w:rsidR="00FA1AC4" w:rsidRDefault="00B11CCA">
      <w:pPr>
        <w:widowControl w:val="0"/>
        <w:autoSpaceDE w:val="0"/>
        <w:autoSpaceDN w:val="0"/>
        <w:adjustRightInd w:val="0"/>
        <w:ind w:left="480" w:hanging="480"/>
        <w:rPr>
          <w:noProof/>
        </w:rPr>
      </w:pPr>
      <w:r>
        <w:rPr>
          <w:noProof/>
        </w:rPr>
        <w:t xml:space="preserve">García-Sánchez, I. M., García-Meca, E., &amp; Cuadrado-Ballesteros, B. (2017). Do financial experts on audit committees matter for bank insolvency risk-taking? The monitoring role of bank regulation and ethical policy. </w:t>
      </w:r>
      <w:r>
        <w:rPr>
          <w:i/>
          <w:iCs/>
          <w:noProof/>
        </w:rPr>
        <w:t>Journal of Business Research</w:t>
      </w:r>
      <w:r>
        <w:rPr>
          <w:noProof/>
        </w:rPr>
        <w:t xml:space="preserve">, </w:t>
      </w:r>
      <w:r>
        <w:rPr>
          <w:i/>
          <w:iCs/>
          <w:noProof/>
        </w:rPr>
        <w:t>76</w:t>
      </w:r>
      <w:r>
        <w:rPr>
          <w:noProof/>
        </w:rPr>
        <w:t>, 52–66. https://doi.org/10.1016/j.jbusres.2017.03.004</w:t>
      </w:r>
    </w:p>
    <w:p w:rsidR="00FA1AC4" w:rsidRDefault="00B11CCA">
      <w:pPr>
        <w:widowControl w:val="0"/>
        <w:autoSpaceDE w:val="0"/>
        <w:autoSpaceDN w:val="0"/>
        <w:adjustRightInd w:val="0"/>
        <w:ind w:left="480" w:hanging="480"/>
        <w:rPr>
          <w:noProof/>
        </w:rPr>
      </w:pPr>
      <w:r>
        <w:rPr>
          <w:noProof/>
        </w:rPr>
        <w:t xml:space="preserve">Ghafran, C.M., Yasmin, S. (2017). This is a repository copy of Audit committee chair and financial reporting timeliness : A focus on financial , experiential and monitoring expertise. </w:t>
      </w:r>
      <w:r>
        <w:rPr>
          <w:i/>
          <w:iCs/>
          <w:noProof/>
        </w:rPr>
        <w:t>International Journal of Auditing</w:t>
      </w:r>
      <w:r>
        <w:rPr>
          <w:noProof/>
        </w:rPr>
        <w:t>.</w:t>
      </w:r>
    </w:p>
    <w:p w:rsidR="00FA1AC4" w:rsidRDefault="00B11CCA">
      <w:pPr>
        <w:widowControl w:val="0"/>
        <w:autoSpaceDE w:val="0"/>
        <w:autoSpaceDN w:val="0"/>
        <w:adjustRightInd w:val="0"/>
        <w:ind w:left="480" w:hanging="480"/>
        <w:rPr>
          <w:noProof/>
        </w:rPr>
      </w:pPr>
      <w:r>
        <w:rPr>
          <w:noProof/>
        </w:rPr>
        <w:t xml:space="preserve">Ghafran, C., &amp; O’Sullivan, N. (2017). The impact of audit committee expertise on audit quality: Evidence from UK audit fees. </w:t>
      </w:r>
      <w:r>
        <w:rPr>
          <w:i/>
          <w:iCs/>
          <w:noProof/>
        </w:rPr>
        <w:t>British Accounting Review</w:t>
      </w:r>
      <w:r>
        <w:rPr>
          <w:noProof/>
        </w:rPr>
        <w:t xml:space="preserve">, </w:t>
      </w:r>
      <w:r>
        <w:rPr>
          <w:i/>
          <w:iCs/>
          <w:noProof/>
        </w:rPr>
        <w:t>49</w:t>
      </w:r>
      <w:r>
        <w:rPr>
          <w:noProof/>
        </w:rPr>
        <w:t>(6), 578–593. https://doi.org/10.1016/j.bar.2017.09.008</w:t>
      </w:r>
    </w:p>
    <w:p w:rsidR="00FA1AC4" w:rsidRDefault="00B11CCA">
      <w:pPr>
        <w:widowControl w:val="0"/>
        <w:autoSpaceDE w:val="0"/>
        <w:autoSpaceDN w:val="0"/>
        <w:adjustRightInd w:val="0"/>
        <w:ind w:left="480" w:hanging="480"/>
        <w:rPr>
          <w:noProof/>
        </w:rPr>
      </w:pPr>
      <w:r>
        <w:rPr>
          <w:noProof/>
        </w:rPr>
        <w:t xml:space="preserve">Ghafran, C., &amp; Yasmin, S. (2018). Audit committee chair and financial reporting timeliness: A focus on financial, experiential and monitoring expertise. </w:t>
      </w:r>
      <w:r>
        <w:rPr>
          <w:i/>
          <w:iCs/>
          <w:noProof/>
        </w:rPr>
        <w:t>International Journal of Auditing</w:t>
      </w:r>
      <w:r>
        <w:rPr>
          <w:noProof/>
        </w:rPr>
        <w:t xml:space="preserve">, </w:t>
      </w:r>
      <w:r>
        <w:rPr>
          <w:i/>
          <w:iCs/>
          <w:noProof/>
        </w:rPr>
        <w:t>22</w:t>
      </w:r>
      <w:r>
        <w:rPr>
          <w:noProof/>
        </w:rPr>
        <w:t>(1), 13–24. https://doi.org/10.1111/ijau.12101</w:t>
      </w:r>
    </w:p>
    <w:p w:rsidR="00FA1AC4" w:rsidRDefault="00B11CCA">
      <w:pPr>
        <w:widowControl w:val="0"/>
        <w:autoSpaceDE w:val="0"/>
        <w:autoSpaceDN w:val="0"/>
        <w:adjustRightInd w:val="0"/>
        <w:ind w:left="480" w:hanging="480"/>
        <w:rPr>
          <w:noProof/>
        </w:rPr>
      </w:pPr>
      <w:r>
        <w:rPr>
          <w:noProof/>
        </w:rPr>
        <w:lastRenderedPageBreak/>
        <w:t xml:space="preserve">Ghazali, N. (2016). A Reliability and Validity of an Instrument to Evaluate the School-Based Assessment System : A Pilot Study. </w:t>
      </w:r>
      <w:r>
        <w:rPr>
          <w:i/>
          <w:iCs/>
          <w:noProof/>
        </w:rPr>
        <w:t>International Journal of Evaluation and Research in Education (IJERE)</w:t>
      </w:r>
      <w:r>
        <w:rPr>
          <w:noProof/>
        </w:rPr>
        <w:t xml:space="preserve">, </w:t>
      </w:r>
      <w:r>
        <w:rPr>
          <w:i/>
          <w:iCs/>
          <w:noProof/>
        </w:rPr>
        <w:t>5</w:t>
      </w:r>
      <w:r>
        <w:rPr>
          <w:noProof/>
        </w:rPr>
        <w:t>(2), 148–157.</w:t>
      </w:r>
    </w:p>
    <w:p w:rsidR="00FA1AC4" w:rsidRDefault="00B11CCA">
      <w:pPr>
        <w:widowControl w:val="0"/>
        <w:autoSpaceDE w:val="0"/>
        <w:autoSpaceDN w:val="0"/>
        <w:adjustRightInd w:val="0"/>
        <w:ind w:left="480" w:hanging="480"/>
        <w:rPr>
          <w:noProof/>
        </w:rPr>
      </w:pPr>
      <w:r>
        <w:rPr>
          <w:noProof/>
        </w:rPr>
        <w:t xml:space="preserve">Gölpek, F. (2015). Service Sector and Technological Developments. </w:t>
      </w:r>
      <w:r>
        <w:rPr>
          <w:i/>
          <w:iCs/>
          <w:noProof/>
        </w:rPr>
        <w:t>Procedia - Social and Behavioral Sciences</w:t>
      </w:r>
      <w:r>
        <w:rPr>
          <w:noProof/>
        </w:rPr>
        <w:t xml:space="preserve">, </w:t>
      </w:r>
      <w:r>
        <w:rPr>
          <w:i/>
          <w:iCs/>
          <w:noProof/>
        </w:rPr>
        <w:t>181</w:t>
      </w:r>
      <w:r>
        <w:rPr>
          <w:noProof/>
        </w:rPr>
        <w:t>, 125–130. https://doi.org/10.1016/j.sbspro.2015.04.873</w:t>
      </w:r>
    </w:p>
    <w:p w:rsidR="00FA1AC4" w:rsidRDefault="00B11CCA">
      <w:pPr>
        <w:widowControl w:val="0"/>
        <w:autoSpaceDE w:val="0"/>
        <w:autoSpaceDN w:val="0"/>
        <w:adjustRightInd w:val="0"/>
        <w:ind w:left="480" w:hanging="480"/>
        <w:rPr>
          <w:noProof/>
        </w:rPr>
      </w:pPr>
      <w:r>
        <w:rPr>
          <w:noProof/>
        </w:rPr>
        <w:t xml:space="preserve">Gorshunov, M. A., Armenakis, A. A., Harris, S. G., &amp; Walker, H. J. (2021). Quad-qualified audit committee director: Implications for monitoring and reducing financial corruption. </w:t>
      </w:r>
      <w:r>
        <w:rPr>
          <w:i/>
          <w:iCs/>
          <w:noProof/>
        </w:rPr>
        <w:t>Journal of Corporate Finance</w:t>
      </w:r>
      <w:r>
        <w:rPr>
          <w:noProof/>
        </w:rPr>
        <w:t xml:space="preserve">, </w:t>
      </w:r>
      <w:r>
        <w:rPr>
          <w:i/>
          <w:iCs/>
          <w:noProof/>
        </w:rPr>
        <w:t>66</w:t>
      </w:r>
      <w:r>
        <w:rPr>
          <w:noProof/>
        </w:rPr>
        <w:t>(June 2020), 101854. https://doi.org/10.1016/j.jcorpfin.2020.101854</w:t>
      </w:r>
    </w:p>
    <w:p w:rsidR="00FA1AC4" w:rsidRDefault="00B11CCA">
      <w:pPr>
        <w:widowControl w:val="0"/>
        <w:autoSpaceDE w:val="0"/>
        <w:autoSpaceDN w:val="0"/>
        <w:adjustRightInd w:val="0"/>
        <w:ind w:left="480" w:hanging="480"/>
        <w:rPr>
          <w:noProof/>
        </w:rPr>
      </w:pPr>
      <w:r>
        <w:rPr>
          <w:noProof/>
        </w:rPr>
        <w:t xml:space="preserve">Hamid, K. C. A., Othman, S., &amp; Rahim, M. A. (2015). Independence and Financial Knowledge on Audit Committee with Non-compliance of Financial Disclosure: A Study of Listed Companies Issued with Public Reprimand in Malaysia. </w:t>
      </w:r>
      <w:r>
        <w:rPr>
          <w:i/>
          <w:iCs/>
          <w:noProof/>
        </w:rPr>
        <w:t>Procedia - Social and Behavioral Sciences</w:t>
      </w:r>
      <w:r>
        <w:rPr>
          <w:noProof/>
        </w:rPr>
        <w:t xml:space="preserve">, </w:t>
      </w:r>
      <w:r>
        <w:rPr>
          <w:i/>
          <w:iCs/>
          <w:noProof/>
        </w:rPr>
        <w:t>172</w:t>
      </w:r>
      <w:r>
        <w:rPr>
          <w:noProof/>
        </w:rPr>
        <w:t>, 754–761. https://doi.org/10.1016/j.sbspro.2015.01.429</w:t>
      </w:r>
    </w:p>
    <w:p w:rsidR="00FA1AC4" w:rsidRDefault="00B11CCA">
      <w:pPr>
        <w:widowControl w:val="0"/>
        <w:autoSpaceDE w:val="0"/>
        <w:autoSpaceDN w:val="0"/>
        <w:adjustRightInd w:val="0"/>
        <w:ind w:left="480" w:hanging="480"/>
        <w:rPr>
          <w:noProof/>
        </w:rPr>
      </w:pPr>
      <w:r>
        <w:rPr>
          <w:noProof/>
        </w:rPr>
        <w:t xml:space="preserve">Hanoon, R. N., Rapani, N. H. A., &amp; Khalid, A. A. (2020). The correlation between internal control components and the financial performance of iraqi banks a literature review. </w:t>
      </w:r>
      <w:r>
        <w:rPr>
          <w:i/>
          <w:iCs/>
          <w:noProof/>
        </w:rPr>
        <w:t>Journal of Advanced Research in Dynamical and Control Systems</w:t>
      </w:r>
      <w:r>
        <w:rPr>
          <w:noProof/>
        </w:rPr>
        <w:t xml:space="preserve">, </w:t>
      </w:r>
      <w:r>
        <w:rPr>
          <w:i/>
          <w:iCs/>
          <w:noProof/>
        </w:rPr>
        <w:t>12</w:t>
      </w:r>
      <w:r>
        <w:rPr>
          <w:noProof/>
        </w:rPr>
        <w:t>(4 Special Issue), 957–966. https://doi.org/10.5373/JARDCS/V12SP4/20201567</w:t>
      </w:r>
    </w:p>
    <w:p w:rsidR="00FA1AC4" w:rsidRDefault="00B11CCA">
      <w:pPr>
        <w:widowControl w:val="0"/>
        <w:autoSpaceDE w:val="0"/>
        <w:autoSpaceDN w:val="0"/>
        <w:adjustRightInd w:val="0"/>
        <w:ind w:left="480" w:hanging="480"/>
        <w:rPr>
          <w:noProof/>
        </w:rPr>
      </w:pPr>
      <w:r>
        <w:rPr>
          <w:noProof/>
        </w:rPr>
        <w:t xml:space="preserve">Haradhan, M. (2017). Two Criteria for Good Measurements in Research: Validity and Reliability. </w:t>
      </w:r>
      <w:r>
        <w:rPr>
          <w:i/>
          <w:iCs/>
          <w:noProof/>
        </w:rPr>
        <w:t>Munich Personal RePEc Archive</w:t>
      </w:r>
      <w:r>
        <w:rPr>
          <w:noProof/>
        </w:rPr>
        <w:t xml:space="preserve">, </w:t>
      </w:r>
      <w:r>
        <w:rPr>
          <w:i/>
          <w:iCs/>
          <w:noProof/>
        </w:rPr>
        <w:t>3</w:t>
      </w:r>
      <w:r>
        <w:rPr>
          <w:noProof/>
        </w:rPr>
        <w:t>(83458), 58–82.</w:t>
      </w:r>
    </w:p>
    <w:p w:rsidR="00FA1AC4" w:rsidRDefault="00B11CCA">
      <w:pPr>
        <w:widowControl w:val="0"/>
        <w:autoSpaceDE w:val="0"/>
        <w:autoSpaceDN w:val="0"/>
        <w:adjustRightInd w:val="0"/>
        <w:ind w:left="480" w:hanging="480"/>
        <w:rPr>
          <w:noProof/>
        </w:rPr>
      </w:pPr>
      <w:r>
        <w:rPr>
          <w:noProof/>
        </w:rPr>
        <w:t xml:space="preserve">Hasan, S., Kassim, A. A. M., &amp; Hamid, M. A. A. (2020). the Impact of Audit Quality, Audit Committee and Financial Reporting Quality: Evidence From Malaysia. </w:t>
      </w:r>
      <w:r>
        <w:rPr>
          <w:i/>
          <w:iCs/>
          <w:noProof/>
        </w:rPr>
        <w:t>International Journal of Economics and Financial Issues</w:t>
      </w:r>
      <w:r>
        <w:rPr>
          <w:noProof/>
        </w:rPr>
        <w:t xml:space="preserve">, </w:t>
      </w:r>
      <w:r>
        <w:rPr>
          <w:i/>
          <w:iCs/>
          <w:noProof/>
        </w:rPr>
        <w:t>10</w:t>
      </w:r>
      <w:r>
        <w:rPr>
          <w:noProof/>
        </w:rPr>
        <w:t xml:space="preserve">(5), 272–281. </w:t>
      </w:r>
      <w:r>
        <w:rPr>
          <w:noProof/>
        </w:rPr>
        <w:lastRenderedPageBreak/>
        <w:t>https://doi.org/10.32479/ijefi.10136</w:t>
      </w:r>
    </w:p>
    <w:p w:rsidR="00FA1AC4" w:rsidRDefault="00B11CCA">
      <w:pPr>
        <w:widowControl w:val="0"/>
        <w:autoSpaceDE w:val="0"/>
        <w:autoSpaceDN w:val="0"/>
        <w:adjustRightInd w:val="0"/>
        <w:ind w:left="480" w:hanging="480"/>
        <w:rPr>
          <w:noProof/>
        </w:rPr>
      </w:pPr>
      <w:r>
        <w:rPr>
          <w:noProof/>
        </w:rPr>
        <w:t>IASB, (2008). Objective and Qualitative Characteristics of Accounting Information, available at http://www.ifrs.org/current- projects/iasb-projects/conceptual-framework</w:t>
      </w:r>
    </w:p>
    <w:p w:rsidR="00FA1AC4" w:rsidRDefault="00B11CCA">
      <w:pPr>
        <w:widowControl w:val="0"/>
        <w:autoSpaceDE w:val="0"/>
        <w:autoSpaceDN w:val="0"/>
        <w:adjustRightInd w:val="0"/>
        <w:ind w:left="480" w:hanging="480"/>
        <w:rPr>
          <w:noProof/>
        </w:rPr>
      </w:pPr>
      <w:r>
        <w:rPr>
          <w:noProof/>
        </w:rPr>
        <w:t>IASB. (2018). The conceptual framework for financial reporting (2018). Retrieved from http://eifrs.ifrs.org/eifrs/UnaccompaniedConceptual</w:t>
      </w:r>
    </w:p>
    <w:p w:rsidR="00FA1AC4" w:rsidRDefault="00B11CCA">
      <w:pPr>
        <w:widowControl w:val="0"/>
        <w:autoSpaceDE w:val="0"/>
        <w:autoSpaceDN w:val="0"/>
        <w:adjustRightInd w:val="0"/>
        <w:ind w:left="480" w:hanging="480"/>
        <w:rPr>
          <w:noProof/>
        </w:rPr>
      </w:pPr>
      <w:r>
        <w:rPr>
          <w:noProof/>
        </w:rPr>
        <w:t xml:space="preserve">Jegede, O., Egbetokun, A. A., &amp; Siyanbola, W. O. (2014). Assessment of Technological Innovations in the Oilfield Services firms in Nigeria. </w:t>
      </w:r>
      <w:r>
        <w:rPr>
          <w:i/>
          <w:iCs/>
          <w:noProof/>
        </w:rPr>
        <w:t>African Journal of Science, Technology, Innovation and Devevlopment</w:t>
      </w:r>
      <w:r>
        <w:rPr>
          <w:noProof/>
        </w:rPr>
        <w:t xml:space="preserve">, </w:t>
      </w:r>
      <w:r>
        <w:rPr>
          <w:i/>
          <w:iCs/>
          <w:noProof/>
        </w:rPr>
        <w:t>4</w:t>
      </w:r>
      <w:r>
        <w:rPr>
          <w:noProof/>
        </w:rPr>
        <w:t>(January 2011), 69–91.</w:t>
      </w:r>
    </w:p>
    <w:p w:rsidR="00FA1AC4" w:rsidRDefault="00B11CCA">
      <w:pPr>
        <w:widowControl w:val="0"/>
        <w:autoSpaceDE w:val="0"/>
        <w:autoSpaceDN w:val="0"/>
        <w:adjustRightInd w:val="0"/>
        <w:ind w:left="480" w:hanging="480"/>
        <w:rPr>
          <w:noProof/>
        </w:rPr>
      </w:pPr>
      <w:r>
        <w:rPr>
          <w:noProof/>
        </w:rPr>
        <w:t>Jensen, M. C., &amp; Meckling, W. H. (1976). Theory of the firm: managerial behavior, agency costs and ownership structure. Journal of Financial Economics, 3(4), 305–360. https://doi.org/10.1016/0304-405X(76)90026-X</w:t>
      </w:r>
    </w:p>
    <w:p w:rsidR="00FA1AC4" w:rsidRDefault="00B11CCA">
      <w:pPr>
        <w:widowControl w:val="0"/>
        <w:autoSpaceDE w:val="0"/>
        <w:autoSpaceDN w:val="0"/>
        <w:adjustRightInd w:val="0"/>
        <w:ind w:left="480" w:hanging="480"/>
        <w:rPr>
          <w:noProof/>
        </w:rPr>
      </w:pPr>
      <w:r>
        <w:rPr>
          <w:noProof/>
        </w:rPr>
        <w:t xml:space="preserve">Jeroh, E. (2020). Corporate financial attributes and the value of listed financial service firms: The nigerian evidence. </w:t>
      </w:r>
      <w:r>
        <w:rPr>
          <w:i/>
          <w:iCs/>
          <w:noProof/>
        </w:rPr>
        <w:t>Academy of Accounting and Financial Studies Journal</w:t>
      </w:r>
      <w:r>
        <w:rPr>
          <w:noProof/>
        </w:rPr>
        <w:t xml:space="preserve">, </w:t>
      </w:r>
      <w:r>
        <w:rPr>
          <w:i/>
          <w:iCs/>
          <w:noProof/>
        </w:rPr>
        <w:t>24</w:t>
      </w:r>
      <w:r>
        <w:rPr>
          <w:noProof/>
        </w:rPr>
        <w:t>(2), 1–13.</w:t>
      </w:r>
    </w:p>
    <w:p w:rsidR="00FA1AC4" w:rsidRDefault="00B11CCA">
      <w:pPr>
        <w:widowControl w:val="0"/>
        <w:autoSpaceDE w:val="0"/>
        <w:autoSpaceDN w:val="0"/>
        <w:adjustRightInd w:val="0"/>
        <w:ind w:left="480" w:hanging="480"/>
        <w:rPr>
          <w:noProof/>
        </w:rPr>
      </w:pPr>
      <w:r>
        <w:rPr>
          <w:noProof/>
        </w:rPr>
        <w:t xml:space="preserve">Jerubet, S., Chepng’eno, W., and Tenai, J. (2017). Effects of audit committee characteristics on quality of financial reporting among firms listed in nairobi securities exchange, Kenya. </w:t>
      </w:r>
      <w:r>
        <w:rPr>
          <w:i/>
          <w:iCs/>
          <w:noProof/>
        </w:rPr>
        <w:t>International Journal of Economics, Commerce and Management</w:t>
      </w:r>
      <w:r>
        <w:rPr>
          <w:noProof/>
        </w:rPr>
        <w:t xml:space="preserve">, </w:t>
      </w:r>
      <w:r>
        <w:rPr>
          <w:i/>
          <w:iCs/>
          <w:noProof/>
        </w:rPr>
        <w:t>V</w:t>
      </w:r>
      <w:r>
        <w:rPr>
          <w:noProof/>
        </w:rPr>
        <w:t>(1), 553–569. http://ijecm.co.uk/wp-content/uploads/2017/01/5129.pdf</w:t>
      </w:r>
    </w:p>
    <w:p w:rsidR="00FA1AC4" w:rsidRDefault="00B11CCA">
      <w:pPr>
        <w:widowControl w:val="0"/>
        <w:autoSpaceDE w:val="0"/>
        <w:autoSpaceDN w:val="0"/>
        <w:adjustRightInd w:val="0"/>
        <w:ind w:left="480" w:hanging="480"/>
        <w:rPr>
          <w:noProof/>
        </w:rPr>
      </w:pPr>
      <w:r>
        <w:rPr>
          <w:noProof/>
        </w:rPr>
        <w:t xml:space="preserve">Johnston, J., &amp; Nowland, J. (2017). A research note: The informational benefits of CEO attendance-by-invitation at audit committee meetings. </w:t>
      </w:r>
      <w:r>
        <w:rPr>
          <w:i/>
          <w:iCs/>
          <w:noProof/>
        </w:rPr>
        <w:t>Journal of Contemporary Accounting and Economics</w:t>
      </w:r>
      <w:r>
        <w:rPr>
          <w:noProof/>
        </w:rPr>
        <w:t xml:space="preserve">, </w:t>
      </w:r>
      <w:r>
        <w:rPr>
          <w:i/>
          <w:iCs/>
          <w:noProof/>
        </w:rPr>
        <w:t>13</w:t>
      </w:r>
      <w:r>
        <w:rPr>
          <w:noProof/>
        </w:rPr>
        <w:t>, 108–118. https://doi.org/10.1016/j.jcae.2017.05.006</w:t>
      </w:r>
    </w:p>
    <w:p w:rsidR="00FA1AC4" w:rsidRDefault="00B11CCA">
      <w:pPr>
        <w:widowControl w:val="0"/>
        <w:autoSpaceDE w:val="0"/>
        <w:autoSpaceDN w:val="0"/>
        <w:adjustRightInd w:val="0"/>
        <w:ind w:left="480" w:hanging="480"/>
        <w:rPr>
          <w:noProof/>
        </w:rPr>
      </w:pPr>
      <w:r>
        <w:rPr>
          <w:noProof/>
        </w:rPr>
        <w:t xml:space="preserve">Kalbers, L., &amp; Fogarty, T. (1993). Audit committee effec- tiveness: an empirical investigation of the contribu- tion of power. Auditing: A Journal of Practice &amp; </w:t>
      </w:r>
      <w:r>
        <w:rPr>
          <w:noProof/>
        </w:rPr>
        <w:lastRenderedPageBreak/>
        <w:t>Theory, 12(1), 24–40.</w:t>
      </w:r>
    </w:p>
    <w:p w:rsidR="00FA1AC4" w:rsidRDefault="00B11CCA">
      <w:pPr>
        <w:widowControl w:val="0"/>
        <w:autoSpaceDE w:val="0"/>
        <w:autoSpaceDN w:val="0"/>
        <w:adjustRightInd w:val="0"/>
        <w:ind w:left="480" w:hanging="480"/>
        <w:rPr>
          <w:noProof/>
        </w:rPr>
      </w:pPr>
      <w:r>
        <w:rPr>
          <w:noProof/>
        </w:rPr>
        <w:t xml:space="preserve">Kamolsakulchai, M. (2015). The Impact of the Audit Committee Effectiveness and Audit Quality on Financial Reporting Quality of listed company in Stocks Exchange of Thailand. </w:t>
      </w:r>
      <w:r>
        <w:rPr>
          <w:i/>
          <w:iCs/>
          <w:noProof/>
        </w:rPr>
        <w:t>Bus. Econ. Res.Online</w:t>
      </w:r>
      <w:r>
        <w:rPr>
          <w:noProof/>
        </w:rPr>
        <w:t xml:space="preserve">, </w:t>
      </w:r>
      <w:r>
        <w:rPr>
          <w:i/>
          <w:iCs/>
          <w:noProof/>
        </w:rPr>
        <w:t>4</w:t>
      </w:r>
      <w:r>
        <w:rPr>
          <w:noProof/>
        </w:rPr>
        <w:t>(2), 2304–1013.</w:t>
      </w:r>
    </w:p>
    <w:p w:rsidR="00FA1AC4" w:rsidRDefault="00B11CCA">
      <w:pPr>
        <w:widowControl w:val="0"/>
        <w:autoSpaceDE w:val="0"/>
        <w:autoSpaceDN w:val="0"/>
        <w:adjustRightInd w:val="0"/>
        <w:ind w:left="480" w:hanging="480"/>
        <w:rPr>
          <w:noProof/>
        </w:rPr>
      </w:pPr>
      <w:r>
        <w:rPr>
          <w:noProof/>
        </w:rPr>
        <w:t xml:space="preserve">Kartal, M. T., İbiş, C., &amp; Çatıkkaş, Ö. (2018). Adequacy of audit committees: A study of deposit banks in Turkey. </w:t>
      </w:r>
      <w:r>
        <w:rPr>
          <w:i/>
          <w:iCs/>
          <w:noProof/>
        </w:rPr>
        <w:t>Borsa Istanbul Review</w:t>
      </w:r>
      <w:r>
        <w:rPr>
          <w:noProof/>
        </w:rPr>
        <w:t xml:space="preserve">, </w:t>
      </w:r>
      <w:r>
        <w:rPr>
          <w:i/>
          <w:iCs/>
          <w:noProof/>
        </w:rPr>
        <w:t>18</w:t>
      </w:r>
      <w:r>
        <w:rPr>
          <w:noProof/>
        </w:rPr>
        <w:t>(2), 150–165. https://doi.org/10.1016/j.bir.2018.01.002</w:t>
      </w:r>
    </w:p>
    <w:p w:rsidR="00FA1AC4" w:rsidRDefault="00B11CCA">
      <w:pPr>
        <w:widowControl w:val="0"/>
        <w:autoSpaceDE w:val="0"/>
        <w:autoSpaceDN w:val="0"/>
        <w:adjustRightInd w:val="0"/>
        <w:ind w:left="480" w:hanging="480"/>
        <w:rPr>
          <w:noProof/>
        </w:rPr>
      </w:pPr>
      <w:r>
        <w:rPr>
          <w:noProof/>
        </w:rPr>
        <w:t xml:space="preserve">Khanna, A., Papadavid, P., Tyson, J., &amp; Willem te Velve, D. (2016). The Role of Services in Economic Transformation - With an Application to Kenya. </w:t>
      </w:r>
      <w:r>
        <w:rPr>
          <w:i/>
          <w:iCs/>
          <w:noProof/>
        </w:rPr>
        <w:t>Supporting Economic Transformation</w:t>
      </w:r>
      <w:r>
        <w:rPr>
          <w:noProof/>
        </w:rPr>
        <w:t xml:space="preserve">, </w:t>
      </w:r>
      <w:r>
        <w:rPr>
          <w:i/>
          <w:iCs/>
          <w:noProof/>
        </w:rPr>
        <w:t>February</w:t>
      </w:r>
      <w:r>
        <w:rPr>
          <w:noProof/>
        </w:rPr>
        <w:t>, 1–68.</w:t>
      </w:r>
    </w:p>
    <w:p w:rsidR="00FA1AC4" w:rsidRDefault="00B11CCA">
      <w:pPr>
        <w:widowControl w:val="0"/>
        <w:autoSpaceDE w:val="0"/>
        <w:autoSpaceDN w:val="0"/>
        <w:adjustRightInd w:val="0"/>
        <w:ind w:left="480" w:hanging="480"/>
        <w:rPr>
          <w:noProof/>
        </w:rPr>
      </w:pPr>
      <w:r>
        <w:rPr>
          <w:noProof/>
        </w:rPr>
        <w:t xml:space="preserve">Kharashgah, K. A., Amran, N. A. B., &amp; Ishak, R. B. (2019). The Impact of Audit Committee Characteristics on Real Earnings Management: Evidence from Jordan. </w:t>
      </w:r>
      <w:r>
        <w:rPr>
          <w:i/>
          <w:iCs/>
          <w:noProof/>
        </w:rPr>
        <w:t>International Journal of Academic Research in Accounting, Finance and Management Sciences</w:t>
      </w:r>
      <w:r>
        <w:rPr>
          <w:noProof/>
        </w:rPr>
        <w:t xml:space="preserve">, </w:t>
      </w:r>
      <w:r>
        <w:rPr>
          <w:i/>
          <w:iCs/>
          <w:noProof/>
        </w:rPr>
        <w:t>9</w:t>
      </w:r>
      <w:r>
        <w:rPr>
          <w:noProof/>
        </w:rPr>
        <w:t>(4), 84–97. https://doi.org/10.6007/ijarafms/v9-i4/6699</w:t>
      </w:r>
    </w:p>
    <w:p w:rsidR="00FA1AC4" w:rsidRDefault="00B11CCA">
      <w:pPr>
        <w:widowControl w:val="0"/>
        <w:autoSpaceDE w:val="0"/>
        <w:autoSpaceDN w:val="0"/>
        <w:adjustRightInd w:val="0"/>
        <w:ind w:left="480" w:hanging="480"/>
        <w:rPr>
          <w:noProof/>
        </w:rPr>
      </w:pPr>
      <w:r>
        <w:rPr>
          <w:noProof/>
        </w:rPr>
        <w:t xml:space="preserve">Kibiya, M. U., Ahmad, A. C., &amp; Amran, N. A. (2016). Audit Committee Characteristics and Financial Reporting Quality: Nigerian Non-Financial Listed Firms. </w:t>
      </w:r>
      <w:r>
        <w:rPr>
          <w:i/>
          <w:iCs/>
          <w:noProof/>
        </w:rPr>
        <w:t>International Soft Science Conference</w:t>
      </w:r>
      <w:r>
        <w:rPr>
          <w:noProof/>
        </w:rPr>
        <w:t xml:space="preserve">, </w:t>
      </w:r>
      <w:r>
        <w:rPr>
          <w:i/>
          <w:iCs/>
          <w:noProof/>
        </w:rPr>
        <w:t>2357</w:t>
      </w:r>
      <w:r>
        <w:rPr>
          <w:noProof/>
        </w:rPr>
        <w:t>–</w:t>
      </w:r>
      <w:r>
        <w:rPr>
          <w:i/>
          <w:iCs/>
          <w:noProof/>
        </w:rPr>
        <w:t>1330</w:t>
      </w:r>
      <w:r>
        <w:rPr>
          <w:noProof/>
        </w:rPr>
        <w:t>, 753–760. https://doi.org/10.15405/epsbs.2016.08.106</w:t>
      </w:r>
    </w:p>
    <w:p w:rsidR="00FA1AC4" w:rsidRDefault="00B11CCA">
      <w:pPr>
        <w:widowControl w:val="0"/>
        <w:autoSpaceDE w:val="0"/>
        <w:autoSpaceDN w:val="0"/>
        <w:adjustRightInd w:val="0"/>
        <w:ind w:left="480" w:hanging="480"/>
        <w:rPr>
          <w:noProof/>
        </w:rPr>
      </w:pPr>
      <w:r>
        <w:rPr>
          <w:noProof/>
        </w:rPr>
        <w:t>Klein, A. (2002) ‘Audit committee, board of director characteristics and earnings management’, Journal of Accounting and Economics, Vol. 33, No. 3, pp.375–400.</w:t>
      </w:r>
    </w:p>
    <w:p w:rsidR="00FA1AC4" w:rsidRDefault="00B11CCA">
      <w:pPr>
        <w:widowControl w:val="0"/>
        <w:autoSpaceDE w:val="0"/>
        <w:autoSpaceDN w:val="0"/>
        <w:adjustRightInd w:val="0"/>
        <w:ind w:left="480" w:hanging="480"/>
        <w:rPr>
          <w:noProof/>
        </w:rPr>
      </w:pPr>
      <w:r>
        <w:rPr>
          <w:noProof/>
        </w:rPr>
        <w:t xml:space="preserve">Krishnamurthy, P. (2011). An Introduction to Ethics. </w:t>
      </w:r>
      <w:r>
        <w:rPr>
          <w:i/>
          <w:iCs/>
          <w:noProof/>
        </w:rPr>
        <w:t>SSRN Electronic Journal</w:t>
      </w:r>
      <w:r>
        <w:rPr>
          <w:noProof/>
        </w:rPr>
        <w:t xml:space="preserve">, </w:t>
      </w:r>
      <w:r>
        <w:rPr>
          <w:i/>
          <w:iCs/>
          <w:noProof/>
        </w:rPr>
        <w:t>March 2011</w:t>
      </w:r>
      <w:r>
        <w:rPr>
          <w:noProof/>
        </w:rPr>
        <w:t>, 2–21. https://doi.org/10.2139/ssrn.1781502</w:t>
      </w:r>
    </w:p>
    <w:p w:rsidR="00FA1AC4" w:rsidRDefault="00B11CCA">
      <w:pPr>
        <w:widowControl w:val="0"/>
        <w:autoSpaceDE w:val="0"/>
        <w:autoSpaceDN w:val="0"/>
        <w:adjustRightInd w:val="0"/>
        <w:ind w:left="480" w:hanging="480"/>
        <w:rPr>
          <w:noProof/>
        </w:rPr>
      </w:pPr>
      <w:r>
        <w:rPr>
          <w:noProof/>
        </w:rPr>
        <w:t xml:space="preserve">Krishnan, J., 2005. Audit committee quality and internal control: An empirical analysis. </w:t>
      </w:r>
      <w:r>
        <w:rPr>
          <w:noProof/>
        </w:rPr>
        <w:lastRenderedPageBreak/>
        <w:t xml:space="preserve">Acc. Rev. 80 (2), 649–675. </w:t>
      </w:r>
    </w:p>
    <w:p w:rsidR="00FA1AC4" w:rsidRDefault="00B11CCA">
      <w:pPr>
        <w:widowControl w:val="0"/>
        <w:autoSpaceDE w:val="0"/>
        <w:autoSpaceDN w:val="0"/>
        <w:adjustRightInd w:val="0"/>
        <w:ind w:left="480" w:hanging="480"/>
        <w:rPr>
          <w:noProof/>
        </w:rPr>
      </w:pPr>
      <w:r>
        <w:rPr>
          <w:noProof/>
        </w:rPr>
        <w:t xml:space="preserve">Kurauone, O., Kong, Y., Sun, H., &amp; Muzamhindo, S. (2021). The effects of International Financial Reporting Standards , auditing and legal enforcement on tax evasion : Evidence from 37 African countries. </w:t>
      </w:r>
      <w:r>
        <w:rPr>
          <w:i/>
          <w:iCs/>
          <w:noProof/>
        </w:rPr>
        <w:t>Global Finance Journal</w:t>
      </w:r>
      <w:r>
        <w:rPr>
          <w:noProof/>
        </w:rPr>
        <w:t xml:space="preserve">, </w:t>
      </w:r>
      <w:r>
        <w:rPr>
          <w:i/>
          <w:iCs/>
          <w:noProof/>
        </w:rPr>
        <w:t>49</w:t>
      </w:r>
      <w:r>
        <w:rPr>
          <w:noProof/>
        </w:rPr>
        <w:t>(May 2020).</w:t>
      </w:r>
    </w:p>
    <w:p w:rsidR="00FA1AC4" w:rsidRDefault="00B11CCA">
      <w:pPr>
        <w:widowControl w:val="0"/>
        <w:autoSpaceDE w:val="0"/>
        <w:autoSpaceDN w:val="0"/>
        <w:adjustRightInd w:val="0"/>
        <w:ind w:left="480" w:hanging="480"/>
        <w:rPr>
          <w:noProof/>
        </w:rPr>
      </w:pPr>
      <w:r>
        <w:rPr>
          <w:noProof/>
        </w:rPr>
        <w:t>Lee, H.Y., Mande, V. (2005), The relationship of audit committee characteristics with endogenously determined audit and non-audit fees. Quarterly Journal of Business and Economics, 44(3/4), 93-112.</w:t>
      </w:r>
    </w:p>
    <w:p w:rsidR="00FA1AC4" w:rsidRDefault="00B11CCA">
      <w:pPr>
        <w:widowControl w:val="0"/>
        <w:autoSpaceDE w:val="0"/>
        <w:autoSpaceDN w:val="0"/>
        <w:adjustRightInd w:val="0"/>
        <w:ind w:left="480" w:hanging="480"/>
        <w:rPr>
          <w:noProof/>
        </w:rPr>
      </w:pPr>
      <w:r>
        <w:rPr>
          <w:noProof/>
        </w:rPr>
        <w:t>Lee, Tsun-Siou, and Yin-Hua Yeh. "Corporate Governance and Financial Distress: Evidence from Taiwan." Corporate Governance: An International Review 12, no. 3 (2004): 378-88</w:t>
      </w:r>
    </w:p>
    <w:p w:rsidR="00FA1AC4" w:rsidRDefault="00B11CCA">
      <w:pPr>
        <w:widowControl w:val="0"/>
        <w:autoSpaceDE w:val="0"/>
        <w:autoSpaceDN w:val="0"/>
        <w:adjustRightInd w:val="0"/>
        <w:ind w:left="480" w:hanging="480"/>
        <w:rPr>
          <w:noProof/>
        </w:rPr>
      </w:pPr>
      <w:r>
        <w:rPr>
          <w:noProof/>
        </w:rPr>
        <w:t>Leventis, S., Weetman, P. &amp; Caramanis, C. 2005. Determinants of audit report lag: Some evidence from the Athens Stock Exchange. International Journal of Auditing 9(1): 45-58. doi: 10.1111/j.1099-1123.2005.00101.x</w:t>
      </w:r>
    </w:p>
    <w:p w:rsidR="00FA1AC4" w:rsidRDefault="00B11CCA">
      <w:pPr>
        <w:widowControl w:val="0"/>
        <w:autoSpaceDE w:val="0"/>
        <w:autoSpaceDN w:val="0"/>
        <w:adjustRightInd w:val="0"/>
        <w:ind w:left="480" w:hanging="480"/>
        <w:rPr>
          <w:noProof/>
        </w:rPr>
      </w:pPr>
      <w:r>
        <w:rPr>
          <w:noProof/>
        </w:rPr>
        <w:t xml:space="preserve">Li, Z., Wang, B., Wu, T., &amp; Zhou, D. (2021). International Review of Financial Analysis The influence of qualified foreign institutional investors on internal control quality : Evidence from China. </w:t>
      </w:r>
      <w:r>
        <w:rPr>
          <w:i/>
          <w:iCs/>
          <w:noProof/>
        </w:rPr>
        <w:t>International Review of Financial Analysis</w:t>
      </w:r>
      <w:r>
        <w:rPr>
          <w:noProof/>
        </w:rPr>
        <w:t xml:space="preserve">, </w:t>
      </w:r>
      <w:r>
        <w:rPr>
          <w:i/>
          <w:iCs/>
          <w:noProof/>
        </w:rPr>
        <w:t>78</w:t>
      </w:r>
      <w:r>
        <w:rPr>
          <w:noProof/>
        </w:rPr>
        <w:t>.</w:t>
      </w:r>
    </w:p>
    <w:p w:rsidR="00FA1AC4" w:rsidRDefault="00B11CCA">
      <w:pPr>
        <w:widowControl w:val="0"/>
        <w:autoSpaceDE w:val="0"/>
        <w:autoSpaceDN w:val="0"/>
        <w:adjustRightInd w:val="0"/>
        <w:ind w:left="480" w:hanging="480"/>
        <w:rPr>
          <w:noProof/>
        </w:rPr>
      </w:pPr>
      <w:r>
        <w:rPr>
          <w:noProof/>
        </w:rPr>
        <w:t xml:space="preserve">Liu, W., &amp; Huang, H. (2020). Auditor realignment, voluntary SOX 404 adoption, and internal control material weakness remediation: Further evidence from U.S.-listed foreign firms. </w:t>
      </w:r>
      <w:r>
        <w:rPr>
          <w:i/>
          <w:iCs/>
          <w:noProof/>
        </w:rPr>
        <w:t>International Business Review</w:t>
      </w:r>
      <w:r>
        <w:rPr>
          <w:noProof/>
        </w:rPr>
        <w:t xml:space="preserve">, </w:t>
      </w:r>
      <w:r>
        <w:rPr>
          <w:i/>
          <w:iCs/>
          <w:noProof/>
        </w:rPr>
        <w:t>29</w:t>
      </w:r>
      <w:r>
        <w:rPr>
          <w:noProof/>
        </w:rPr>
        <w:t>.</w:t>
      </w:r>
    </w:p>
    <w:p w:rsidR="00FA1AC4" w:rsidRDefault="00B11CCA">
      <w:pPr>
        <w:widowControl w:val="0"/>
        <w:autoSpaceDE w:val="0"/>
        <w:autoSpaceDN w:val="0"/>
        <w:adjustRightInd w:val="0"/>
        <w:ind w:left="480" w:hanging="480"/>
        <w:rPr>
          <w:noProof/>
        </w:rPr>
      </w:pPr>
      <w:r>
        <w:rPr>
          <w:noProof/>
        </w:rPr>
        <w:t xml:space="preserve">Livingston, S. A. (2018). Test Reliability — Basic Concepts. </w:t>
      </w:r>
      <w:r>
        <w:t>(Research Memorandum No. RM-18-01). Princeton, NJ: Educational Testing Service.</w:t>
      </w:r>
    </w:p>
    <w:p w:rsidR="00FA1AC4" w:rsidRDefault="00B11CCA">
      <w:pPr>
        <w:widowControl w:val="0"/>
        <w:autoSpaceDE w:val="0"/>
        <w:autoSpaceDN w:val="0"/>
        <w:adjustRightInd w:val="0"/>
        <w:ind w:left="480" w:hanging="480"/>
        <w:rPr>
          <w:noProof/>
        </w:rPr>
      </w:pPr>
      <w:r>
        <w:rPr>
          <w:noProof/>
        </w:rPr>
        <w:t xml:space="preserve">Madhurangi, M. V. C. I., &amp; Abeygunasekera, A. W. J. C. (2021). </w:t>
      </w:r>
      <w:r>
        <w:rPr>
          <w:i/>
          <w:iCs/>
          <w:noProof/>
        </w:rPr>
        <w:t xml:space="preserve">The Impact of Audit Committee Effectiveness and Audit Quality on Financial Reporting Quality : The Case </w:t>
      </w:r>
      <w:r>
        <w:rPr>
          <w:i/>
          <w:iCs/>
          <w:noProof/>
        </w:rPr>
        <w:lastRenderedPageBreak/>
        <w:t>of Sri Lankan Banking Sector</w:t>
      </w:r>
      <w:r>
        <w:rPr>
          <w:noProof/>
        </w:rPr>
        <w:t xml:space="preserve">. </w:t>
      </w:r>
      <w:r>
        <w:rPr>
          <w:i/>
          <w:iCs/>
          <w:noProof/>
        </w:rPr>
        <w:t>12</w:t>
      </w:r>
      <w:r>
        <w:rPr>
          <w:noProof/>
        </w:rPr>
        <w:t>(1), 1–15.</w:t>
      </w:r>
    </w:p>
    <w:p w:rsidR="00FA1AC4" w:rsidRDefault="00B11CCA">
      <w:pPr>
        <w:widowControl w:val="0"/>
        <w:autoSpaceDE w:val="0"/>
        <w:autoSpaceDN w:val="0"/>
        <w:adjustRightInd w:val="0"/>
        <w:ind w:left="480" w:hanging="480"/>
        <w:rPr>
          <w:noProof/>
        </w:rPr>
      </w:pPr>
      <w:r>
        <w:rPr>
          <w:noProof/>
        </w:rPr>
        <w:t xml:space="preserve">Madi, H. K., Ishak, Z., &amp; Manaf, N. A. A. (2014). The Impact of Audit Committee Characteristics on Corporate Voluntary Disclosure. </w:t>
      </w:r>
      <w:r>
        <w:rPr>
          <w:i/>
          <w:iCs/>
          <w:noProof/>
        </w:rPr>
        <w:t>Procedia - Social and Behavioral Sciences</w:t>
      </w:r>
      <w:r>
        <w:rPr>
          <w:noProof/>
        </w:rPr>
        <w:t xml:space="preserve">, </w:t>
      </w:r>
      <w:r>
        <w:rPr>
          <w:i/>
          <w:iCs/>
          <w:noProof/>
        </w:rPr>
        <w:t>164</w:t>
      </w:r>
      <w:r>
        <w:rPr>
          <w:noProof/>
        </w:rPr>
        <w:t>(August), 486–492. https://doi.org/10.1016/j.sbspro.2014.11.106</w:t>
      </w:r>
    </w:p>
    <w:p w:rsidR="00FA1AC4" w:rsidRDefault="00B11CCA">
      <w:pPr>
        <w:widowControl w:val="0"/>
        <w:autoSpaceDE w:val="0"/>
        <w:autoSpaceDN w:val="0"/>
        <w:adjustRightInd w:val="0"/>
        <w:ind w:left="480" w:hanging="480"/>
        <w:rPr>
          <w:noProof/>
        </w:rPr>
      </w:pPr>
      <w:r>
        <w:rPr>
          <w:noProof/>
        </w:rPr>
        <w:t xml:space="preserve">Madugba, J., Nwanji, T. I., Faye, S., &amp; Ben-caleb, E. (2021). Audit Committee Quality and Financial Reporting in Deposit Money Banks in Nigeria. </w:t>
      </w:r>
      <w:r>
        <w:rPr>
          <w:i/>
          <w:iCs/>
          <w:noProof/>
        </w:rPr>
        <w:t>Asian Economic and Financial Review</w:t>
      </w:r>
      <w:r>
        <w:rPr>
          <w:noProof/>
        </w:rPr>
        <w:t xml:space="preserve">, </w:t>
      </w:r>
      <w:r>
        <w:rPr>
          <w:i/>
          <w:iCs/>
          <w:noProof/>
        </w:rPr>
        <w:t>11</w:t>
      </w:r>
      <w:r>
        <w:rPr>
          <w:noProof/>
        </w:rPr>
        <w:t>(2), 2021. https://doi.org/10.18488/journal.aefr.2021.112.104.117</w:t>
      </w:r>
    </w:p>
    <w:p w:rsidR="00FA1AC4" w:rsidRDefault="00B11CCA">
      <w:pPr>
        <w:widowControl w:val="0"/>
        <w:autoSpaceDE w:val="0"/>
        <w:autoSpaceDN w:val="0"/>
        <w:adjustRightInd w:val="0"/>
        <w:ind w:left="480" w:hanging="480"/>
        <w:rPr>
          <w:noProof/>
        </w:rPr>
      </w:pPr>
      <w:r>
        <w:rPr>
          <w:noProof/>
        </w:rPr>
        <w:t xml:space="preserve">Marzuki, M. M., Haji-abdullah, N. M., Othman, R., Abdul-wahab, E. A., &amp; Harymawan, I. (2019). Audit Committee Characteristics , Board Diversity , And Fraudulent Financial Reporting In Malaysia. </w:t>
      </w:r>
      <w:r>
        <w:rPr>
          <w:i/>
          <w:iCs/>
          <w:noProof/>
        </w:rPr>
        <w:t>Asian Academy of Management</w:t>
      </w:r>
      <w:r>
        <w:rPr>
          <w:noProof/>
        </w:rPr>
        <w:t xml:space="preserve">, </w:t>
      </w:r>
      <w:r>
        <w:rPr>
          <w:i/>
          <w:iCs/>
          <w:noProof/>
        </w:rPr>
        <w:t>24</w:t>
      </w:r>
      <w:r>
        <w:rPr>
          <w:noProof/>
        </w:rPr>
        <w:t>(2), 143–167. https://doi.org/10.21315/aamj2019.24.2.7</w:t>
      </w:r>
    </w:p>
    <w:p w:rsidR="00FA1AC4" w:rsidRDefault="00B11CCA">
      <w:pPr>
        <w:widowControl w:val="0"/>
        <w:autoSpaceDE w:val="0"/>
        <w:autoSpaceDN w:val="0"/>
        <w:adjustRightInd w:val="0"/>
        <w:ind w:left="480" w:hanging="480"/>
        <w:rPr>
          <w:noProof/>
        </w:rPr>
      </w:pPr>
      <w:r>
        <w:rPr>
          <w:noProof/>
        </w:rPr>
        <w:t>Mande, V. &amp; Son, M. 2011. Do audit delays affect client retention? Managerial Auditing Journal 26(1): 32-50. doi: 10.1108/02686901111090826</w:t>
      </w:r>
    </w:p>
    <w:p w:rsidR="00FA1AC4" w:rsidRDefault="00B11CCA">
      <w:pPr>
        <w:widowControl w:val="0"/>
        <w:autoSpaceDE w:val="0"/>
        <w:autoSpaceDN w:val="0"/>
        <w:adjustRightInd w:val="0"/>
        <w:ind w:left="480" w:hanging="480"/>
        <w:rPr>
          <w:noProof/>
        </w:rPr>
      </w:pPr>
      <w:r>
        <w:rPr>
          <w:noProof/>
        </w:rPr>
        <w:t>McLelland, A. J., Giroux G., 2000. An empirical analysis of auditor report timing by large municipalities, Journal of Accounting and Public Policy, 19(3): 263-281</w:t>
      </w:r>
    </w:p>
    <w:p w:rsidR="00FA1AC4" w:rsidRDefault="00B11CCA">
      <w:pPr>
        <w:widowControl w:val="0"/>
        <w:autoSpaceDE w:val="0"/>
        <w:autoSpaceDN w:val="0"/>
        <w:adjustRightInd w:val="0"/>
        <w:ind w:left="480" w:hanging="480"/>
        <w:rPr>
          <w:noProof/>
        </w:rPr>
      </w:pPr>
      <w:r>
        <w:rPr>
          <w:noProof/>
        </w:rPr>
        <w:t>Menon, K., &amp; J. Williams. (1994). The use of audit committees for monitoring. Journal of Accounting and Public Policy, 13(2), 121-139</w:t>
      </w:r>
    </w:p>
    <w:p w:rsidR="00FA1AC4" w:rsidRDefault="00B11CCA">
      <w:pPr>
        <w:widowControl w:val="0"/>
        <w:autoSpaceDE w:val="0"/>
        <w:autoSpaceDN w:val="0"/>
        <w:adjustRightInd w:val="0"/>
        <w:ind w:left="480" w:hanging="480"/>
        <w:rPr>
          <w:noProof/>
        </w:rPr>
      </w:pPr>
      <w:r>
        <w:rPr>
          <w:noProof/>
        </w:rPr>
        <w:t xml:space="preserve">Miko, N. U., &amp; Kamardin, H. (2015). Impact of Audit Committee and Audit Quality on Preventing Earnings Management in the Pre- and Post- Nigerian Corporate Governance Code 2011. </w:t>
      </w:r>
      <w:r>
        <w:rPr>
          <w:i/>
          <w:iCs/>
          <w:noProof/>
        </w:rPr>
        <w:t>Procedia - Social and Behavioral Sciences</w:t>
      </w:r>
      <w:r>
        <w:rPr>
          <w:noProof/>
        </w:rPr>
        <w:t xml:space="preserve">, </w:t>
      </w:r>
      <w:r>
        <w:rPr>
          <w:i/>
          <w:iCs/>
          <w:noProof/>
        </w:rPr>
        <w:t>172</w:t>
      </w:r>
      <w:r>
        <w:rPr>
          <w:noProof/>
        </w:rPr>
        <w:t>, 651–657. https://doi.org/10.1016/j.sbspro.2015.01.415</w:t>
      </w:r>
    </w:p>
    <w:p w:rsidR="00FA1AC4" w:rsidRDefault="00B11CCA">
      <w:pPr>
        <w:widowControl w:val="0"/>
        <w:autoSpaceDE w:val="0"/>
        <w:autoSpaceDN w:val="0"/>
        <w:adjustRightInd w:val="0"/>
        <w:ind w:left="480" w:hanging="480"/>
        <w:rPr>
          <w:noProof/>
        </w:rPr>
      </w:pPr>
      <w:r>
        <w:rPr>
          <w:noProof/>
        </w:rPr>
        <w:t xml:space="preserve">Mohd, Z., Juhaida, R., Said, J., &amp; Iskandar, T. (2015). </w:t>
      </w:r>
      <w:r>
        <w:rPr>
          <w:i/>
          <w:iCs/>
          <w:noProof/>
        </w:rPr>
        <w:t xml:space="preserve">The Effects of Internal Control </w:t>
      </w:r>
      <w:r>
        <w:rPr>
          <w:i/>
          <w:iCs/>
          <w:noProof/>
        </w:rPr>
        <w:lastRenderedPageBreak/>
        <w:t>System , Financial Management and Accountability of NPOs : The Perspective of Mosques in Malaysia</w:t>
      </w:r>
      <w:r>
        <w:rPr>
          <w:noProof/>
        </w:rPr>
        <w:t xml:space="preserve">. </w:t>
      </w:r>
      <w:r>
        <w:rPr>
          <w:i/>
          <w:iCs/>
          <w:noProof/>
        </w:rPr>
        <w:t>28</w:t>
      </w:r>
      <w:r>
        <w:rPr>
          <w:noProof/>
        </w:rPr>
        <w:t>(April), 156–162. https://doi.org/10.1016/S2212-5671(15)01095-3</w:t>
      </w:r>
    </w:p>
    <w:p w:rsidR="00FA1AC4" w:rsidRDefault="00B11CCA">
      <w:pPr>
        <w:widowControl w:val="0"/>
        <w:autoSpaceDE w:val="0"/>
        <w:autoSpaceDN w:val="0"/>
        <w:adjustRightInd w:val="0"/>
        <w:ind w:left="480" w:hanging="480"/>
        <w:rPr>
          <w:noProof/>
        </w:rPr>
      </w:pPr>
      <w:r>
        <w:rPr>
          <w:noProof/>
        </w:rPr>
        <w:t xml:space="preserve">Mushrif Rashid, A., Jasim, S. R., &amp; Fadhil Saleh, A. (2021). An auditing quality determinants and their impact on Iraqi commercial banks financial performance (an applied study on a sample of nine banks from 2012 to 2018). </w:t>
      </w:r>
      <w:r>
        <w:rPr>
          <w:i/>
          <w:iCs/>
          <w:noProof/>
        </w:rPr>
        <w:t>Materials Today: Proceedings</w:t>
      </w:r>
      <w:r>
        <w:rPr>
          <w:noProof/>
        </w:rPr>
        <w:t xml:space="preserve">, </w:t>
      </w:r>
      <w:r>
        <w:rPr>
          <w:i/>
          <w:iCs/>
          <w:noProof/>
        </w:rPr>
        <w:t>In Press</w:t>
      </w:r>
      <w:r>
        <w:rPr>
          <w:noProof/>
        </w:rPr>
        <w:t>. https://doi.org/10.1016/j.matpr.2021.04.226</w:t>
      </w:r>
    </w:p>
    <w:p w:rsidR="00FA1AC4" w:rsidRDefault="00B11CCA">
      <w:pPr>
        <w:widowControl w:val="0"/>
        <w:autoSpaceDE w:val="0"/>
        <w:autoSpaceDN w:val="0"/>
        <w:adjustRightInd w:val="0"/>
        <w:ind w:left="480" w:hanging="480"/>
        <w:rPr>
          <w:noProof/>
        </w:rPr>
      </w:pPr>
      <w:r>
        <w:rPr>
          <w:noProof/>
        </w:rPr>
        <w:t xml:space="preserve">Namakavarani, O. M., Daryaei, A. A., Askarany, D., &amp; Askary, S. (2021). Audit Committee Characteristics and Quality of Financial Information: The Role of the Internal Information Environment and Political Connections. </w:t>
      </w:r>
      <w:r>
        <w:rPr>
          <w:i/>
          <w:iCs/>
          <w:noProof/>
        </w:rPr>
        <w:t>Journal of Risk and Financial Management</w:t>
      </w:r>
      <w:r>
        <w:rPr>
          <w:noProof/>
        </w:rPr>
        <w:t xml:space="preserve">, </w:t>
      </w:r>
      <w:r>
        <w:rPr>
          <w:i/>
          <w:iCs/>
          <w:noProof/>
        </w:rPr>
        <w:t>14</w:t>
      </w:r>
      <w:r>
        <w:rPr>
          <w:noProof/>
        </w:rPr>
        <w:t>(6), 273. https://doi.org/10.3390/jrfm14060273</w:t>
      </w:r>
    </w:p>
    <w:p w:rsidR="00FA1AC4" w:rsidRDefault="00B11CCA">
      <w:pPr>
        <w:widowControl w:val="0"/>
        <w:autoSpaceDE w:val="0"/>
        <w:autoSpaceDN w:val="0"/>
        <w:adjustRightInd w:val="0"/>
        <w:ind w:left="480" w:hanging="480"/>
        <w:rPr>
          <w:noProof/>
        </w:rPr>
      </w:pPr>
      <w:r>
        <w:rPr>
          <w:noProof/>
        </w:rPr>
        <w:t xml:space="preserve">Nattawut, T., &amp; Sirilak, K. (2018). The Factors Affecting Financial Reporting Reliability: An Empirical Research of Public Listed Companies in Thailand. </w:t>
      </w:r>
      <w:r>
        <w:rPr>
          <w:i/>
          <w:iCs/>
          <w:noProof/>
        </w:rPr>
        <w:t>Journal of Modern Accounting and Auditing</w:t>
      </w:r>
      <w:r>
        <w:rPr>
          <w:noProof/>
        </w:rPr>
        <w:t xml:space="preserve">, </w:t>
      </w:r>
      <w:r>
        <w:rPr>
          <w:i/>
          <w:iCs/>
          <w:noProof/>
        </w:rPr>
        <w:t>14</w:t>
      </w:r>
      <w:r>
        <w:rPr>
          <w:noProof/>
        </w:rPr>
        <w:t>(6), 291–304. https://doi.org/10.17265/1548-6583/2018.06.001</w:t>
      </w:r>
    </w:p>
    <w:p w:rsidR="00FA1AC4" w:rsidRDefault="00B11CCA">
      <w:pPr>
        <w:widowControl w:val="0"/>
        <w:autoSpaceDE w:val="0"/>
        <w:autoSpaceDN w:val="0"/>
        <w:adjustRightInd w:val="0"/>
        <w:ind w:left="480" w:hanging="480"/>
        <w:rPr>
          <w:noProof/>
        </w:rPr>
      </w:pPr>
      <w:r>
        <w:rPr>
          <w:noProof/>
        </w:rPr>
        <w:t xml:space="preserve">Nik-Salleh, N.-M. Z., &amp; Haat, M.-H. C. (2016). Audit committee and earnings management: Pre and Post MCCG. </w:t>
      </w:r>
      <w:r>
        <w:rPr>
          <w:i/>
          <w:iCs/>
          <w:noProof/>
        </w:rPr>
        <w:t>International Review of Management and Business Research</w:t>
      </w:r>
      <w:r>
        <w:rPr>
          <w:noProof/>
        </w:rPr>
        <w:t xml:space="preserve">, </w:t>
      </w:r>
      <w:r>
        <w:rPr>
          <w:i/>
          <w:iCs/>
          <w:noProof/>
        </w:rPr>
        <w:t>3</w:t>
      </w:r>
      <w:r>
        <w:rPr>
          <w:noProof/>
        </w:rPr>
        <w:t>(1).</w:t>
      </w:r>
    </w:p>
    <w:p w:rsidR="00FA1AC4" w:rsidRDefault="00B11CCA">
      <w:pPr>
        <w:widowControl w:val="0"/>
        <w:autoSpaceDE w:val="0"/>
        <w:autoSpaceDN w:val="0"/>
        <w:adjustRightInd w:val="0"/>
        <w:ind w:left="480" w:hanging="480"/>
        <w:rPr>
          <w:noProof/>
        </w:rPr>
      </w:pPr>
      <w:r>
        <w:rPr>
          <w:noProof/>
        </w:rPr>
        <w:t xml:space="preserve">Nuhu, M. S., Umaru, S. Y., &amp; Salisu, S. (2017). The Effect of Audit Committee’s Quality on the Financial Performance of Food and Beverages Industry in Nigeria. </w:t>
      </w:r>
      <w:r>
        <w:rPr>
          <w:i/>
          <w:iCs/>
          <w:noProof/>
        </w:rPr>
        <w:t>International Journal of Business and Management Invention</w:t>
      </w:r>
      <w:r>
        <w:rPr>
          <w:noProof/>
        </w:rPr>
        <w:t xml:space="preserve">, </w:t>
      </w:r>
      <w:r>
        <w:rPr>
          <w:i/>
          <w:iCs/>
          <w:noProof/>
        </w:rPr>
        <w:t>6</w:t>
      </w:r>
      <w:r>
        <w:rPr>
          <w:noProof/>
        </w:rPr>
        <w:t>(9), 32–40.</w:t>
      </w:r>
    </w:p>
    <w:p w:rsidR="00FA1AC4" w:rsidRDefault="00B11CCA">
      <w:pPr>
        <w:widowControl w:val="0"/>
        <w:autoSpaceDE w:val="0"/>
        <w:autoSpaceDN w:val="0"/>
        <w:adjustRightInd w:val="0"/>
        <w:ind w:left="480" w:hanging="480"/>
        <w:rPr>
          <w:noProof/>
        </w:rPr>
      </w:pPr>
      <w:r>
        <w:rPr>
          <w:noProof/>
        </w:rPr>
        <w:t xml:space="preserve">Nwanji, T.I. and Howell, K. E. (2007). Shareholdership, Stakeholdership and the Modern Global Business Environment: A Survey of the Literature.Journal of Interdisciplinary </w:t>
      </w:r>
      <w:r>
        <w:rPr>
          <w:noProof/>
        </w:rPr>
        <w:lastRenderedPageBreak/>
        <w:t>Economics.Vol.18 No 4 pp. 347-361 ISBN 0260-1079 SAGE Publication Journal</w:t>
      </w:r>
    </w:p>
    <w:p w:rsidR="00FA1AC4" w:rsidRDefault="00B11CCA">
      <w:pPr>
        <w:widowControl w:val="0"/>
        <w:autoSpaceDE w:val="0"/>
        <w:autoSpaceDN w:val="0"/>
        <w:adjustRightInd w:val="0"/>
        <w:ind w:left="480" w:hanging="480"/>
        <w:rPr>
          <w:noProof/>
        </w:rPr>
      </w:pPr>
      <w:r>
        <w:rPr>
          <w:noProof/>
        </w:rPr>
        <w:t xml:space="preserve">Obermire, K. M., Cohen, J. R., &amp; Zehms, K. M. (2021). Audit committee members’ professional identities: Evidence from the field. </w:t>
      </w:r>
      <w:r>
        <w:rPr>
          <w:i/>
          <w:iCs/>
          <w:noProof/>
        </w:rPr>
        <w:t>Accounting, Organizations and Society</w:t>
      </w:r>
      <w:r>
        <w:rPr>
          <w:noProof/>
        </w:rPr>
        <w:t xml:space="preserve">, </w:t>
      </w:r>
      <w:r>
        <w:rPr>
          <w:i/>
          <w:iCs/>
          <w:noProof/>
        </w:rPr>
        <w:t>93</w:t>
      </w:r>
      <w:r>
        <w:rPr>
          <w:noProof/>
        </w:rPr>
        <w:t>(january 20). https://doi.org/10.1016/j.aos.2021.101242</w:t>
      </w:r>
    </w:p>
    <w:p w:rsidR="00FA1AC4" w:rsidRDefault="00B11CCA">
      <w:pPr>
        <w:widowControl w:val="0"/>
        <w:autoSpaceDE w:val="0"/>
        <w:autoSpaceDN w:val="0"/>
        <w:adjustRightInd w:val="0"/>
        <w:ind w:left="480" w:hanging="480"/>
        <w:rPr>
          <w:noProof/>
        </w:rPr>
      </w:pPr>
      <w:r>
        <w:rPr>
          <w:noProof/>
        </w:rPr>
        <w:t xml:space="preserve">Oji, O., &amp; Ofoegbu, G. N. (2017). Effect of Audit Committee Qualities on Financial Reporting of Listed Companies in Nigeria: A Perspective Study. </w:t>
      </w:r>
      <w:r>
        <w:rPr>
          <w:i/>
          <w:iCs/>
          <w:noProof/>
        </w:rPr>
        <w:t>International Journal of Scientific and Research Publications</w:t>
      </w:r>
      <w:r>
        <w:rPr>
          <w:noProof/>
        </w:rPr>
        <w:t xml:space="preserve">, </w:t>
      </w:r>
      <w:r>
        <w:rPr>
          <w:i/>
          <w:iCs/>
          <w:noProof/>
        </w:rPr>
        <w:t>7</w:t>
      </w:r>
      <w:r>
        <w:rPr>
          <w:noProof/>
        </w:rPr>
        <w:t>(10), 278. www.ijsrp.org</w:t>
      </w:r>
    </w:p>
    <w:p w:rsidR="00FA1AC4" w:rsidRDefault="00B11CCA">
      <w:pPr>
        <w:widowControl w:val="0"/>
        <w:autoSpaceDE w:val="0"/>
        <w:autoSpaceDN w:val="0"/>
        <w:adjustRightInd w:val="0"/>
        <w:ind w:left="480" w:hanging="480"/>
        <w:rPr>
          <w:noProof/>
        </w:rPr>
      </w:pPr>
      <w:r>
        <w:rPr>
          <w:noProof/>
        </w:rPr>
        <w:t xml:space="preserve">Olowookere, J. K., &amp; Lasisi, T. K. (2021). Audit Committee Capabilities and Internet Financial Reporting of Listed Financial Firms in Nigeria. </w:t>
      </w:r>
      <w:r>
        <w:rPr>
          <w:i/>
          <w:iCs/>
          <w:noProof/>
        </w:rPr>
        <w:t>Measuring Business Excellence</w:t>
      </w:r>
      <w:r>
        <w:rPr>
          <w:noProof/>
        </w:rPr>
        <w:t xml:space="preserve">, </w:t>
      </w:r>
      <w:r>
        <w:rPr>
          <w:i/>
          <w:iCs/>
          <w:noProof/>
        </w:rPr>
        <w:t>11</w:t>
      </w:r>
      <w:r>
        <w:rPr>
          <w:noProof/>
        </w:rPr>
        <w:t>(3), 64–83. https://doi.org/10.24818/beman/2021.11.3-04</w:t>
      </w:r>
    </w:p>
    <w:p w:rsidR="00FA1AC4" w:rsidRDefault="00B11CCA">
      <w:pPr>
        <w:widowControl w:val="0"/>
        <w:autoSpaceDE w:val="0"/>
        <w:autoSpaceDN w:val="0"/>
        <w:adjustRightInd w:val="0"/>
        <w:ind w:left="480" w:hanging="480"/>
        <w:rPr>
          <w:noProof/>
        </w:rPr>
      </w:pPr>
      <w:r>
        <w:rPr>
          <w:noProof/>
        </w:rPr>
        <w:t xml:space="preserve">Olowookere, J. K., Oyewole, O. M., &amp; Lamidi, W. A. (2021). </w:t>
      </w:r>
      <w:r>
        <w:rPr>
          <w:i/>
          <w:iCs/>
          <w:noProof/>
        </w:rPr>
        <w:t>Effects of Audit Committee Diversity on Financial Reporting Quality among Listed Consumer Goods Companies in Nigeria</w:t>
      </w:r>
      <w:r>
        <w:rPr>
          <w:noProof/>
        </w:rPr>
        <w:t xml:space="preserve">. </w:t>
      </w:r>
      <w:r>
        <w:rPr>
          <w:i/>
          <w:iCs/>
          <w:noProof/>
        </w:rPr>
        <w:t>11</w:t>
      </w:r>
      <w:r>
        <w:rPr>
          <w:noProof/>
        </w:rPr>
        <w:t>(3), 111–120.</w:t>
      </w:r>
    </w:p>
    <w:p w:rsidR="00FA1AC4" w:rsidRDefault="00B11CCA">
      <w:pPr>
        <w:widowControl w:val="0"/>
        <w:autoSpaceDE w:val="0"/>
        <w:autoSpaceDN w:val="0"/>
        <w:adjustRightInd w:val="0"/>
        <w:ind w:left="480" w:hanging="480"/>
        <w:rPr>
          <w:noProof/>
        </w:rPr>
      </w:pPr>
      <w:r>
        <w:rPr>
          <w:noProof/>
        </w:rPr>
        <w:t xml:space="preserve">Onyabe, J. M., Okpanachi, J., Nyor, T., Yahaya, O. A., &amp; Ahmed, M. (2018a). Audit Committee Meeting, Expertise and Financial Reporting Quality of Listed Deposit Money Banks in Nigeria. </w:t>
      </w:r>
      <w:r>
        <w:rPr>
          <w:i/>
          <w:iCs/>
          <w:noProof/>
        </w:rPr>
        <w:t>IOSR Journal of Economics and Finance</w:t>
      </w:r>
      <w:r>
        <w:rPr>
          <w:noProof/>
        </w:rPr>
        <w:t xml:space="preserve">, </w:t>
      </w:r>
      <w:r>
        <w:rPr>
          <w:i/>
          <w:iCs/>
          <w:noProof/>
        </w:rPr>
        <w:t>9</w:t>
      </w:r>
      <w:r>
        <w:rPr>
          <w:noProof/>
        </w:rPr>
        <w:t>(1), 60–67. https://doi.org/10.9790/5933-0901046067</w:t>
      </w:r>
    </w:p>
    <w:p w:rsidR="00FA1AC4" w:rsidRDefault="00B11CCA">
      <w:pPr>
        <w:widowControl w:val="0"/>
        <w:autoSpaceDE w:val="0"/>
        <w:autoSpaceDN w:val="0"/>
        <w:adjustRightInd w:val="0"/>
        <w:ind w:left="480" w:hanging="480"/>
        <w:rPr>
          <w:noProof/>
        </w:rPr>
      </w:pPr>
      <w:r>
        <w:rPr>
          <w:noProof/>
        </w:rPr>
        <w:t xml:space="preserve">Onyabe, J. M., Okpanachi, J., Nyor, T., Yahaya, O. A., &amp; Ahmed, M. (2018b). Effect of Audit Committee Tenure on Financial Reporting Quality of Listed Deposit Money Banks in Nigeria. </w:t>
      </w:r>
      <w:r>
        <w:rPr>
          <w:i/>
          <w:iCs/>
          <w:noProof/>
        </w:rPr>
        <w:t>European Scientific Journal, ESJ</w:t>
      </w:r>
      <w:r>
        <w:rPr>
          <w:noProof/>
        </w:rPr>
        <w:t xml:space="preserve">, </w:t>
      </w:r>
      <w:r>
        <w:rPr>
          <w:i/>
          <w:iCs/>
          <w:noProof/>
        </w:rPr>
        <w:t>14</w:t>
      </w:r>
      <w:r>
        <w:rPr>
          <w:noProof/>
        </w:rPr>
        <w:t>(4), 257. https://doi.org/10.19044/esj.2018.v14n4p257</w:t>
      </w:r>
    </w:p>
    <w:p w:rsidR="00FA1AC4" w:rsidRDefault="00B11CCA">
      <w:pPr>
        <w:widowControl w:val="0"/>
        <w:autoSpaceDE w:val="0"/>
        <w:autoSpaceDN w:val="0"/>
        <w:adjustRightInd w:val="0"/>
        <w:ind w:left="480" w:hanging="480"/>
        <w:rPr>
          <w:noProof/>
        </w:rPr>
      </w:pPr>
      <w:r>
        <w:rPr>
          <w:noProof/>
        </w:rPr>
        <w:t xml:space="preserve">Onyabe, J. M., Okpanachi, J., Terzungwe, N., Onipe, A. Y., &amp; Mohammed, A. (2018). Audit Committee Meeting, Expertise and Financial Reporting Quality of Listed </w:t>
      </w:r>
      <w:r>
        <w:rPr>
          <w:noProof/>
        </w:rPr>
        <w:lastRenderedPageBreak/>
        <w:t xml:space="preserve">Deposit Money Banks in Nigeria. </w:t>
      </w:r>
      <w:r>
        <w:rPr>
          <w:i/>
          <w:iCs/>
          <w:noProof/>
        </w:rPr>
        <w:t>IOSR Journal of Economics and Finance</w:t>
      </w:r>
      <w:r>
        <w:rPr>
          <w:noProof/>
        </w:rPr>
        <w:t xml:space="preserve">, </w:t>
      </w:r>
      <w:r>
        <w:rPr>
          <w:i/>
          <w:iCs/>
          <w:noProof/>
        </w:rPr>
        <w:t>9</w:t>
      </w:r>
      <w:r>
        <w:rPr>
          <w:noProof/>
        </w:rPr>
        <w:t>(1), 60–67. https://doi.org/10.9790/5933-0901046067</w:t>
      </w:r>
    </w:p>
    <w:p w:rsidR="00FA1AC4" w:rsidRDefault="00B11CCA">
      <w:pPr>
        <w:widowControl w:val="0"/>
        <w:autoSpaceDE w:val="0"/>
        <w:autoSpaceDN w:val="0"/>
        <w:adjustRightInd w:val="0"/>
        <w:ind w:left="480" w:hanging="480"/>
        <w:rPr>
          <w:noProof/>
        </w:rPr>
      </w:pPr>
      <w:r>
        <w:rPr>
          <w:noProof/>
        </w:rPr>
        <w:t xml:space="preserve">Osazevbaru, H. O., &amp; Taruhor, E. M. (2020). Unobservable characteristics of board directors and the performance of financial services firms in Nigeria. </w:t>
      </w:r>
      <w:r>
        <w:rPr>
          <w:i/>
          <w:iCs/>
          <w:noProof/>
        </w:rPr>
        <w:t>Investment Management and Financial Innovations</w:t>
      </w:r>
      <w:r>
        <w:rPr>
          <w:noProof/>
        </w:rPr>
        <w:t xml:space="preserve">, </w:t>
      </w:r>
      <w:r>
        <w:rPr>
          <w:i/>
          <w:iCs/>
          <w:noProof/>
        </w:rPr>
        <w:t>17</w:t>
      </w:r>
      <w:r>
        <w:rPr>
          <w:noProof/>
        </w:rPr>
        <w:t>(4), 378–388. https://doi.org/10.21511/imfi.17(4).2020.32</w:t>
      </w:r>
    </w:p>
    <w:p w:rsidR="00FA1AC4" w:rsidRDefault="00B11CCA">
      <w:pPr>
        <w:widowControl w:val="0"/>
        <w:autoSpaceDE w:val="0"/>
        <w:autoSpaceDN w:val="0"/>
        <w:adjustRightInd w:val="0"/>
        <w:ind w:left="480" w:hanging="480"/>
        <w:rPr>
          <w:noProof/>
        </w:rPr>
      </w:pPr>
      <w:r>
        <w:rPr>
          <w:noProof/>
        </w:rPr>
        <w:t xml:space="preserve">Othman, R., Ishak, I. F., Arif, S. M. M., &amp; Aris, N. A. (2014). Influence of Audit Committee Characteristics on Voluntary Ethics Disclosure. </w:t>
      </w:r>
      <w:r>
        <w:rPr>
          <w:i/>
          <w:iCs/>
          <w:noProof/>
        </w:rPr>
        <w:t>Procedia - Social and Behavioral Sciences</w:t>
      </w:r>
      <w:r>
        <w:rPr>
          <w:noProof/>
        </w:rPr>
        <w:t xml:space="preserve">, </w:t>
      </w:r>
      <w:r>
        <w:rPr>
          <w:i/>
          <w:iCs/>
          <w:noProof/>
        </w:rPr>
        <w:t>145</w:t>
      </w:r>
      <w:r>
        <w:rPr>
          <w:noProof/>
        </w:rPr>
        <w:t>, 330–342. https://doi.org/10.1016/j.sbspro.2014.06.042</w:t>
      </w:r>
    </w:p>
    <w:p w:rsidR="00FA1AC4" w:rsidRDefault="00B11CCA">
      <w:pPr>
        <w:widowControl w:val="0"/>
        <w:autoSpaceDE w:val="0"/>
        <w:autoSpaceDN w:val="0"/>
        <w:adjustRightInd w:val="0"/>
        <w:ind w:left="480" w:hanging="480"/>
        <w:rPr>
          <w:noProof/>
        </w:rPr>
      </w:pPr>
      <w:r>
        <w:rPr>
          <w:noProof/>
        </w:rPr>
        <w:t xml:space="preserve">Owolabi, S. A., &amp; Dada, S. . (2011). Audit Committee : An Instrument of Effective Corporate Governance. </w:t>
      </w:r>
      <w:r>
        <w:rPr>
          <w:i/>
          <w:iCs/>
          <w:noProof/>
        </w:rPr>
        <w:t>European Journal of Economics, Finance and Administrative Sciences ISSN</w:t>
      </w:r>
      <w:r>
        <w:rPr>
          <w:noProof/>
        </w:rPr>
        <w:t xml:space="preserve">, </w:t>
      </w:r>
      <w:r>
        <w:rPr>
          <w:i/>
          <w:iCs/>
          <w:noProof/>
        </w:rPr>
        <w:t>35</w:t>
      </w:r>
      <w:r>
        <w:rPr>
          <w:noProof/>
        </w:rPr>
        <w:t>(35).</w:t>
      </w:r>
    </w:p>
    <w:p w:rsidR="00FA1AC4" w:rsidRDefault="00B11CCA">
      <w:pPr>
        <w:widowControl w:val="0"/>
        <w:autoSpaceDE w:val="0"/>
        <w:autoSpaceDN w:val="0"/>
        <w:adjustRightInd w:val="0"/>
        <w:ind w:left="480" w:hanging="480"/>
        <w:rPr>
          <w:noProof/>
        </w:rPr>
      </w:pPr>
      <w:r>
        <w:rPr>
          <w:noProof/>
        </w:rPr>
        <w:t xml:space="preserve">Owolabi, S. A., &amp; Amosun, O. O. (2020). Internal Control Systems and Quality of Financial Reporting in Insurance Industry in Nigeria. </w:t>
      </w:r>
      <w:r>
        <w:rPr>
          <w:i/>
          <w:iCs/>
          <w:noProof/>
        </w:rPr>
        <w:t>Journal of Finance and Accounting</w:t>
      </w:r>
      <w:r>
        <w:rPr>
          <w:noProof/>
        </w:rPr>
        <w:t xml:space="preserve">, </w:t>
      </w:r>
      <w:r>
        <w:rPr>
          <w:i/>
          <w:iCs/>
          <w:noProof/>
        </w:rPr>
        <w:t>8</w:t>
      </w:r>
      <w:r>
        <w:rPr>
          <w:noProof/>
        </w:rPr>
        <w:t>(5), 218. https://doi.org/10.11648/j.jfa.20200805.12</w:t>
      </w:r>
    </w:p>
    <w:p w:rsidR="00FA1AC4" w:rsidRDefault="00B11CCA">
      <w:pPr>
        <w:widowControl w:val="0"/>
        <w:autoSpaceDE w:val="0"/>
        <w:autoSpaceDN w:val="0"/>
        <w:adjustRightInd w:val="0"/>
        <w:ind w:left="480" w:hanging="480"/>
        <w:rPr>
          <w:noProof/>
        </w:rPr>
      </w:pPr>
      <w:r>
        <w:rPr>
          <w:noProof/>
        </w:rPr>
        <w:t>Owusu-Ansah, S. (2000). “Timeliness of Corporate Financial Reporting from the Emerging Capital Markets: Empirical Evidence from the Zimbabwe Stock Exchange.” Journal of Accounting Business and Research. Vol. 30(3), 241-254.</w:t>
      </w:r>
    </w:p>
    <w:p w:rsidR="00FA1AC4" w:rsidRDefault="00B11CCA">
      <w:pPr>
        <w:widowControl w:val="0"/>
        <w:autoSpaceDE w:val="0"/>
        <w:autoSpaceDN w:val="0"/>
        <w:adjustRightInd w:val="0"/>
        <w:ind w:left="480" w:hanging="480"/>
        <w:rPr>
          <w:noProof/>
        </w:rPr>
      </w:pPr>
      <w:r>
        <w:rPr>
          <w:noProof/>
        </w:rPr>
        <w:t xml:space="preserve">Ozili, P. K. (2020). Corporate governance research in Nigeria: a review. </w:t>
      </w:r>
      <w:r>
        <w:rPr>
          <w:i/>
          <w:iCs/>
          <w:noProof/>
        </w:rPr>
        <w:t>Munich Personal RePEc Archive</w:t>
      </w:r>
      <w:r>
        <w:rPr>
          <w:noProof/>
        </w:rPr>
        <w:t xml:space="preserve">, </w:t>
      </w:r>
      <w:r>
        <w:rPr>
          <w:i/>
          <w:iCs/>
          <w:noProof/>
        </w:rPr>
        <w:t>35853</w:t>
      </w:r>
      <w:r>
        <w:rPr>
          <w:noProof/>
        </w:rPr>
        <w:t>. https://mpra.ub.uni-muenchen.de/id/eprint/35853</w:t>
      </w:r>
    </w:p>
    <w:p w:rsidR="00FA1AC4" w:rsidRDefault="00B11CCA">
      <w:pPr>
        <w:widowControl w:val="0"/>
        <w:autoSpaceDE w:val="0"/>
        <w:autoSpaceDN w:val="0"/>
        <w:adjustRightInd w:val="0"/>
        <w:ind w:left="480" w:hanging="480"/>
        <w:rPr>
          <w:noProof/>
        </w:rPr>
      </w:pPr>
      <w:r>
        <w:rPr>
          <w:noProof/>
        </w:rPr>
        <w:t xml:space="preserve">Pérez-Cornejo, C., de Quevedo-Puente, E., &amp; Delgado-García, J. B. (2019). How to manage corporate reputation? The effect of enterprise risk management systems and audit committees on corporate reputation. </w:t>
      </w:r>
      <w:r>
        <w:rPr>
          <w:i/>
          <w:iCs/>
          <w:noProof/>
        </w:rPr>
        <w:t>European Management Journal</w:t>
      </w:r>
      <w:r>
        <w:rPr>
          <w:noProof/>
        </w:rPr>
        <w:t xml:space="preserve">, </w:t>
      </w:r>
      <w:r>
        <w:rPr>
          <w:i/>
          <w:iCs/>
          <w:noProof/>
        </w:rPr>
        <w:t>37</w:t>
      </w:r>
      <w:r>
        <w:rPr>
          <w:noProof/>
        </w:rPr>
        <w:t xml:space="preserve">(4), </w:t>
      </w:r>
      <w:r>
        <w:rPr>
          <w:noProof/>
        </w:rPr>
        <w:lastRenderedPageBreak/>
        <w:t>505–515. https://doi.org/10.1016/j.emj.2019.01.005</w:t>
      </w:r>
    </w:p>
    <w:p w:rsidR="00FA1AC4" w:rsidRDefault="00B11CCA">
      <w:pPr>
        <w:widowControl w:val="0"/>
        <w:autoSpaceDE w:val="0"/>
        <w:autoSpaceDN w:val="0"/>
        <w:adjustRightInd w:val="0"/>
        <w:ind w:left="480" w:hanging="480"/>
        <w:rPr>
          <w:noProof/>
        </w:rPr>
      </w:pPr>
      <w:r>
        <w:rPr>
          <w:noProof/>
        </w:rPr>
        <w:t>Pfeffer, J., &amp; Salancik, G. R. The external control of organisations: A resource dependency perspective. New York: Harper &amp; Row, 1978.</w:t>
      </w:r>
    </w:p>
    <w:p w:rsidR="00FA1AC4" w:rsidRDefault="00B11CCA">
      <w:pPr>
        <w:widowControl w:val="0"/>
        <w:autoSpaceDE w:val="0"/>
        <w:autoSpaceDN w:val="0"/>
        <w:adjustRightInd w:val="0"/>
        <w:ind w:left="480" w:hanging="480"/>
        <w:rPr>
          <w:noProof/>
        </w:rPr>
      </w:pPr>
      <w:r>
        <w:rPr>
          <w:noProof/>
        </w:rPr>
        <w:t xml:space="preserve">Poretti, C., Schatt, A., &amp; Bruynseels, L. (2018). Audit committees’ independence and the information content of earnings announcements in Western Europe. </w:t>
      </w:r>
      <w:r>
        <w:rPr>
          <w:i/>
          <w:iCs/>
          <w:noProof/>
        </w:rPr>
        <w:t>Journal of Accounting Literature</w:t>
      </w:r>
      <w:r>
        <w:rPr>
          <w:noProof/>
        </w:rPr>
        <w:t xml:space="preserve">, </w:t>
      </w:r>
      <w:r>
        <w:rPr>
          <w:i/>
          <w:iCs/>
          <w:noProof/>
        </w:rPr>
        <w:t>40</w:t>
      </w:r>
      <w:r>
        <w:rPr>
          <w:noProof/>
        </w:rPr>
        <w:t>, 29–53. https://doi.org/10.1016/j.acclit.2017.11.002</w:t>
      </w:r>
    </w:p>
    <w:p w:rsidR="00FA1AC4" w:rsidRDefault="00B11CCA">
      <w:pPr>
        <w:widowControl w:val="0"/>
        <w:autoSpaceDE w:val="0"/>
        <w:autoSpaceDN w:val="0"/>
        <w:adjustRightInd w:val="0"/>
        <w:ind w:left="480" w:hanging="480"/>
        <w:rPr>
          <w:noProof/>
        </w:rPr>
      </w:pPr>
      <w:r>
        <w:rPr>
          <w:noProof/>
        </w:rPr>
        <w:t xml:space="preserve">Puasa, S. 1, Salleh, M. F., &amp; Ahmad, A. (2014). Audit Committee and Timeliness of Financial Reporting. </w:t>
      </w:r>
      <w:r>
        <w:rPr>
          <w:i/>
          <w:iCs/>
          <w:noProof/>
        </w:rPr>
        <w:t>East Journal of Scientific Research</w:t>
      </w:r>
      <w:r>
        <w:rPr>
          <w:noProof/>
        </w:rPr>
        <w:t xml:space="preserve">, </w:t>
      </w:r>
      <w:r>
        <w:rPr>
          <w:i/>
          <w:iCs/>
          <w:noProof/>
        </w:rPr>
        <w:t>22</w:t>
      </w:r>
      <w:r>
        <w:rPr>
          <w:noProof/>
        </w:rPr>
        <w:t>(November), 162–175. https://doi.org/10.5829/idosi.mejsr.2014.22.02.21886</w:t>
      </w:r>
    </w:p>
    <w:p w:rsidR="00FA1AC4" w:rsidRDefault="00B11CCA">
      <w:pPr>
        <w:widowControl w:val="0"/>
        <w:autoSpaceDE w:val="0"/>
        <w:autoSpaceDN w:val="0"/>
        <w:adjustRightInd w:val="0"/>
        <w:ind w:left="480" w:hanging="480"/>
        <w:rPr>
          <w:noProof/>
        </w:rPr>
      </w:pPr>
      <w:r>
        <w:rPr>
          <w:noProof/>
        </w:rPr>
        <w:t xml:space="preserve">Qeshta, M., Abu-Alsoud, G. F., Hezabr, A., Ali, B. J., &amp; Qudat, M. S. (2021). </w:t>
      </w:r>
      <w:r>
        <w:rPr>
          <w:i/>
          <w:iCs/>
          <w:noProof/>
        </w:rPr>
        <w:t>Audit Committee Characteristics and Firm Performance : Evidence from the Audit Committee Characteristics and Firm Performance : Evidence from the Insurance Sector in Bahrain</w:t>
      </w:r>
      <w:r>
        <w:rPr>
          <w:noProof/>
        </w:rPr>
        <w:t xml:space="preserve">. </w:t>
      </w:r>
      <w:r>
        <w:rPr>
          <w:i/>
          <w:iCs/>
          <w:noProof/>
        </w:rPr>
        <w:t>June</w:t>
      </w:r>
      <w:r>
        <w:rPr>
          <w:noProof/>
        </w:rPr>
        <w:t>. https://doi.org/10.47059/revistageintec.v11i2.1789</w:t>
      </w:r>
    </w:p>
    <w:p w:rsidR="00FA1AC4" w:rsidRDefault="00B11CCA">
      <w:pPr>
        <w:widowControl w:val="0"/>
        <w:autoSpaceDE w:val="0"/>
        <w:autoSpaceDN w:val="0"/>
        <w:adjustRightInd w:val="0"/>
        <w:ind w:left="480" w:hanging="480"/>
        <w:rPr>
          <w:noProof/>
        </w:rPr>
      </w:pPr>
      <w:r>
        <w:rPr>
          <w:noProof/>
        </w:rPr>
        <w:t xml:space="preserve">Royaee, R., &amp; Dehkordi, B. B. (2016). Role of Corporate Governance in Organization. </w:t>
      </w:r>
      <w:r>
        <w:rPr>
          <w:i/>
          <w:iCs/>
          <w:noProof/>
        </w:rPr>
        <w:t>GSTF International Journal on Business Review (GBR)</w:t>
      </w:r>
      <w:r>
        <w:rPr>
          <w:noProof/>
        </w:rPr>
        <w:t xml:space="preserve">, </w:t>
      </w:r>
      <w:r>
        <w:rPr>
          <w:i/>
          <w:iCs/>
          <w:noProof/>
        </w:rPr>
        <w:t>2</w:t>
      </w:r>
      <w:r>
        <w:rPr>
          <w:noProof/>
        </w:rPr>
        <w:t>(December). https://doi.org/10.5176/2010-4804</w:t>
      </w:r>
    </w:p>
    <w:p w:rsidR="00FA1AC4" w:rsidRDefault="00B11CCA">
      <w:pPr>
        <w:widowControl w:val="0"/>
        <w:autoSpaceDE w:val="0"/>
        <w:autoSpaceDN w:val="0"/>
        <w:adjustRightInd w:val="0"/>
        <w:ind w:left="480" w:hanging="480"/>
        <w:rPr>
          <w:noProof/>
        </w:rPr>
      </w:pPr>
      <w:r>
        <w:rPr>
          <w:noProof/>
        </w:rPr>
        <w:t xml:space="preserve">Rupley, K., Almer, E., &amp; Philbrick, D. (2011). Audit committee effectiveness: Perceptions of public company audit committee members post-SOX. </w:t>
      </w:r>
      <w:r>
        <w:rPr>
          <w:i/>
          <w:iCs/>
          <w:noProof/>
        </w:rPr>
        <w:t>Research in Accounting Regulation</w:t>
      </w:r>
      <w:r>
        <w:rPr>
          <w:noProof/>
        </w:rPr>
        <w:t xml:space="preserve">, </w:t>
      </w:r>
      <w:r>
        <w:rPr>
          <w:i/>
          <w:iCs/>
          <w:noProof/>
        </w:rPr>
        <w:t>23</w:t>
      </w:r>
      <w:r>
        <w:rPr>
          <w:noProof/>
        </w:rPr>
        <w:t>(2), 138–144. https://doi.org/10.1016/j.racreg.2011.06.005</w:t>
      </w:r>
    </w:p>
    <w:p w:rsidR="00FA1AC4" w:rsidRDefault="00B11CCA">
      <w:pPr>
        <w:widowControl w:val="0"/>
        <w:autoSpaceDE w:val="0"/>
        <w:autoSpaceDN w:val="0"/>
        <w:adjustRightInd w:val="0"/>
        <w:ind w:left="480" w:hanging="480"/>
        <w:rPr>
          <w:noProof/>
        </w:rPr>
      </w:pPr>
      <w:r>
        <w:rPr>
          <w:noProof/>
        </w:rPr>
        <w:t xml:space="preserve">Salleh, Z., Baatwah, S. R., &amp; Ahmad, N. (2017). Audit Committee Financial Expertise and Audit Report Lag: Malaysia Further Insight. </w:t>
      </w:r>
      <w:r>
        <w:rPr>
          <w:i/>
          <w:iCs/>
          <w:noProof/>
        </w:rPr>
        <w:t>Asian Journal of Accounting and Governance</w:t>
      </w:r>
      <w:r>
        <w:rPr>
          <w:noProof/>
        </w:rPr>
        <w:t xml:space="preserve">, </w:t>
      </w:r>
      <w:r>
        <w:rPr>
          <w:i/>
          <w:iCs/>
          <w:noProof/>
        </w:rPr>
        <w:t>8</w:t>
      </w:r>
      <w:r>
        <w:rPr>
          <w:noProof/>
        </w:rPr>
        <w:t>(December), 137–150. https://doi.org/10.17576/ajag-2017-08-12</w:t>
      </w:r>
    </w:p>
    <w:p w:rsidR="00FA1AC4" w:rsidRDefault="00B11CCA">
      <w:pPr>
        <w:widowControl w:val="0"/>
        <w:autoSpaceDE w:val="0"/>
        <w:autoSpaceDN w:val="0"/>
        <w:adjustRightInd w:val="0"/>
        <w:ind w:left="480" w:hanging="480"/>
        <w:rPr>
          <w:noProof/>
        </w:rPr>
      </w:pPr>
      <w:r>
        <w:rPr>
          <w:noProof/>
        </w:rPr>
        <w:t xml:space="preserve">Salloum, C., Azzi, G., &amp; Gebrayel, E. (2014). Audit Committee and Financial Distress in </w:t>
      </w:r>
      <w:r>
        <w:rPr>
          <w:noProof/>
        </w:rPr>
        <w:lastRenderedPageBreak/>
        <w:t xml:space="preserve">the Middle East Context: Evidence of the Lebanese Financial Institutions. </w:t>
      </w:r>
      <w:r>
        <w:rPr>
          <w:i/>
          <w:iCs/>
          <w:noProof/>
        </w:rPr>
        <w:t>International Strategic Management Review</w:t>
      </w:r>
      <w:r>
        <w:rPr>
          <w:noProof/>
        </w:rPr>
        <w:t xml:space="preserve">, </w:t>
      </w:r>
      <w:r>
        <w:rPr>
          <w:i/>
          <w:iCs/>
          <w:noProof/>
        </w:rPr>
        <w:t>2</w:t>
      </w:r>
      <w:r>
        <w:rPr>
          <w:noProof/>
        </w:rPr>
        <w:t>(1), 39–45. https://doi.org/10.1016/j.ism.2014.09.001</w:t>
      </w:r>
    </w:p>
    <w:p w:rsidR="00FA1AC4" w:rsidRDefault="00B11CCA">
      <w:pPr>
        <w:widowControl w:val="0"/>
        <w:autoSpaceDE w:val="0"/>
        <w:autoSpaceDN w:val="0"/>
        <w:adjustRightInd w:val="0"/>
        <w:ind w:left="480" w:hanging="480"/>
        <w:rPr>
          <w:noProof/>
        </w:rPr>
      </w:pPr>
      <w:r>
        <w:rPr>
          <w:noProof/>
        </w:rPr>
        <w:t>Sarbanes-Oxley Act (SOX) of 2002 (2002) Public L. No. 107-204, 116 Stat. 745.</w:t>
      </w:r>
    </w:p>
    <w:p w:rsidR="00FA1AC4" w:rsidRDefault="00B11CCA">
      <w:pPr>
        <w:widowControl w:val="0"/>
        <w:autoSpaceDE w:val="0"/>
        <w:autoSpaceDN w:val="0"/>
        <w:adjustRightInd w:val="0"/>
        <w:ind w:left="480" w:hanging="480"/>
        <w:rPr>
          <w:noProof/>
        </w:rPr>
      </w:pPr>
      <w:r>
        <w:rPr>
          <w:noProof/>
        </w:rPr>
        <w:t xml:space="preserve">Schantl, S. F., &amp; Wagenhofer, A. (2021). Public Policy Optimal internal control regulation : Standards , penalties , and leniency in enforcement. </w:t>
      </w:r>
      <w:r>
        <w:rPr>
          <w:i/>
          <w:iCs/>
          <w:noProof/>
        </w:rPr>
        <w:t>Accounting and Public Policy</w:t>
      </w:r>
      <w:r>
        <w:rPr>
          <w:noProof/>
        </w:rPr>
        <w:t xml:space="preserve">, </w:t>
      </w:r>
      <w:r>
        <w:rPr>
          <w:i/>
          <w:iCs/>
          <w:noProof/>
        </w:rPr>
        <w:t>40</w:t>
      </w:r>
      <w:r>
        <w:rPr>
          <w:noProof/>
        </w:rPr>
        <w:t>.</w:t>
      </w:r>
    </w:p>
    <w:p w:rsidR="00FA1AC4" w:rsidRDefault="00B11CCA">
      <w:pPr>
        <w:widowControl w:val="0"/>
        <w:autoSpaceDE w:val="0"/>
        <w:autoSpaceDN w:val="0"/>
        <w:adjustRightInd w:val="0"/>
        <w:ind w:left="480" w:hanging="480"/>
        <w:rPr>
          <w:noProof/>
        </w:rPr>
      </w:pPr>
      <w:r>
        <w:rPr>
          <w:noProof/>
        </w:rPr>
        <w:t xml:space="preserve">Setiyawati, H., Hidayah, N., Rahmatika, D. N., &amp; Indriasih, D. (2020). The Factors That Affect The Quality of Financial Reporting. </w:t>
      </w:r>
      <w:r>
        <w:rPr>
          <w:i/>
          <w:iCs/>
          <w:noProof/>
        </w:rPr>
        <w:t>International Journal of Economics and Management Studies</w:t>
      </w:r>
      <w:r>
        <w:rPr>
          <w:noProof/>
        </w:rPr>
        <w:t xml:space="preserve">, </w:t>
      </w:r>
      <w:r>
        <w:rPr>
          <w:i/>
          <w:iCs/>
          <w:noProof/>
        </w:rPr>
        <w:t>7</w:t>
      </w:r>
      <w:r>
        <w:rPr>
          <w:noProof/>
        </w:rPr>
        <w:t>(1), 33–39. https://doi.org/10.14445/23939125/ijems-v7i1p105</w:t>
      </w:r>
    </w:p>
    <w:p w:rsidR="00FA1AC4" w:rsidRDefault="00B11CCA">
      <w:pPr>
        <w:widowControl w:val="0"/>
        <w:autoSpaceDE w:val="0"/>
        <w:autoSpaceDN w:val="0"/>
        <w:adjustRightInd w:val="0"/>
        <w:ind w:left="480" w:hanging="480"/>
        <w:rPr>
          <w:noProof/>
        </w:rPr>
      </w:pPr>
      <w:r>
        <w:rPr>
          <w:noProof/>
        </w:rPr>
        <w:t xml:space="preserve">Shankaraiah, K., &amp; Sajjadian Amiri, S. M. (2017). Audit Committee Quality and Financial Reporting Quality: A Study of Selected Indian Companies. </w:t>
      </w:r>
      <w:r>
        <w:rPr>
          <w:i/>
          <w:iCs/>
          <w:noProof/>
        </w:rPr>
        <w:t>Jurnal Dinamika Akuntansi Dan Bisnis</w:t>
      </w:r>
      <w:r>
        <w:rPr>
          <w:noProof/>
        </w:rPr>
        <w:t xml:space="preserve">, </w:t>
      </w:r>
      <w:r>
        <w:rPr>
          <w:i/>
          <w:iCs/>
          <w:noProof/>
        </w:rPr>
        <w:t>4</w:t>
      </w:r>
      <w:r>
        <w:rPr>
          <w:noProof/>
        </w:rPr>
        <w:t>(1), 1–18. https://doi.org/10.24815/jdab.v4i1.6653</w:t>
      </w:r>
    </w:p>
    <w:p w:rsidR="00FA1AC4" w:rsidRDefault="00B11CCA">
      <w:pPr>
        <w:widowControl w:val="0"/>
        <w:autoSpaceDE w:val="0"/>
        <w:autoSpaceDN w:val="0"/>
        <w:adjustRightInd w:val="0"/>
        <w:ind w:left="480" w:hanging="480"/>
        <w:rPr>
          <w:noProof/>
        </w:rPr>
      </w:pPr>
      <w:r>
        <w:rPr>
          <w:noProof/>
        </w:rPr>
        <w:t xml:space="preserve">Shu, W., Chen, Y., Lin, B., &amp; Chen, Y. (2018). Does corporate integrity improve the quality of internal control ? </w:t>
      </w:r>
      <w:r>
        <w:rPr>
          <w:i/>
          <w:iCs/>
          <w:noProof/>
        </w:rPr>
        <w:t>China Journal of Accounting Research</w:t>
      </w:r>
      <w:r>
        <w:rPr>
          <w:noProof/>
        </w:rPr>
        <w:t>.</w:t>
      </w:r>
    </w:p>
    <w:p w:rsidR="00FA1AC4" w:rsidRDefault="00B11CCA">
      <w:pPr>
        <w:widowControl w:val="0"/>
        <w:autoSpaceDE w:val="0"/>
        <w:autoSpaceDN w:val="0"/>
        <w:adjustRightInd w:val="0"/>
        <w:ind w:left="480" w:hanging="480"/>
        <w:rPr>
          <w:noProof/>
        </w:rPr>
      </w:pPr>
      <w:r>
        <w:rPr>
          <w:noProof/>
        </w:rPr>
        <w:t xml:space="preserve">Spatacean, I. (2012). Addressing Fraud Risk by Testing the Effectiveness of Internal Control over Financial Reporting Case of Romanian Financial Investment Companies. </w:t>
      </w:r>
      <w:r>
        <w:rPr>
          <w:i/>
          <w:iCs/>
          <w:noProof/>
        </w:rPr>
        <w:t>Procedia Economics and Finance</w:t>
      </w:r>
      <w:r>
        <w:rPr>
          <w:noProof/>
        </w:rPr>
        <w:t xml:space="preserve">, </w:t>
      </w:r>
      <w:r>
        <w:rPr>
          <w:i/>
          <w:iCs/>
          <w:noProof/>
        </w:rPr>
        <w:t>3</w:t>
      </w:r>
      <w:r>
        <w:rPr>
          <w:noProof/>
        </w:rPr>
        <w:t>(12), 230–235. https://doi.org/10.1016/S2212-5671(12)00145-1</w:t>
      </w:r>
    </w:p>
    <w:p w:rsidR="00FA1AC4" w:rsidRDefault="00B11CCA">
      <w:pPr>
        <w:widowControl w:val="0"/>
        <w:autoSpaceDE w:val="0"/>
        <w:autoSpaceDN w:val="0"/>
        <w:adjustRightInd w:val="0"/>
        <w:ind w:left="480" w:hanging="480"/>
        <w:rPr>
          <w:noProof/>
        </w:rPr>
      </w:pPr>
      <w:r>
        <w:rPr>
          <w:noProof/>
        </w:rPr>
        <w:t>Stewart, J.D., Munro, L.A. (2007), The impact of audit committee existence and audit committee meeting frequency on the external audit: Perceptions of Australian auditors. International Journal of Auditing, 11, 51-69.</w:t>
      </w:r>
    </w:p>
    <w:p w:rsidR="00FA1AC4" w:rsidRDefault="00B11CCA">
      <w:pPr>
        <w:widowControl w:val="0"/>
        <w:autoSpaceDE w:val="0"/>
        <w:autoSpaceDN w:val="0"/>
        <w:adjustRightInd w:val="0"/>
        <w:ind w:left="480" w:hanging="480"/>
        <w:rPr>
          <w:noProof/>
        </w:rPr>
      </w:pPr>
      <w:r>
        <w:rPr>
          <w:noProof/>
        </w:rPr>
        <w:t xml:space="preserve">Susanto, Y. K. (2016). THE EFFECT OF AUDIT COMMITTEES AND CORPORATE </w:t>
      </w:r>
      <w:r>
        <w:rPr>
          <w:noProof/>
        </w:rPr>
        <w:lastRenderedPageBreak/>
        <w:t xml:space="preserve">GOVERNANCE ON EARNINGS MANAGEMENT: EVIDENCE FROM INDONESIA MANUFACTURING INDUSTRY. </w:t>
      </w:r>
      <w:r>
        <w:rPr>
          <w:i/>
          <w:iCs/>
          <w:noProof/>
        </w:rPr>
        <w:t>International Journal of Business, Economics and Law</w:t>
      </w:r>
      <w:r>
        <w:rPr>
          <w:noProof/>
        </w:rPr>
        <w:t xml:space="preserve">, </w:t>
      </w:r>
      <w:r>
        <w:rPr>
          <w:i/>
          <w:iCs/>
          <w:noProof/>
        </w:rPr>
        <w:t>10</w:t>
      </w:r>
      <w:r>
        <w:rPr>
          <w:noProof/>
        </w:rPr>
        <w:t>(1), 32–37.</w:t>
      </w:r>
    </w:p>
    <w:p w:rsidR="00FA1AC4" w:rsidRDefault="00B11CCA">
      <w:pPr>
        <w:widowControl w:val="0"/>
        <w:autoSpaceDE w:val="0"/>
        <w:autoSpaceDN w:val="0"/>
        <w:adjustRightInd w:val="0"/>
        <w:ind w:left="480" w:hanging="480"/>
        <w:rPr>
          <w:noProof/>
        </w:rPr>
      </w:pPr>
      <w:r>
        <w:rPr>
          <w:noProof/>
        </w:rPr>
        <w:t xml:space="preserve">Syofyan, E., Septiari, D., Dwita, S., &amp; Rahmi, M. (2021). The characteristics of the audit committee affecting timeliness of the audit report in Indonesia. </w:t>
      </w:r>
      <w:r>
        <w:rPr>
          <w:i/>
          <w:iCs/>
          <w:noProof/>
        </w:rPr>
        <w:t>Cogent Business &amp; Management</w:t>
      </w:r>
      <w:r>
        <w:rPr>
          <w:noProof/>
        </w:rPr>
        <w:t xml:space="preserve">, </w:t>
      </w:r>
      <w:r>
        <w:rPr>
          <w:i/>
          <w:iCs/>
          <w:noProof/>
        </w:rPr>
        <w:t>8</w:t>
      </w:r>
      <w:r>
        <w:rPr>
          <w:noProof/>
        </w:rPr>
        <w:t>(1). https://doi.org/10.1080/23311975.2021.1935183</w:t>
      </w:r>
    </w:p>
    <w:p w:rsidR="00FA1AC4" w:rsidRDefault="00B11CCA">
      <w:pPr>
        <w:widowControl w:val="0"/>
        <w:autoSpaceDE w:val="0"/>
        <w:autoSpaceDN w:val="0"/>
        <w:adjustRightInd w:val="0"/>
        <w:ind w:left="480" w:hanging="480"/>
        <w:rPr>
          <w:noProof/>
        </w:rPr>
      </w:pPr>
      <w:r>
        <w:rPr>
          <w:noProof/>
        </w:rPr>
        <w:t xml:space="preserve">Taherdoost, H. (2016). Validity and Reliability of the Research Instrument ; How to Test the Validation of a Questionnaire / Survey in a Research. </w:t>
      </w:r>
      <w:r>
        <w:rPr>
          <w:i/>
          <w:iCs/>
          <w:noProof/>
        </w:rPr>
        <w:t>International Journal of Academic Research in Management (IJARM)</w:t>
      </w:r>
      <w:r>
        <w:rPr>
          <w:noProof/>
        </w:rPr>
        <w:t xml:space="preserve">, </w:t>
      </w:r>
      <w:r>
        <w:rPr>
          <w:i/>
          <w:iCs/>
          <w:noProof/>
        </w:rPr>
        <w:t>5</w:t>
      </w:r>
      <w:r>
        <w:rPr>
          <w:noProof/>
        </w:rPr>
        <w:t>(3), 28–36. https://doi.org/10.2139/ssrn.3205040</w:t>
      </w:r>
    </w:p>
    <w:p w:rsidR="00FA1AC4" w:rsidRDefault="00B11CCA">
      <w:pPr>
        <w:widowControl w:val="0"/>
        <w:autoSpaceDE w:val="0"/>
        <w:autoSpaceDN w:val="0"/>
        <w:adjustRightInd w:val="0"/>
        <w:ind w:left="480" w:hanging="480"/>
        <w:rPr>
          <w:noProof/>
        </w:rPr>
      </w:pPr>
      <w:r>
        <w:rPr>
          <w:noProof/>
        </w:rPr>
        <w:t xml:space="preserve">Tai, V. W., Lai, Y.-H., &amp; Yang, T.-H. (2020). The role of the board and the audit committee in corporate risk management. </w:t>
      </w:r>
      <w:r>
        <w:rPr>
          <w:i/>
          <w:iCs/>
          <w:noProof/>
        </w:rPr>
        <w:t>The North American Journal of Economics and Finance</w:t>
      </w:r>
      <w:r>
        <w:rPr>
          <w:noProof/>
        </w:rPr>
        <w:t xml:space="preserve">, </w:t>
      </w:r>
      <w:r>
        <w:rPr>
          <w:i/>
          <w:iCs/>
          <w:noProof/>
        </w:rPr>
        <w:t>54</w:t>
      </w:r>
      <w:r>
        <w:rPr>
          <w:noProof/>
        </w:rPr>
        <w:t>(1), 100879. https://doi.org/10.1016/j.najef.2018.11.008</w:t>
      </w:r>
    </w:p>
    <w:p w:rsidR="00FA1AC4" w:rsidRDefault="00B11CCA">
      <w:pPr>
        <w:widowControl w:val="0"/>
        <w:autoSpaceDE w:val="0"/>
        <w:autoSpaceDN w:val="0"/>
        <w:adjustRightInd w:val="0"/>
        <w:ind w:left="480" w:hanging="480"/>
        <w:rPr>
          <w:noProof/>
        </w:rPr>
      </w:pPr>
      <w:r>
        <w:rPr>
          <w:noProof/>
        </w:rPr>
        <w:t xml:space="preserve">Tanko, U. M., &amp; Siyanbola, A. A. (2019). Audit Committee and Financial Reporting Quality : Evidence from Listed Firms in Nigeria. </w:t>
      </w:r>
      <w:r>
        <w:rPr>
          <w:i/>
          <w:iCs/>
          <w:noProof/>
        </w:rPr>
        <w:t>Journal of Accounting, Finance and Management Discovery</w:t>
      </w:r>
      <w:r>
        <w:rPr>
          <w:noProof/>
        </w:rPr>
        <w:t xml:space="preserve">, </w:t>
      </w:r>
      <w:r>
        <w:rPr>
          <w:i/>
          <w:iCs/>
          <w:noProof/>
        </w:rPr>
        <w:t>2</w:t>
      </w:r>
      <w:r>
        <w:rPr>
          <w:noProof/>
        </w:rPr>
        <w:t>(2), 92–105.</w:t>
      </w:r>
    </w:p>
    <w:p w:rsidR="00FA1AC4" w:rsidRDefault="00B11CCA">
      <w:pPr>
        <w:widowControl w:val="0"/>
        <w:autoSpaceDE w:val="0"/>
        <w:autoSpaceDN w:val="0"/>
        <w:adjustRightInd w:val="0"/>
        <w:ind w:left="480" w:hanging="480"/>
        <w:rPr>
          <w:noProof/>
        </w:rPr>
      </w:pPr>
      <w:r>
        <w:rPr>
          <w:noProof/>
        </w:rPr>
        <w:t xml:space="preserve"> Vafeas, N., 2005. Audit committees, boards and the quality of reported earnings. Contemp. Account. Res. 22, 1093–1102</w:t>
      </w:r>
    </w:p>
    <w:p w:rsidR="00FA1AC4" w:rsidRDefault="00B11CCA">
      <w:pPr>
        <w:widowControl w:val="0"/>
        <w:autoSpaceDE w:val="0"/>
        <w:autoSpaceDN w:val="0"/>
        <w:adjustRightInd w:val="0"/>
        <w:ind w:left="480" w:hanging="480"/>
        <w:rPr>
          <w:noProof/>
        </w:rPr>
      </w:pPr>
      <w:r>
        <w:rPr>
          <w:noProof/>
        </w:rPr>
        <w:t xml:space="preserve">Vu, Q., Thi, N., &amp; Nga, T. (2021). Does the implementation of internal controls promote firm profitability ? Evidence from private Vietnamese small- and medium-sized enterprises ( SMEs ). </w:t>
      </w:r>
      <w:r>
        <w:rPr>
          <w:i/>
          <w:iCs/>
          <w:noProof/>
        </w:rPr>
        <w:t>Finance Research Letters Journal</w:t>
      </w:r>
      <w:r>
        <w:rPr>
          <w:noProof/>
        </w:rPr>
        <w:t xml:space="preserve">, </w:t>
      </w:r>
      <w:r>
        <w:rPr>
          <w:i/>
          <w:iCs/>
          <w:noProof/>
        </w:rPr>
        <w:t>December 2020</w:t>
      </w:r>
      <w:r>
        <w:rPr>
          <w:noProof/>
        </w:rPr>
        <w:t>.</w:t>
      </w:r>
    </w:p>
    <w:p w:rsidR="00FA1AC4" w:rsidRDefault="00B11CCA">
      <w:pPr>
        <w:widowControl w:val="0"/>
        <w:autoSpaceDE w:val="0"/>
        <w:autoSpaceDN w:val="0"/>
        <w:adjustRightInd w:val="0"/>
        <w:ind w:left="480" w:hanging="480"/>
        <w:rPr>
          <w:noProof/>
        </w:rPr>
      </w:pPr>
      <w:r>
        <w:rPr>
          <w:noProof/>
        </w:rPr>
        <w:t xml:space="preserve">enterprises ( SMEs ). </w:t>
      </w:r>
      <w:r>
        <w:rPr>
          <w:i/>
          <w:iCs/>
          <w:noProof/>
        </w:rPr>
        <w:t>Finance Research Letters Journal</w:t>
      </w:r>
      <w:r>
        <w:rPr>
          <w:noProof/>
        </w:rPr>
        <w:t xml:space="preserve">, </w:t>
      </w:r>
      <w:r>
        <w:rPr>
          <w:i/>
          <w:iCs/>
          <w:noProof/>
        </w:rPr>
        <w:t>December 2020</w:t>
      </w:r>
      <w:r>
        <w:rPr>
          <w:noProof/>
        </w:rPr>
        <w:t>.</w:t>
      </w:r>
    </w:p>
    <w:p w:rsidR="00FA1AC4" w:rsidRDefault="00B11CCA">
      <w:pPr>
        <w:widowControl w:val="0"/>
        <w:autoSpaceDE w:val="0"/>
        <w:autoSpaceDN w:val="0"/>
        <w:adjustRightInd w:val="0"/>
        <w:ind w:left="480" w:hanging="480"/>
        <w:rPr>
          <w:noProof/>
        </w:rPr>
      </w:pPr>
      <w:r>
        <w:rPr>
          <w:noProof/>
        </w:rPr>
        <w:t xml:space="preserve">Wheeler D, Colbert B, Freeman RE(2003). “Focusing On Value: Reconciling Corporate </w:t>
      </w:r>
      <w:r>
        <w:rPr>
          <w:noProof/>
        </w:rPr>
        <w:lastRenderedPageBreak/>
        <w:t>Social Responsibility, Sustainability And A Stakeholder Approach In A Network World”. Journal of General Management, Vol. 28, pp. 1-28.</w:t>
      </w:r>
    </w:p>
    <w:p w:rsidR="00FA1AC4" w:rsidRDefault="00B11CCA">
      <w:pPr>
        <w:widowControl w:val="0"/>
        <w:autoSpaceDE w:val="0"/>
        <w:autoSpaceDN w:val="0"/>
        <w:adjustRightInd w:val="0"/>
        <w:ind w:left="480" w:hanging="480"/>
        <w:rPr>
          <w:noProof/>
        </w:rPr>
      </w:pPr>
      <w:r>
        <w:rPr>
          <w:noProof/>
        </w:rPr>
        <w:t xml:space="preserve">Williams, F. A. (1985). </w:t>
      </w:r>
      <w:r>
        <w:rPr>
          <w:i/>
          <w:iCs/>
          <w:noProof/>
        </w:rPr>
        <w:t>Combustion Theory</w:t>
      </w:r>
      <w:r>
        <w:rPr>
          <w:noProof/>
        </w:rPr>
        <w:t>.</w:t>
      </w:r>
    </w:p>
    <w:p w:rsidR="00FA1AC4" w:rsidRDefault="00B11CCA">
      <w:pPr>
        <w:widowControl w:val="0"/>
        <w:autoSpaceDE w:val="0"/>
        <w:autoSpaceDN w:val="0"/>
        <w:adjustRightInd w:val="0"/>
        <w:ind w:left="480" w:hanging="480"/>
        <w:rPr>
          <w:noProof/>
        </w:rPr>
      </w:pPr>
      <w:r>
        <w:rPr>
          <w:noProof/>
        </w:rPr>
        <w:t xml:space="preserve">Woidtke, T., &amp; Yeh, Y. H. (2013). The role of the audit committee and the informativeness of accounting earnings in East Asia. </w:t>
      </w:r>
      <w:r>
        <w:rPr>
          <w:i/>
          <w:iCs/>
          <w:noProof/>
        </w:rPr>
        <w:t>Pacific Basin Finance Journal</w:t>
      </w:r>
      <w:r>
        <w:rPr>
          <w:noProof/>
        </w:rPr>
        <w:t xml:space="preserve">, </w:t>
      </w:r>
      <w:r>
        <w:rPr>
          <w:i/>
          <w:iCs/>
          <w:noProof/>
        </w:rPr>
        <w:t>23</w:t>
      </w:r>
      <w:r>
        <w:rPr>
          <w:noProof/>
        </w:rPr>
        <w:t>, 1–24. https://doi.org/10.1016/j.pacfin.2012.12.002</w:t>
      </w:r>
    </w:p>
    <w:p w:rsidR="00FA1AC4" w:rsidRDefault="00B11CCA">
      <w:pPr>
        <w:widowControl w:val="0"/>
        <w:autoSpaceDE w:val="0"/>
        <w:autoSpaceDN w:val="0"/>
        <w:adjustRightInd w:val="0"/>
        <w:ind w:left="480" w:hanging="480"/>
        <w:rPr>
          <w:noProof/>
        </w:rPr>
      </w:pPr>
      <w:r>
        <w:rPr>
          <w:noProof/>
        </w:rPr>
        <w:t xml:space="preserve">Wu, C. Y. H., Hsu, H. H., &amp; Haslam, J. (2014). Audit committees, non-audit services, and auditor reporting decisions prior to failure. </w:t>
      </w:r>
      <w:r>
        <w:rPr>
          <w:i/>
          <w:iCs/>
          <w:noProof/>
        </w:rPr>
        <w:t>British Accounting Review</w:t>
      </w:r>
      <w:r>
        <w:rPr>
          <w:noProof/>
        </w:rPr>
        <w:t xml:space="preserve">, </w:t>
      </w:r>
      <w:r>
        <w:rPr>
          <w:i/>
          <w:iCs/>
          <w:noProof/>
        </w:rPr>
        <w:t>48</w:t>
      </w:r>
      <w:r>
        <w:rPr>
          <w:noProof/>
        </w:rPr>
        <w:t>(2), 240–256. https://doi.org/10.1016/j.bar.2015.03.001</w:t>
      </w:r>
    </w:p>
    <w:p w:rsidR="00FA1AC4" w:rsidRDefault="00B11CCA">
      <w:pPr>
        <w:widowControl w:val="0"/>
        <w:autoSpaceDE w:val="0"/>
        <w:autoSpaceDN w:val="0"/>
        <w:adjustRightInd w:val="0"/>
        <w:ind w:left="480" w:hanging="480"/>
        <w:rPr>
          <w:noProof/>
        </w:rPr>
      </w:pPr>
      <w:r>
        <w:rPr>
          <w:noProof/>
        </w:rPr>
        <w:t>Xie, B., Davidson, W., DaDalt, P., 2003. Earnings management and corporate governance: The role of the board and the audit committee. Journal of Corporate Finance 9 (3): 295- 316</w:t>
      </w:r>
    </w:p>
    <w:p w:rsidR="00FA1AC4" w:rsidRDefault="00B11CCA">
      <w:pPr>
        <w:widowControl w:val="0"/>
        <w:autoSpaceDE w:val="0"/>
        <w:autoSpaceDN w:val="0"/>
        <w:adjustRightInd w:val="0"/>
        <w:ind w:left="480" w:hanging="480"/>
        <w:rPr>
          <w:noProof/>
        </w:rPr>
      </w:pPr>
      <w:r>
        <w:rPr>
          <w:noProof/>
        </w:rPr>
        <w:t xml:space="preserve">Zalata, A. M., Tauringanaa, V., &amp; Tingbani, I. (2018). Audit committee financial expertise, gender, and earnings management: Does gender of the financial expert matter? </w:t>
      </w:r>
      <w:r>
        <w:rPr>
          <w:i/>
          <w:iCs/>
          <w:noProof/>
        </w:rPr>
        <w:t>Audit Committee Financial Expertise, Gender, and Earnings Management: Does Gender of the Financial Expert Matter?</w:t>
      </w:r>
      <w:r>
        <w:rPr>
          <w:noProof/>
        </w:rPr>
        <w:t xml:space="preserve">, </w:t>
      </w:r>
      <w:r>
        <w:rPr>
          <w:i/>
          <w:iCs/>
          <w:noProof/>
        </w:rPr>
        <w:t>55</w:t>
      </w:r>
      <w:r>
        <w:rPr>
          <w:noProof/>
        </w:rPr>
        <w:t>(October 2017), 170–183. https://doi.org/10.1016/j.irfa.2017.11.002</w:t>
      </w:r>
    </w:p>
    <w:p w:rsidR="00FA1AC4" w:rsidRDefault="00B11CCA">
      <w:pPr>
        <w:widowControl w:val="0"/>
        <w:autoSpaceDE w:val="0"/>
        <w:autoSpaceDN w:val="0"/>
        <w:adjustRightInd w:val="0"/>
        <w:spacing w:after="240"/>
        <w:ind w:left="480" w:hanging="480"/>
        <w:rPr>
          <w:noProof/>
        </w:rPr>
      </w:pPr>
      <w:r>
        <w:rPr>
          <w:noProof/>
        </w:rPr>
        <w:t xml:space="preserve">Zhou, H., Owusu-Ansah, S., &amp; Maggina, A. (2018). Board of directors, audit committee, and firm performance: Evidence from Greece. </w:t>
      </w:r>
      <w:r>
        <w:rPr>
          <w:i/>
          <w:iCs/>
          <w:noProof/>
        </w:rPr>
        <w:t>Journal of International Accounting, Auditing and Taxation</w:t>
      </w:r>
      <w:r>
        <w:rPr>
          <w:noProof/>
        </w:rPr>
        <w:t xml:space="preserve">, </w:t>
      </w:r>
      <w:r>
        <w:rPr>
          <w:i/>
          <w:iCs/>
          <w:noProof/>
        </w:rPr>
        <w:t>31</w:t>
      </w:r>
      <w:r>
        <w:rPr>
          <w:noProof/>
        </w:rPr>
        <w:t>(May 2013), 20–36. https://doi.org/10.1016/j.intaccaudtax.2018.03.002</w:t>
      </w:r>
    </w:p>
    <w:p w:rsidR="00FA1AC4" w:rsidRDefault="00B11CCA">
      <w:pPr>
        <w:rPr>
          <w:rFonts w:eastAsia="AdvGulliv-R"/>
          <w:bCs/>
        </w:rPr>
      </w:pPr>
      <w:r>
        <w:rPr>
          <w:rFonts w:eastAsia="AdvGulliv-R"/>
          <w:bCs/>
        </w:rPr>
        <w:fldChar w:fldCharType="end"/>
      </w:r>
      <w:bookmarkStart w:id="87" w:name="_Toc110523053"/>
    </w:p>
    <w:p w:rsidR="00FA1AC4" w:rsidRDefault="00B11CCA" w:rsidP="00913F84">
      <w:pPr>
        <w:pStyle w:val="Heading1"/>
      </w:pPr>
      <w:r>
        <w:lastRenderedPageBreak/>
        <w:t>APPENDI</w:t>
      </w:r>
      <w:bookmarkEnd w:id="87"/>
      <w:r>
        <w:t>CES</w:t>
      </w:r>
    </w:p>
    <w:p w:rsidR="00FA1AC4" w:rsidRDefault="00B11CCA">
      <w:pPr>
        <w:rPr>
          <w:b/>
          <w:sz w:val="28"/>
          <w:szCs w:val="28"/>
        </w:rPr>
      </w:pPr>
      <w:r>
        <w:rPr>
          <w:b/>
          <w:sz w:val="28"/>
          <w:szCs w:val="28"/>
        </w:rPr>
        <w:t xml:space="preserve">Appendix I </w:t>
      </w:r>
    </w:p>
    <w:p w:rsidR="00FA1AC4" w:rsidRDefault="00B11CCA">
      <w:r>
        <w:t xml:space="preserve">List of all Service firms on the Nigerian Stock Exchange </w:t>
      </w:r>
    </w:p>
    <w:tbl>
      <w:tblPr>
        <w:tblStyle w:val="TableGrid"/>
        <w:tblW w:w="9350" w:type="dxa"/>
        <w:tblLook w:val="04A0" w:firstRow="1" w:lastRow="0" w:firstColumn="1" w:lastColumn="0" w:noHBand="0" w:noVBand="1"/>
      </w:tblPr>
      <w:tblGrid>
        <w:gridCol w:w="704"/>
        <w:gridCol w:w="6521"/>
        <w:gridCol w:w="2125"/>
      </w:tblGrid>
      <w:tr w:rsidR="00FA1AC4">
        <w:trPr>
          <w:trHeight w:val="525"/>
        </w:trPr>
        <w:tc>
          <w:tcPr>
            <w:tcW w:w="704" w:type="dxa"/>
            <w:noWrap/>
            <w:hideMark/>
          </w:tcPr>
          <w:p w:rsidR="00FA1AC4" w:rsidRDefault="00B11CCA">
            <w:pPr>
              <w:jc w:val="right"/>
              <w:rPr>
                <w:rFonts w:eastAsia="Times New Roman"/>
                <w:color w:val="000000"/>
              </w:rPr>
            </w:pPr>
            <w:r>
              <w:rPr>
                <w:rFonts w:eastAsia="Times New Roman"/>
                <w:color w:val="000000"/>
              </w:rPr>
              <w:t>1</w:t>
            </w:r>
          </w:p>
        </w:tc>
        <w:tc>
          <w:tcPr>
            <w:tcW w:w="6521" w:type="dxa"/>
            <w:noWrap/>
            <w:hideMark/>
          </w:tcPr>
          <w:p w:rsidR="00FA1AC4" w:rsidRDefault="00F54823">
            <w:pPr>
              <w:rPr>
                <w:rFonts w:eastAsia="Times New Roman"/>
              </w:rPr>
            </w:pPr>
            <w:hyperlink r:id="rId24" w:history="1">
              <w:r w:rsidR="00B11CCA">
                <w:rPr>
                  <w:rFonts w:eastAsia="Times New Roman"/>
                </w:rPr>
                <w:t>ABBEY MORTGAGE BANK PLC [BLS]</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ABBEYBDS</w:t>
            </w:r>
          </w:p>
        </w:tc>
      </w:tr>
      <w:tr w:rsidR="00FA1AC4">
        <w:trPr>
          <w:trHeight w:val="525"/>
        </w:trPr>
        <w:tc>
          <w:tcPr>
            <w:tcW w:w="704" w:type="dxa"/>
            <w:noWrap/>
            <w:hideMark/>
          </w:tcPr>
          <w:p w:rsidR="00FA1AC4" w:rsidRDefault="00B11CCA">
            <w:pPr>
              <w:jc w:val="right"/>
              <w:rPr>
                <w:rFonts w:eastAsia="Times New Roman"/>
                <w:color w:val="000000"/>
              </w:rPr>
            </w:pPr>
            <w:r>
              <w:rPr>
                <w:rFonts w:eastAsia="Times New Roman"/>
                <w:color w:val="000000"/>
              </w:rPr>
              <w:t>2</w:t>
            </w:r>
          </w:p>
        </w:tc>
        <w:tc>
          <w:tcPr>
            <w:tcW w:w="6521" w:type="dxa"/>
            <w:noWrap/>
            <w:hideMark/>
          </w:tcPr>
          <w:p w:rsidR="00FA1AC4" w:rsidRDefault="00F54823">
            <w:pPr>
              <w:rPr>
                <w:rFonts w:eastAsia="Times New Roman"/>
              </w:rPr>
            </w:pPr>
            <w:hyperlink r:id="rId25" w:history="1">
              <w:r w:rsidR="00B11CCA">
                <w:rPr>
                  <w:rFonts w:eastAsia="Times New Roman"/>
                </w:rPr>
                <w:t>ACCESS BANK PLC. [CG+]</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ACCESS</w:t>
            </w:r>
          </w:p>
        </w:tc>
      </w:tr>
      <w:tr w:rsidR="00FA1AC4">
        <w:trPr>
          <w:trHeight w:val="525"/>
        </w:trPr>
        <w:tc>
          <w:tcPr>
            <w:tcW w:w="704" w:type="dxa"/>
            <w:noWrap/>
            <w:hideMark/>
          </w:tcPr>
          <w:p w:rsidR="00FA1AC4" w:rsidRDefault="00B11CCA">
            <w:pPr>
              <w:jc w:val="right"/>
              <w:rPr>
                <w:rFonts w:eastAsia="Times New Roman"/>
                <w:color w:val="000000"/>
              </w:rPr>
            </w:pPr>
            <w:r>
              <w:rPr>
                <w:rFonts w:eastAsia="Times New Roman"/>
                <w:color w:val="000000"/>
              </w:rPr>
              <w:t>3</w:t>
            </w:r>
          </w:p>
        </w:tc>
        <w:tc>
          <w:tcPr>
            <w:tcW w:w="6521" w:type="dxa"/>
            <w:noWrap/>
            <w:hideMark/>
          </w:tcPr>
          <w:p w:rsidR="00FA1AC4" w:rsidRDefault="00F54823">
            <w:pPr>
              <w:rPr>
                <w:rFonts w:eastAsia="Times New Roman"/>
              </w:rPr>
            </w:pPr>
            <w:hyperlink r:id="rId26" w:history="1">
              <w:r w:rsidR="00B11CCA">
                <w:rPr>
                  <w:rFonts w:eastAsia="Times New Roman"/>
                </w:rPr>
                <w:t>AFRICA PRUDENTIAL PLC [CG+]</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AFRIPRUD</w:t>
            </w:r>
          </w:p>
        </w:tc>
      </w:tr>
      <w:tr w:rsidR="00FA1AC4">
        <w:trPr>
          <w:trHeight w:val="525"/>
        </w:trPr>
        <w:tc>
          <w:tcPr>
            <w:tcW w:w="704" w:type="dxa"/>
            <w:noWrap/>
            <w:hideMark/>
          </w:tcPr>
          <w:p w:rsidR="00FA1AC4" w:rsidRDefault="00B11CCA">
            <w:pPr>
              <w:jc w:val="right"/>
              <w:rPr>
                <w:rFonts w:eastAsia="Times New Roman"/>
                <w:color w:val="000000"/>
              </w:rPr>
            </w:pPr>
            <w:r>
              <w:rPr>
                <w:rFonts w:eastAsia="Times New Roman"/>
                <w:color w:val="000000"/>
              </w:rPr>
              <w:t>4</w:t>
            </w:r>
          </w:p>
        </w:tc>
        <w:tc>
          <w:tcPr>
            <w:tcW w:w="6521" w:type="dxa"/>
            <w:noWrap/>
            <w:hideMark/>
          </w:tcPr>
          <w:p w:rsidR="00FA1AC4" w:rsidRDefault="00F54823">
            <w:pPr>
              <w:rPr>
                <w:rFonts w:eastAsia="Times New Roman"/>
              </w:rPr>
            </w:pPr>
            <w:hyperlink r:id="rId27" w:history="1">
              <w:r w:rsidR="00B11CCA">
                <w:rPr>
                  <w:rFonts w:eastAsia="Times New Roman"/>
                </w:rPr>
                <w:t>AFRICAN ALLIANCE INSURANCE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AFRINSURE</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5</w:t>
            </w:r>
          </w:p>
        </w:tc>
        <w:tc>
          <w:tcPr>
            <w:tcW w:w="6521" w:type="dxa"/>
            <w:noWrap/>
            <w:hideMark/>
          </w:tcPr>
          <w:p w:rsidR="00FA1AC4" w:rsidRDefault="00F54823">
            <w:pPr>
              <w:rPr>
                <w:rFonts w:eastAsia="Times New Roman"/>
              </w:rPr>
            </w:pPr>
            <w:hyperlink r:id="rId28" w:history="1">
              <w:r w:rsidR="00B11CCA">
                <w:rPr>
                  <w:rFonts w:eastAsia="Times New Roman"/>
                </w:rPr>
                <w:t>AIICO INSURANCE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AIICO</w:t>
            </w:r>
          </w:p>
        </w:tc>
      </w:tr>
      <w:tr w:rsidR="00FA1AC4">
        <w:trPr>
          <w:trHeight w:val="525"/>
        </w:trPr>
        <w:tc>
          <w:tcPr>
            <w:tcW w:w="704" w:type="dxa"/>
            <w:noWrap/>
            <w:hideMark/>
          </w:tcPr>
          <w:p w:rsidR="00FA1AC4" w:rsidRDefault="00B11CCA">
            <w:pPr>
              <w:jc w:val="right"/>
              <w:rPr>
                <w:rFonts w:eastAsia="Times New Roman"/>
                <w:color w:val="000000"/>
              </w:rPr>
            </w:pPr>
            <w:r>
              <w:rPr>
                <w:rFonts w:eastAsia="Times New Roman"/>
                <w:color w:val="000000"/>
              </w:rPr>
              <w:t>6</w:t>
            </w:r>
          </w:p>
        </w:tc>
        <w:tc>
          <w:tcPr>
            <w:tcW w:w="6521" w:type="dxa"/>
            <w:noWrap/>
            <w:hideMark/>
          </w:tcPr>
          <w:p w:rsidR="00FA1AC4" w:rsidRDefault="00F54823">
            <w:pPr>
              <w:rPr>
                <w:rFonts w:eastAsia="Times New Roman"/>
              </w:rPr>
            </w:pPr>
            <w:hyperlink r:id="rId29" w:history="1">
              <w:r w:rsidR="00B11CCA">
                <w:rPr>
                  <w:rFonts w:eastAsia="Times New Roman"/>
                </w:rPr>
                <w:t>ASO SAVINGS AND LOANS PLC [DIP]</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ASOSAVINGS</w:t>
            </w:r>
          </w:p>
        </w:tc>
      </w:tr>
      <w:tr w:rsidR="00FA1AC4">
        <w:trPr>
          <w:trHeight w:val="525"/>
        </w:trPr>
        <w:tc>
          <w:tcPr>
            <w:tcW w:w="704" w:type="dxa"/>
            <w:noWrap/>
            <w:hideMark/>
          </w:tcPr>
          <w:p w:rsidR="00FA1AC4" w:rsidRDefault="00B11CCA">
            <w:pPr>
              <w:jc w:val="right"/>
              <w:rPr>
                <w:rFonts w:eastAsia="Times New Roman"/>
                <w:color w:val="000000"/>
              </w:rPr>
            </w:pPr>
            <w:r>
              <w:rPr>
                <w:rFonts w:eastAsia="Times New Roman"/>
                <w:color w:val="000000"/>
              </w:rPr>
              <w:t>7</w:t>
            </w:r>
          </w:p>
        </w:tc>
        <w:tc>
          <w:tcPr>
            <w:tcW w:w="6521" w:type="dxa"/>
            <w:noWrap/>
            <w:hideMark/>
          </w:tcPr>
          <w:p w:rsidR="00FA1AC4" w:rsidRDefault="00F54823">
            <w:pPr>
              <w:rPr>
                <w:rFonts w:eastAsia="Times New Roman"/>
              </w:rPr>
            </w:pPr>
            <w:hyperlink r:id="rId30" w:history="1">
              <w:r w:rsidR="00B11CCA">
                <w:rPr>
                  <w:rFonts w:eastAsia="Times New Roman"/>
                </w:rPr>
                <w:t>AXAMANSARD INSURANCE PLC [CG+]</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MANSARD</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8</w:t>
            </w:r>
          </w:p>
        </w:tc>
        <w:tc>
          <w:tcPr>
            <w:tcW w:w="6521" w:type="dxa"/>
            <w:noWrap/>
            <w:hideMark/>
          </w:tcPr>
          <w:p w:rsidR="00FA1AC4" w:rsidRDefault="00F54823">
            <w:pPr>
              <w:rPr>
                <w:rFonts w:eastAsia="Times New Roman"/>
              </w:rPr>
            </w:pPr>
            <w:hyperlink r:id="rId31" w:history="1">
              <w:r w:rsidR="00B11CCA">
                <w:rPr>
                  <w:rFonts w:eastAsia="Times New Roman"/>
                </w:rPr>
                <w:t>CONSOLIDATED HALLMARK INSURANCE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CHIPLC</w:t>
            </w:r>
          </w:p>
        </w:tc>
      </w:tr>
      <w:tr w:rsidR="00FA1AC4">
        <w:trPr>
          <w:trHeight w:val="525"/>
        </w:trPr>
        <w:tc>
          <w:tcPr>
            <w:tcW w:w="704" w:type="dxa"/>
            <w:noWrap/>
            <w:hideMark/>
          </w:tcPr>
          <w:p w:rsidR="00FA1AC4" w:rsidRDefault="00B11CCA">
            <w:pPr>
              <w:jc w:val="right"/>
              <w:rPr>
                <w:rFonts w:eastAsia="Times New Roman"/>
                <w:color w:val="000000"/>
              </w:rPr>
            </w:pPr>
            <w:r>
              <w:rPr>
                <w:rFonts w:eastAsia="Times New Roman"/>
                <w:color w:val="000000"/>
              </w:rPr>
              <w:t>9</w:t>
            </w:r>
          </w:p>
        </w:tc>
        <w:tc>
          <w:tcPr>
            <w:tcW w:w="6521" w:type="dxa"/>
            <w:noWrap/>
            <w:hideMark/>
          </w:tcPr>
          <w:p w:rsidR="00FA1AC4" w:rsidRDefault="00F54823">
            <w:pPr>
              <w:rPr>
                <w:rFonts w:eastAsia="Times New Roman"/>
              </w:rPr>
            </w:pPr>
            <w:hyperlink r:id="rId32" w:history="1">
              <w:r w:rsidR="00B11CCA">
                <w:rPr>
                  <w:rFonts w:eastAsia="Times New Roman"/>
                </w:rPr>
                <w:t>CORNERSTONE INSURANCE PLC [CG+]</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CORNERST</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10</w:t>
            </w:r>
          </w:p>
        </w:tc>
        <w:tc>
          <w:tcPr>
            <w:tcW w:w="6521" w:type="dxa"/>
            <w:noWrap/>
            <w:hideMark/>
          </w:tcPr>
          <w:p w:rsidR="00FA1AC4" w:rsidRDefault="00F54823">
            <w:pPr>
              <w:rPr>
                <w:rFonts w:eastAsia="Times New Roman"/>
              </w:rPr>
            </w:pPr>
            <w:hyperlink r:id="rId33" w:history="1">
              <w:r w:rsidR="00B11CCA">
                <w:rPr>
                  <w:rFonts w:eastAsia="Times New Roman"/>
                </w:rPr>
                <w:t>CORONATION INSURANCE PLC [CG+]</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WAPIC</w:t>
            </w:r>
          </w:p>
        </w:tc>
      </w:tr>
      <w:tr w:rsidR="00FA1AC4">
        <w:trPr>
          <w:trHeight w:val="525"/>
        </w:trPr>
        <w:tc>
          <w:tcPr>
            <w:tcW w:w="704" w:type="dxa"/>
            <w:noWrap/>
            <w:hideMark/>
          </w:tcPr>
          <w:p w:rsidR="00FA1AC4" w:rsidRDefault="00B11CCA">
            <w:pPr>
              <w:jc w:val="right"/>
              <w:rPr>
                <w:rFonts w:eastAsia="Times New Roman"/>
                <w:color w:val="000000"/>
              </w:rPr>
            </w:pPr>
            <w:r>
              <w:rPr>
                <w:rFonts w:eastAsia="Times New Roman"/>
                <w:color w:val="000000"/>
              </w:rPr>
              <w:t>11</w:t>
            </w:r>
          </w:p>
        </w:tc>
        <w:tc>
          <w:tcPr>
            <w:tcW w:w="6521" w:type="dxa"/>
            <w:noWrap/>
            <w:hideMark/>
          </w:tcPr>
          <w:p w:rsidR="00FA1AC4" w:rsidRDefault="00F54823">
            <w:pPr>
              <w:rPr>
                <w:rFonts w:eastAsia="Times New Roman"/>
              </w:rPr>
            </w:pPr>
            <w:hyperlink r:id="rId34" w:history="1">
              <w:r w:rsidR="00B11CCA">
                <w:rPr>
                  <w:rFonts w:eastAsia="Times New Roman"/>
                </w:rPr>
                <w:t>CUSTODIAN INVESTMENT PLC [CG+]</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CUSTODIAN</w:t>
            </w:r>
          </w:p>
        </w:tc>
      </w:tr>
      <w:tr w:rsidR="00FA1AC4">
        <w:trPr>
          <w:trHeight w:val="525"/>
        </w:trPr>
        <w:tc>
          <w:tcPr>
            <w:tcW w:w="704" w:type="dxa"/>
            <w:noWrap/>
            <w:hideMark/>
          </w:tcPr>
          <w:p w:rsidR="00FA1AC4" w:rsidRDefault="00B11CCA">
            <w:pPr>
              <w:jc w:val="right"/>
              <w:rPr>
                <w:rFonts w:eastAsia="Times New Roman"/>
                <w:color w:val="000000"/>
              </w:rPr>
            </w:pPr>
            <w:r>
              <w:rPr>
                <w:rFonts w:eastAsia="Times New Roman"/>
                <w:color w:val="000000"/>
              </w:rPr>
              <w:t>12</w:t>
            </w:r>
          </w:p>
        </w:tc>
        <w:tc>
          <w:tcPr>
            <w:tcW w:w="6521" w:type="dxa"/>
            <w:noWrap/>
            <w:hideMark/>
          </w:tcPr>
          <w:p w:rsidR="00FA1AC4" w:rsidRDefault="00F54823">
            <w:pPr>
              <w:rPr>
                <w:rFonts w:eastAsia="Times New Roman"/>
              </w:rPr>
            </w:pPr>
            <w:hyperlink r:id="rId35" w:history="1">
              <w:r w:rsidR="00B11CCA">
                <w:rPr>
                  <w:rFonts w:eastAsia="Times New Roman"/>
                </w:rPr>
                <w:t>DEAP CAPITAL MANAGEMENT &amp; TRUST PLC [DWL]</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DEAPCAP</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13</w:t>
            </w:r>
          </w:p>
        </w:tc>
        <w:tc>
          <w:tcPr>
            <w:tcW w:w="6521" w:type="dxa"/>
            <w:noWrap/>
            <w:hideMark/>
          </w:tcPr>
          <w:p w:rsidR="00FA1AC4" w:rsidRDefault="00F54823">
            <w:pPr>
              <w:rPr>
                <w:rFonts w:eastAsia="Times New Roman"/>
              </w:rPr>
            </w:pPr>
            <w:hyperlink r:id="rId36" w:history="1">
              <w:r w:rsidR="00B11CCA">
                <w:rPr>
                  <w:rFonts w:eastAsia="Times New Roman"/>
                </w:rPr>
                <w:t>ECOBANK TRANSNATIONAL INCORPORATED</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ETI</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14</w:t>
            </w:r>
          </w:p>
        </w:tc>
        <w:tc>
          <w:tcPr>
            <w:tcW w:w="6521" w:type="dxa"/>
            <w:noWrap/>
            <w:hideMark/>
          </w:tcPr>
          <w:p w:rsidR="00FA1AC4" w:rsidRDefault="00F54823">
            <w:pPr>
              <w:rPr>
                <w:rFonts w:eastAsia="Times New Roman"/>
              </w:rPr>
            </w:pPr>
            <w:hyperlink r:id="rId37" w:history="1">
              <w:r w:rsidR="00B11CCA">
                <w:rPr>
                  <w:rFonts w:eastAsia="Times New Roman"/>
                </w:rPr>
                <w:t>FBN HOLDINGS PLC [MRF][CG+]</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FBNH</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15</w:t>
            </w:r>
          </w:p>
        </w:tc>
        <w:tc>
          <w:tcPr>
            <w:tcW w:w="6521" w:type="dxa"/>
            <w:noWrap/>
            <w:hideMark/>
          </w:tcPr>
          <w:p w:rsidR="00FA1AC4" w:rsidRDefault="00F54823">
            <w:pPr>
              <w:rPr>
                <w:rFonts w:eastAsia="Times New Roman"/>
              </w:rPr>
            </w:pPr>
            <w:hyperlink r:id="rId38" w:history="1">
              <w:r w:rsidR="00B11CCA">
                <w:rPr>
                  <w:rFonts w:eastAsia="Times New Roman"/>
                </w:rPr>
                <w:t>FCMB GROUP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FCMB</w:t>
            </w:r>
          </w:p>
        </w:tc>
      </w:tr>
      <w:tr w:rsidR="00FA1AC4">
        <w:trPr>
          <w:trHeight w:val="525"/>
        </w:trPr>
        <w:tc>
          <w:tcPr>
            <w:tcW w:w="704" w:type="dxa"/>
            <w:noWrap/>
            <w:hideMark/>
          </w:tcPr>
          <w:p w:rsidR="00FA1AC4" w:rsidRDefault="00B11CCA">
            <w:pPr>
              <w:jc w:val="right"/>
              <w:rPr>
                <w:rFonts w:eastAsia="Times New Roman"/>
                <w:color w:val="000000"/>
              </w:rPr>
            </w:pPr>
            <w:r>
              <w:rPr>
                <w:rFonts w:eastAsia="Times New Roman"/>
                <w:color w:val="000000"/>
              </w:rPr>
              <w:t>16</w:t>
            </w:r>
          </w:p>
        </w:tc>
        <w:tc>
          <w:tcPr>
            <w:tcW w:w="6521" w:type="dxa"/>
            <w:noWrap/>
            <w:hideMark/>
          </w:tcPr>
          <w:p w:rsidR="00FA1AC4" w:rsidRDefault="00F54823">
            <w:pPr>
              <w:rPr>
                <w:rFonts w:eastAsia="Times New Roman"/>
              </w:rPr>
            </w:pPr>
            <w:hyperlink r:id="rId39" w:history="1">
              <w:r w:rsidR="00B11CCA">
                <w:rPr>
                  <w:rFonts w:eastAsia="Times New Roman"/>
                </w:rPr>
                <w:t>FIDELITY BANK PLC [CG+]</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FIDELITYBK</w:t>
            </w:r>
          </w:p>
        </w:tc>
      </w:tr>
      <w:tr w:rsidR="00FA1AC4">
        <w:trPr>
          <w:trHeight w:val="525"/>
        </w:trPr>
        <w:tc>
          <w:tcPr>
            <w:tcW w:w="704" w:type="dxa"/>
            <w:noWrap/>
            <w:hideMark/>
          </w:tcPr>
          <w:p w:rsidR="00FA1AC4" w:rsidRDefault="00B11CCA">
            <w:pPr>
              <w:jc w:val="right"/>
              <w:rPr>
                <w:rFonts w:eastAsia="Times New Roman"/>
                <w:color w:val="000000"/>
              </w:rPr>
            </w:pPr>
            <w:r>
              <w:rPr>
                <w:rFonts w:eastAsia="Times New Roman"/>
                <w:color w:val="000000"/>
              </w:rPr>
              <w:t>17</w:t>
            </w:r>
          </w:p>
        </w:tc>
        <w:tc>
          <w:tcPr>
            <w:tcW w:w="6521" w:type="dxa"/>
            <w:noWrap/>
            <w:hideMark/>
          </w:tcPr>
          <w:p w:rsidR="00FA1AC4" w:rsidRDefault="00F54823">
            <w:pPr>
              <w:rPr>
                <w:rFonts w:eastAsia="Times New Roman"/>
              </w:rPr>
            </w:pPr>
            <w:hyperlink r:id="rId40" w:history="1">
              <w:r w:rsidR="00B11CCA">
                <w:rPr>
                  <w:rFonts w:eastAsia="Times New Roman"/>
                </w:rPr>
                <w:t>GOLDLINK INSURANCE PLC [MRS]</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GOLDINSURE</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18</w:t>
            </w:r>
          </w:p>
        </w:tc>
        <w:tc>
          <w:tcPr>
            <w:tcW w:w="6521" w:type="dxa"/>
            <w:noWrap/>
            <w:hideMark/>
          </w:tcPr>
          <w:p w:rsidR="00FA1AC4" w:rsidRDefault="00F54823">
            <w:pPr>
              <w:rPr>
                <w:rFonts w:eastAsia="Times New Roman"/>
              </w:rPr>
            </w:pPr>
            <w:hyperlink r:id="rId41" w:history="1">
              <w:r w:rsidR="00B11CCA">
                <w:rPr>
                  <w:rFonts w:eastAsia="Times New Roman"/>
                </w:rPr>
                <w:t>GUARANTY TRUST HOLDING COMPANY PLC [CG+]</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GTCO</w:t>
            </w:r>
          </w:p>
        </w:tc>
      </w:tr>
      <w:tr w:rsidR="00FA1AC4">
        <w:trPr>
          <w:trHeight w:val="525"/>
        </w:trPr>
        <w:tc>
          <w:tcPr>
            <w:tcW w:w="704" w:type="dxa"/>
            <w:noWrap/>
            <w:hideMark/>
          </w:tcPr>
          <w:p w:rsidR="00FA1AC4" w:rsidRDefault="00B11CCA">
            <w:pPr>
              <w:jc w:val="right"/>
              <w:rPr>
                <w:rFonts w:eastAsia="Times New Roman"/>
                <w:color w:val="000000"/>
              </w:rPr>
            </w:pPr>
            <w:r>
              <w:rPr>
                <w:rFonts w:eastAsia="Times New Roman"/>
                <w:color w:val="000000"/>
              </w:rPr>
              <w:t>19</w:t>
            </w:r>
          </w:p>
        </w:tc>
        <w:tc>
          <w:tcPr>
            <w:tcW w:w="6521" w:type="dxa"/>
            <w:noWrap/>
            <w:hideMark/>
          </w:tcPr>
          <w:p w:rsidR="00FA1AC4" w:rsidRDefault="00F54823">
            <w:pPr>
              <w:rPr>
                <w:rFonts w:eastAsia="Times New Roman"/>
              </w:rPr>
            </w:pPr>
            <w:hyperlink r:id="rId42" w:history="1">
              <w:r w:rsidR="00B11CCA">
                <w:rPr>
                  <w:rFonts w:eastAsia="Times New Roman"/>
                </w:rPr>
                <w:t>GUINEA INSURANCE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GUINEAINS</w:t>
            </w:r>
          </w:p>
        </w:tc>
      </w:tr>
      <w:tr w:rsidR="00FA1AC4">
        <w:trPr>
          <w:trHeight w:val="525"/>
        </w:trPr>
        <w:tc>
          <w:tcPr>
            <w:tcW w:w="704" w:type="dxa"/>
            <w:noWrap/>
            <w:hideMark/>
          </w:tcPr>
          <w:p w:rsidR="00FA1AC4" w:rsidRDefault="00B11CCA">
            <w:pPr>
              <w:jc w:val="right"/>
              <w:rPr>
                <w:rFonts w:eastAsia="Times New Roman"/>
                <w:color w:val="000000"/>
              </w:rPr>
            </w:pPr>
            <w:r>
              <w:rPr>
                <w:rFonts w:eastAsia="Times New Roman"/>
                <w:color w:val="000000"/>
              </w:rPr>
              <w:lastRenderedPageBreak/>
              <w:t>20</w:t>
            </w:r>
          </w:p>
        </w:tc>
        <w:tc>
          <w:tcPr>
            <w:tcW w:w="6521" w:type="dxa"/>
            <w:noWrap/>
            <w:hideMark/>
          </w:tcPr>
          <w:p w:rsidR="00FA1AC4" w:rsidRDefault="00F54823">
            <w:pPr>
              <w:rPr>
                <w:rFonts w:eastAsia="Times New Roman"/>
              </w:rPr>
            </w:pPr>
            <w:hyperlink r:id="rId43" w:history="1">
              <w:r w:rsidR="00B11CCA">
                <w:rPr>
                  <w:rFonts w:eastAsia="Times New Roman"/>
                </w:rPr>
                <w:t>INFINITY TRUST MORTGAGE BANK PLC [BLS]</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INFINITY</w:t>
            </w:r>
          </w:p>
        </w:tc>
      </w:tr>
      <w:tr w:rsidR="00FA1AC4">
        <w:trPr>
          <w:trHeight w:val="525"/>
        </w:trPr>
        <w:tc>
          <w:tcPr>
            <w:tcW w:w="704" w:type="dxa"/>
            <w:noWrap/>
            <w:hideMark/>
          </w:tcPr>
          <w:p w:rsidR="00FA1AC4" w:rsidRDefault="00B11CCA">
            <w:pPr>
              <w:jc w:val="right"/>
              <w:rPr>
                <w:rFonts w:eastAsia="Times New Roman"/>
                <w:color w:val="000000"/>
              </w:rPr>
            </w:pPr>
            <w:r>
              <w:rPr>
                <w:rFonts w:eastAsia="Times New Roman"/>
                <w:color w:val="000000"/>
              </w:rPr>
              <w:t>21</w:t>
            </w:r>
          </w:p>
        </w:tc>
        <w:tc>
          <w:tcPr>
            <w:tcW w:w="6521" w:type="dxa"/>
            <w:noWrap/>
            <w:hideMark/>
          </w:tcPr>
          <w:p w:rsidR="00FA1AC4" w:rsidRDefault="00F54823">
            <w:pPr>
              <w:rPr>
                <w:rFonts w:eastAsia="Times New Roman"/>
              </w:rPr>
            </w:pPr>
            <w:hyperlink r:id="rId44" w:history="1">
              <w:r w:rsidR="00B11CCA">
                <w:rPr>
                  <w:rFonts w:eastAsia="Times New Roman"/>
                </w:rPr>
                <w:t>INTERNATIONAL ENERGY INSURANCE PLC [MRS]</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INTENEGINS</w:t>
            </w:r>
          </w:p>
        </w:tc>
      </w:tr>
      <w:tr w:rsidR="00FA1AC4">
        <w:trPr>
          <w:trHeight w:val="525"/>
        </w:trPr>
        <w:tc>
          <w:tcPr>
            <w:tcW w:w="704" w:type="dxa"/>
            <w:noWrap/>
            <w:hideMark/>
          </w:tcPr>
          <w:p w:rsidR="00FA1AC4" w:rsidRDefault="00B11CCA">
            <w:pPr>
              <w:jc w:val="right"/>
              <w:rPr>
                <w:rFonts w:eastAsia="Times New Roman"/>
                <w:color w:val="000000"/>
              </w:rPr>
            </w:pPr>
            <w:r>
              <w:rPr>
                <w:rFonts w:eastAsia="Times New Roman"/>
                <w:color w:val="000000"/>
              </w:rPr>
              <w:t>22</w:t>
            </w:r>
          </w:p>
        </w:tc>
        <w:tc>
          <w:tcPr>
            <w:tcW w:w="6521" w:type="dxa"/>
            <w:noWrap/>
            <w:hideMark/>
          </w:tcPr>
          <w:p w:rsidR="00FA1AC4" w:rsidRDefault="00F54823">
            <w:pPr>
              <w:rPr>
                <w:rFonts w:eastAsia="Times New Roman"/>
              </w:rPr>
            </w:pPr>
            <w:hyperlink r:id="rId45" w:history="1">
              <w:r w:rsidR="00B11CCA">
                <w:rPr>
                  <w:rFonts w:eastAsia="Times New Roman"/>
                </w:rPr>
                <w:t>JAIZ BANK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JAIZBANK</w:t>
            </w:r>
          </w:p>
        </w:tc>
      </w:tr>
      <w:tr w:rsidR="00FA1AC4">
        <w:trPr>
          <w:trHeight w:val="525"/>
        </w:trPr>
        <w:tc>
          <w:tcPr>
            <w:tcW w:w="704" w:type="dxa"/>
            <w:noWrap/>
            <w:hideMark/>
          </w:tcPr>
          <w:p w:rsidR="00FA1AC4" w:rsidRDefault="00B11CCA">
            <w:pPr>
              <w:jc w:val="right"/>
              <w:rPr>
                <w:rFonts w:eastAsia="Times New Roman"/>
                <w:color w:val="000000"/>
              </w:rPr>
            </w:pPr>
            <w:r>
              <w:rPr>
                <w:rFonts w:eastAsia="Times New Roman"/>
                <w:color w:val="000000"/>
              </w:rPr>
              <w:t>23</w:t>
            </w:r>
          </w:p>
        </w:tc>
        <w:tc>
          <w:tcPr>
            <w:tcW w:w="6521" w:type="dxa"/>
            <w:noWrap/>
            <w:hideMark/>
          </w:tcPr>
          <w:p w:rsidR="00FA1AC4" w:rsidRDefault="00F54823">
            <w:pPr>
              <w:rPr>
                <w:rFonts w:eastAsia="Times New Roman"/>
              </w:rPr>
            </w:pPr>
            <w:hyperlink r:id="rId46" w:history="1">
              <w:r w:rsidR="00B11CCA">
                <w:rPr>
                  <w:rFonts w:eastAsia="Times New Roman"/>
                </w:rPr>
                <w:t>LASACO ASSURANCE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LASACO</w:t>
            </w:r>
          </w:p>
        </w:tc>
      </w:tr>
      <w:tr w:rsidR="00FA1AC4">
        <w:trPr>
          <w:trHeight w:val="525"/>
        </w:trPr>
        <w:tc>
          <w:tcPr>
            <w:tcW w:w="704" w:type="dxa"/>
            <w:noWrap/>
            <w:hideMark/>
          </w:tcPr>
          <w:p w:rsidR="00FA1AC4" w:rsidRDefault="00B11CCA">
            <w:pPr>
              <w:jc w:val="right"/>
              <w:rPr>
                <w:rFonts w:eastAsia="Times New Roman"/>
                <w:color w:val="000000"/>
              </w:rPr>
            </w:pPr>
            <w:r>
              <w:rPr>
                <w:rFonts w:eastAsia="Times New Roman"/>
                <w:color w:val="000000"/>
              </w:rPr>
              <w:t>24</w:t>
            </w:r>
          </w:p>
        </w:tc>
        <w:tc>
          <w:tcPr>
            <w:tcW w:w="6521" w:type="dxa"/>
            <w:noWrap/>
            <w:hideMark/>
          </w:tcPr>
          <w:p w:rsidR="00FA1AC4" w:rsidRDefault="00F54823">
            <w:pPr>
              <w:rPr>
                <w:rFonts w:eastAsia="Times New Roman"/>
              </w:rPr>
            </w:pPr>
            <w:hyperlink r:id="rId47" w:history="1">
              <w:r w:rsidR="00B11CCA">
                <w:rPr>
                  <w:rFonts w:eastAsia="Times New Roman"/>
                </w:rPr>
                <w:t>LINKAGE ASSURANCE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LINKASSURE</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25</w:t>
            </w:r>
          </w:p>
        </w:tc>
        <w:tc>
          <w:tcPr>
            <w:tcW w:w="6521" w:type="dxa"/>
            <w:noWrap/>
            <w:hideMark/>
          </w:tcPr>
          <w:p w:rsidR="00FA1AC4" w:rsidRDefault="00F54823">
            <w:pPr>
              <w:rPr>
                <w:rFonts w:eastAsia="Times New Roman"/>
              </w:rPr>
            </w:pPr>
            <w:hyperlink r:id="rId48" w:history="1">
              <w:r w:rsidR="00B11CCA">
                <w:rPr>
                  <w:rFonts w:eastAsia="Times New Roman"/>
                </w:rPr>
                <w:t>LIVINGTRUST MORTGAGE BANK PLC [BLS]</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LIVINGTRUST</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26</w:t>
            </w:r>
          </w:p>
        </w:tc>
        <w:tc>
          <w:tcPr>
            <w:tcW w:w="6521" w:type="dxa"/>
            <w:noWrap/>
            <w:hideMark/>
          </w:tcPr>
          <w:p w:rsidR="00FA1AC4" w:rsidRDefault="00F54823">
            <w:pPr>
              <w:rPr>
                <w:rFonts w:eastAsia="Times New Roman"/>
              </w:rPr>
            </w:pPr>
            <w:hyperlink r:id="rId49" w:history="1">
              <w:r w:rsidR="00B11CCA">
                <w:rPr>
                  <w:rFonts w:eastAsia="Times New Roman"/>
                </w:rPr>
                <w:t>MUTUAL BENEFITS ASSURANCE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MBENEFIT</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27</w:t>
            </w:r>
          </w:p>
        </w:tc>
        <w:tc>
          <w:tcPr>
            <w:tcW w:w="6521" w:type="dxa"/>
            <w:noWrap/>
            <w:hideMark/>
          </w:tcPr>
          <w:p w:rsidR="00FA1AC4" w:rsidRDefault="00F54823">
            <w:pPr>
              <w:rPr>
                <w:rFonts w:eastAsia="Times New Roman"/>
              </w:rPr>
            </w:pPr>
            <w:hyperlink r:id="rId50" w:history="1">
              <w:r w:rsidR="00B11CCA">
                <w:rPr>
                  <w:rFonts w:eastAsia="Times New Roman"/>
                </w:rPr>
                <w:t>NEM INSURANCE PLC [CG+]</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NEM</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28</w:t>
            </w:r>
          </w:p>
        </w:tc>
        <w:tc>
          <w:tcPr>
            <w:tcW w:w="6521" w:type="dxa"/>
            <w:noWrap/>
            <w:hideMark/>
          </w:tcPr>
          <w:p w:rsidR="00FA1AC4" w:rsidRDefault="00F54823">
            <w:pPr>
              <w:rPr>
                <w:rFonts w:eastAsia="Times New Roman"/>
              </w:rPr>
            </w:pPr>
            <w:hyperlink r:id="rId51" w:history="1">
              <w:r w:rsidR="00B11CCA">
                <w:rPr>
                  <w:rFonts w:eastAsia="Times New Roman"/>
                </w:rPr>
                <w:t>NIGER INSURANCE PLC [MRF]</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NIGERINS</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29</w:t>
            </w:r>
          </w:p>
        </w:tc>
        <w:tc>
          <w:tcPr>
            <w:tcW w:w="6521" w:type="dxa"/>
            <w:noWrap/>
            <w:hideMark/>
          </w:tcPr>
          <w:p w:rsidR="00FA1AC4" w:rsidRDefault="00F54823">
            <w:pPr>
              <w:rPr>
                <w:rFonts w:eastAsia="Times New Roman"/>
              </w:rPr>
            </w:pPr>
            <w:hyperlink r:id="rId52" w:history="1">
              <w:r w:rsidR="00B11CCA">
                <w:rPr>
                  <w:rFonts w:eastAsia="Times New Roman"/>
                </w:rPr>
                <w:t>NIGERIA ENERYGY SECTOR FUND</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NESF</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30</w:t>
            </w:r>
          </w:p>
        </w:tc>
        <w:tc>
          <w:tcPr>
            <w:tcW w:w="6521" w:type="dxa"/>
            <w:noWrap/>
            <w:hideMark/>
          </w:tcPr>
          <w:p w:rsidR="00FA1AC4" w:rsidRDefault="00F54823">
            <w:pPr>
              <w:rPr>
                <w:rFonts w:eastAsia="Times New Roman"/>
              </w:rPr>
            </w:pPr>
            <w:hyperlink r:id="rId53" w:history="1">
              <w:r w:rsidR="00B11CCA">
                <w:rPr>
                  <w:rFonts w:eastAsia="Times New Roman"/>
                </w:rPr>
                <w:t>NIGERIAN EXCHANGE GROUP</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NGXGROUP</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31</w:t>
            </w:r>
          </w:p>
        </w:tc>
        <w:tc>
          <w:tcPr>
            <w:tcW w:w="6521" w:type="dxa"/>
            <w:noWrap/>
            <w:hideMark/>
          </w:tcPr>
          <w:p w:rsidR="00FA1AC4" w:rsidRDefault="00F54823">
            <w:pPr>
              <w:rPr>
                <w:rFonts w:eastAsia="Times New Roman"/>
              </w:rPr>
            </w:pPr>
            <w:hyperlink r:id="rId54" w:history="1">
              <w:r w:rsidR="00B11CCA">
                <w:rPr>
                  <w:rFonts w:eastAsia="Times New Roman"/>
                </w:rPr>
                <w:t>NPF MICROFINANCE BANK PLC [CG+]</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NPFMCRFBK</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32</w:t>
            </w:r>
          </w:p>
        </w:tc>
        <w:tc>
          <w:tcPr>
            <w:tcW w:w="6521" w:type="dxa"/>
            <w:noWrap/>
            <w:hideMark/>
          </w:tcPr>
          <w:p w:rsidR="00FA1AC4" w:rsidRDefault="00F54823">
            <w:pPr>
              <w:rPr>
                <w:rFonts w:eastAsia="Times New Roman"/>
              </w:rPr>
            </w:pPr>
            <w:hyperlink r:id="rId55" w:history="1">
              <w:r w:rsidR="00B11CCA">
                <w:rPr>
                  <w:rFonts w:eastAsia="Times New Roman"/>
                </w:rPr>
                <w:t>PRESTIGE ASSURANCE PLC [BLS]</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PRESTIGE</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33</w:t>
            </w:r>
          </w:p>
        </w:tc>
        <w:tc>
          <w:tcPr>
            <w:tcW w:w="6521" w:type="dxa"/>
            <w:noWrap/>
            <w:hideMark/>
          </w:tcPr>
          <w:p w:rsidR="00FA1AC4" w:rsidRDefault="00F54823">
            <w:pPr>
              <w:rPr>
                <w:rFonts w:eastAsia="Times New Roman"/>
              </w:rPr>
            </w:pPr>
            <w:hyperlink r:id="rId56" w:history="1">
              <w:r w:rsidR="00B11CCA">
                <w:rPr>
                  <w:rFonts w:eastAsia="Times New Roman"/>
                </w:rPr>
                <w:t>REGENCY ASSURANCE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REGALINS</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34</w:t>
            </w:r>
          </w:p>
        </w:tc>
        <w:tc>
          <w:tcPr>
            <w:tcW w:w="6521" w:type="dxa"/>
            <w:noWrap/>
            <w:hideMark/>
          </w:tcPr>
          <w:p w:rsidR="00FA1AC4" w:rsidRDefault="00F54823">
            <w:pPr>
              <w:rPr>
                <w:rFonts w:eastAsia="Times New Roman"/>
              </w:rPr>
            </w:pPr>
            <w:hyperlink r:id="rId57" w:history="1">
              <w:r w:rsidR="00B11CCA">
                <w:rPr>
                  <w:rFonts w:eastAsia="Times New Roman"/>
                </w:rPr>
                <w:t>RESORT SAVINGS &amp; LOANS PLC [MRF]</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RESORTSAL</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35</w:t>
            </w:r>
          </w:p>
        </w:tc>
        <w:tc>
          <w:tcPr>
            <w:tcW w:w="6521" w:type="dxa"/>
            <w:noWrap/>
            <w:hideMark/>
          </w:tcPr>
          <w:p w:rsidR="00FA1AC4" w:rsidRDefault="00F54823">
            <w:pPr>
              <w:rPr>
                <w:rFonts w:eastAsia="Times New Roman"/>
              </w:rPr>
            </w:pPr>
            <w:hyperlink r:id="rId58" w:history="1">
              <w:r w:rsidR="00B11CCA">
                <w:rPr>
                  <w:rFonts w:eastAsia="Times New Roman"/>
                </w:rPr>
                <w:t>ROYAL EXCHANGE PLC. [CG+]</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ROYALEX</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36</w:t>
            </w:r>
          </w:p>
        </w:tc>
        <w:tc>
          <w:tcPr>
            <w:tcW w:w="6521" w:type="dxa"/>
            <w:noWrap/>
            <w:hideMark/>
          </w:tcPr>
          <w:p w:rsidR="00FA1AC4" w:rsidRDefault="00F54823">
            <w:pPr>
              <w:rPr>
                <w:rFonts w:eastAsia="Times New Roman"/>
              </w:rPr>
            </w:pPr>
            <w:hyperlink r:id="rId59" w:history="1">
              <w:r w:rsidR="00B11CCA">
                <w:rPr>
                  <w:rFonts w:eastAsia="Times New Roman"/>
                </w:rPr>
                <w:t>SOVEREIGN TRUST INSURANCE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SOVRENINS</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37</w:t>
            </w:r>
          </w:p>
        </w:tc>
        <w:tc>
          <w:tcPr>
            <w:tcW w:w="6521" w:type="dxa"/>
            <w:noWrap/>
            <w:hideMark/>
          </w:tcPr>
          <w:p w:rsidR="00FA1AC4" w:rsidRDefault="00F54823">
            <w:pPr>
              <w:rPr>
                <w:rFonts w:eastAsia="Times New Roman"/>
              </w:rPr>
            </w:pPr>
            <w:hyperlink r:id="rId60" w:history="1">
              <w:r w:rsidR="00B11CCA">
                <w:rPr>
                  <w:rFonts w:eastAsia="Times New Roman"/>
                </w:rPr>
                <w:t>STACO INSURANCE PLC [MRF]</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STACO</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38</w:t>
            </w:r>
          </w:p>
        </w:tc>
        <w:tc>
          <w:tcPr>
            <w:tcW w:w="6521" w:type="dxa"/>
            <w:noWrap/>
            <w:hideMark/>
          </w:tcPr>
          <w:p w:rsidR="00FA1AC4" w:rsidRDefault="00F54823">
            <w:pPr>
              <w:rPr>
                <w:rFonts w:eastAsia="Times New Roman"/>
              </w:rPr>
            </w:pPr>
            <w:hyperlink r:id="rId61" w:history="1">
              <w:r w:rsidR="00B11CCA">
                <w:rPr>
                  <w:rFonts w:eastAsia="Times New Roman"/>
                </w:rPr>
                <w:t>STANBIC IBTC HOLDINGS PLC [CG+]</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STANBIC</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39</w:t>
            </w:r>
          </w:p>
        </w:tc>
        <w:tc>
          <w:tcPr>
            <w:tcW w:w="6521" w:type="dxa"/>
            <w:noWrap/>
            <w:hideMark/>
          </w:tcPr>
          <w:p w:rsidR="00FA1AC4" w:rsidRDefault="00F54823">
            <w:pPr>
              <w:rPr>
                <w:rFonts w:eastAsia="Times New Roman"/>
              </w:rPr>
            </w:pPr>
            <w:hyperlink r:id="rId62" w:history="1">
              <w:r w:rsidR="00B11CCA">
                <w:rPr>
                  <w:rFonts w:eastAsia="Times New Roman"/>
                </w:rPr>
                <w:t>STANDARD ALLIANCE INSURANCE PLC. [MRF]</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STDINSURE</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40</w:t>
            </w:r>
          </w:p>
        </w:tc>
        <w:tc>
          <w:tcPr>
            <w:tcW w:w="6521" w:type="dxa"/>
            <w:noWrap/>
            <w:hideMark/>
          </w:tcPr>
          <w:p w:rsidR="00FA1AC4" w:rsidRDefault="00F54823">
            <w:pPr>
              <w:rPr>
                <w:rFonts w:eastAsia="Times New Roman"/>
              </w:rPr>
            </w:pPr>
            <w:hyperlink r:id="rId63" w:history="1">
              <w:r w:rsidR="00B11CCA">
                <w:rPr>
                  <w:rFonts w:eastAsia="Times New Roman"/>
                </w:rPr>
                <w:t>STERLING BANK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STERLNBANK</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41</w:t>
            </w:r>
          </w:p>
        </w:tc>
        <w:tc>
          <w:tcPr>
            <w:tcW w:w="6521" w:type="dxa"/>
            <w:noWrap/>
            <w:hideMark/>
          </w:tcPr>
          <w:p w:rsidR="00FA1AC4" w:rsidRDefault="00F54823">
            <w:pPr>
              <w:rPr>
                <w:rFonts w:eastAsia="Times New Roman"/>
              </w:rPr>
            </w:pPr>
            <w:hyperlink r:id="rId64" w:history="1">
              <w:r w:rsidR="00B11CCA">
                <w:rPr>
                  <w:rFonts w:eastAsia="Times New Roman"/>
                </w:rPr>
                <w:t>SUNU ASSURANCES NIGERIA PLC. [CG+]</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SUNUASSUR</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lastRenderedPageBreak/>
              <w:t>42</w:t>
            </w:r>
          </w:p>
        </w:tc>
        <w:tc>
          <w:tcPr>
            <w:tcW w:w="6521" w:type="dxa"/>
            <w:noWrap/>
            <w:hideMark/>
          </w:tcPr>
          <w:p w:rsidR="00FA1AC4" w:rsidRDefault="00F54823">
            <w:pPr>
              <w:rPr>
                <w:rFonts w:eastAsia="Times New Roman"/>
              </w:rPr>
            </w:pPr>
            <w:hyperlink r:id="rId65" w:history="1">
              <w:r w:rsidR="00B11CCA">
                <w:rPr>
                  <w:rFonts w:eastAsia="Times New Roman"/>
                </w:rPr>
                <w:t>UNION BANK NIG.PLC. [BLS]</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UBN</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43</w:t>
            </w:r>
          </w:p>
        </w:tc>
        <w:tc>
          <w:tcPr>
            <w:tcW w:w="6521" w:type="dxa"/>
            <w:noWrap/>
            <w:hideMark/>
          </w:tcPr>
          <w:p w:rsidR="00FA1AC4" w:rsidRDefault="00F54823">
            <w:pPr>
              <w:rPr>
                <w:rFonts w:eastAsia="Times New Roman"/>
              </w:rPr>
            </w:pPr>
            <w:hyperlink r:id="rId66" w:history="1">
              <w:r w:rsidR="00B11CCA">
                <w:rPr>
                  <w:rFonts w:eastAsia="Times New Roman"/>
                </w:rPr>
                <w:t>UNION HOMES SAVINGS AND LOANS PLC. [MRS]</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UNHOMES</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44</w:t>
            </w:r>
          </w:p>
        </w:tc>
        <w:tc>
          <w:tcPr>
            <w:tcW w:w="6521" w:type="dxa"/>
            <w:noWrap/>
            <w:hideMark/>
          </w:tcPr>
          <w:p w:rsidR="00FA1AC4" w:rsidRDefault="00F54823">
            <w:pPr>
              <w:rPr>
                <w:rFonts w:eastAsia="Times New Roman"/>
              </w:rPr>
            </w:pPr>
            <w:hyperlink r:id="rId67" w:history="1">
              <w:r w:rsidR="00B11CCA">
                <w:rPr>
                  <w:rFonts w:eastAsia="Times New Roman"/>
                </w:rPr>
                <w:t>UNITED BANK FOR AFRICA PLC [CG+]</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UBA</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45</w:t>
            </w:r>
          </w:p>
        </w:tc>
        <w:tc>
          <w:tcPr>
            <w:tcW w:w="6521" w:type="dxa"/>
            <w:noWrap/>
            <w:hideMark/>
          </w:tcPr>
          <w:p w:rsidR="00FA1AC4" w:rsidRDefault="00F54823">
            <w:pPr>
              <w:rPr>
                <w:rFonts w:eastAsia="Times New Roman"/>
              </w:rPr>
            </w:pPr>
            <w:hyperlink r:id="rId68" w:history="1">
              <w:r w:rsidR="00B11CCA">
                <w:rPr>
                  <w:rFonts w:eastAsia="Times New Roman"/>
                </w:rPr>
                <w:t>UNITED CAPITAL PLC [CG+]</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UCAP</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46</w:t>
            </w:r>
          </w:p>
        </w:tc>
        <w:tc>
          <w:tcPr>
            <w:tcW w:w="6521" w:type="dxa"/>
            <w:noWrap/>
            <w:hideMark/>
          </w:tcPr>
          <w:p w:rsidR="00FA1AC4" w:rsidRDefault="00F54823">
            <w:pPr>
              <w:rPr>
                <w:rFonts w:eastAsia="Times New Roman"/>
              </w:rPr>
            </w:pPr>
            <w:hyperlink r:id="rId69" w:history="1">
              <w:r w:rsidR="00B11CCA">
                <w:rPr>
                  <w:rFonts w:eastAsia="Times New Roman"/>
                </w:rPr>
                <w:t>UNITY BANK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UNITYBNK</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47</w:t>
            </w:r>
          </w:p>
        </w:tc>
        <w:tc>
          <w:tcPr>
            <w:tcW w:w="6521" w:type="dxa"/>
            <w:noWrap/>
            <w:hideMark/>
          </w:tcPr>
          <w:p w:rsidR="00FA1AC4" w:rsidRDefault="00F54823">
            <w:pPr>
              <w:rPr>
                <w:rFonts w:eastAsia="Times New Roman"/>
              </w:rPr>
            </w:pPr>
            <w:hyperlink r:id="rId70" w:history="1">
              <w:r w:rsidR="00B11CCA">
                <w:rPr>
                  <w:rFonts w:eastAsia="Times New Roman"/>
                </w:rPr>
                <w:t>UNIVERSAL INSURANCE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UNIVINSURE</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48</w:t>
            </w:r>
          </w:p>
        </w:tc>
        <w:tc>
          <w:tcPr>
            <w:tcW w:w="6521" w:type="dxa"/>
            <w:noWrap/>
            <w:hideMark/>
          </w:tcPr>
          <w:p w:rsidR="00FA1AC4" w:rsidRDefault="00F54823">
            <w:pPr>
              <w:rPr>
                <w:rFonts w:eastAsia="Times New Roman"/>
              </w:rPr>
            </w:pPr>
            <w:hyperlink r:id="rId71" w:history="1">
              <w:r w:rsidR="00B11CCA">
                <w:rPr>
                  <w:rFonts w:eastAsia="Times New Roman"/>
                </w:rPr>
                <w:t>VERITAS KAPITAL ASSURANCE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VERITASKAP</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49</w:t>
            </w:r>
          </w:p>
        </w:tc>
        <w:tc>
          <w:tcPr>
            <w:tcW w:w="6521" w:type="dxa"/>
            <w:noWrap/>
            <w:hideMark/>
          </w:tcPr>
          <w:p w:rsidR="00FA1AC4" w:rsidRDefault="00F54823">
            <w:pPr>
              <w:rPr>
                <w:rFonts w:eastAsia="Times New Roman"/>
              </w:rPr>
            </w:pPr>
            <w:hyperlink r:id="rId72" w:history="1">
              <w:r w:rsidR="00B11CCA">
                <w:rPr>
                  <w:rFonts w:eastAsia="Times New Roman"/>
                </w:rPr>
                <w:t>WEMA BANK PLC. [CG+]</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WEMABANK</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50</w:t>
            </w:r>
          </w:p>
        </w:tc>
        <w:tc>
          <w:tcPr>
            <w:tcW w:w="6521" w:type="dxa"/>
            <w:noWrap/>
            <w:hideMark/>
          </w:tcPr>
          <w:p w:rsidR="00FA1AC4" w:rsidRDefault="00F54823">
            <w:pPr>
              <w:rPr>
                <w:rFonts w:eastAsia="Times New Roman"/>
              </w:rPr>
            </w:pPr>
            <w:hyperlink r:id="rId73" w:history="1">
              <w:r w:rsidR="00B11CCA">
                <w:rPr>
                  <w:rFonts w:eastAsia="Times New Roman"/>
                </w:rPr>
                <w:t>ZENITH BANK PLC [CG+]</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ZENITHBANK</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51</w:t>
            </w:r>
          </w:p>
        </w:tc>
        <w:tc>
          <w:tcPr>
            <w:tcW w:w="6521" w:type="dxa"/>
            <w:noWrap/>
            <w:hideMark/>
          </w:tcPr>
          <w:p w:rsidR="00FA1AC4" w:rsidRDefault="00F54823">
            <w:pPr>
              <w:rPr>
                <w:rFonts w:eastAsia="Times New Roman"/>
              </w:rPr>
            </w:pPr>
            <w:hyperlink r:id="rId74" w:history="1">
              <w:r w:rsidR="00B11CCA">
                <w:rPr>
                  <w:rFonts w:eastAsia="Times New Roman"/>
                </w:rPr>
                <w:t>ACADEMY PRESS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ACADEMY</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52</w:t>
            </w:r>
          </w:p>
        </w:tc>
        <w:tc>
          <w:tcPr>
            <w:tcW w:w="6521" w:type="dxa"/>
            <w:noWrap/>
            <w:hideMark/>
          </w:tcPr>
          <w:p w:rsidR="00FA1AC4" w:rsidRDefault="00F54823">
            <w:pPr>
              <w:rPr>
                <w:rFonts w:eastAsia="Times New Roman"/>
              </w:rPr>
            </w:pPr>
            <w:hyperlink r:id="rId75" w:history="1">
              <w:r w:rsidR="00B11CCA">
                <w:rPr>
                  <w:rFonts w:eastAsia="Times New Roman"/>
                </w:rPr>
                <w:t>AFROMEDIA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AFROMEDIA</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53</w:t>
            </w:r>
          </w:p>
        </w:tc>
        <w:tc>
          <w:tcPr>
            <w:tcW w:w="6521" w:type="dxa"/>
            <w:noWrap/>
            <w:hideMark/>
          </w:tcPr>
          <w:p w:rsidR="00FA1AC4" w:rsidRDefault="00F54823">
            <w:pPr>
              <w:rPr>
                <w:rFonts w:eastAsia="Times New Roman"/>
              </w:rPr>
            </w:pPr>
            <w:hyperlink r:id="rId76" w:history="1">
              <w:r w:rsidR="00B11CCA">
                <w:rPr>
                  <w:rFonts w:eastAsia="Times New Roman"/>
                </w:rPr>
                <w:t>ASSOCIATED BUS COMPANY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ABCTRANS</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54</w:t>
            </w:r>
          </w:p>
        </w:tc>
        <w:tc>
          <w:tcPr>
            <w:tcW w:w="6521" w:type="dxa"/>
            <w:noWrap/>
            <w:hideMark/>
          </w:tcPr>
          <w:p w:rsidR="00FA1AC4" w:rsidRDefault="00F54823">
            <w:pPr>
              <w:rPr>
                <w:rFonts w:eastAsia="Times New Roman"/>
              </w:rPr>
            </w:pPr>
            <w:hyperlink r:id="rId77" w:history="1">
              <w:r w:rsidR="00B11CCA">
                <w:rPr>
                  <w:rFonts w:eastAsia="Times New Roman"/>
                </w:rPr>
                <w:t>C &amp; I LEASING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CILEASING</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55</w:t>
            </w:r>
          </w:p>
        </w:tc>
        <w:tc>
          <w:tcPr>
            <w:tcW w:w="6521" w:type="dxa"/>
            <w:noWrap/>
            <w:hideMark/>
          </w:tcPr>
          <w:p w:rsidR="00FA1AC4" w:rsidRDefault="00F54823">
            <w:pPr>
              <w:rPr>
                <w:rFonts w:eastAsia="Times New Roman"/>
              </w:rPr>
            </w:pPr>
            <w:hyperlink r:id="rId78" w:history="1">
              <w:r w:rsidR="00B11CCA">
                <w:rPr>
                  <w:rFonts w:eastAsia="Times New Roman"/>
                </w:rPr>
                <w:t>CAPITAL HOTEL PLC [BLS]</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CAPHOTEL</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56</w:t>
            </w:r>
          </w:p>
        </w:tc>
        <w:tc>
          <w:tcPr>
            <w:tcW w:w="6521" w:type="dxa"/>
            <w:noWrap/>
            <w:hideMark/>
          </w:tcPr>
          <w:p w:rsidR="00FA1AC4" w:rsidRDefault="00F54823">
            <w:pPr>
              <w:rPr>
                <w:rFonts w:eastAsia="Times New Roman"/>
              </w:rPr>
            </w:pPr>
            <w:hyperlink r:id="rId79" w:history="1">
              <w:r w:rsidR="00B11CCA">
                <w:rPr>
                  <w:rFonts w:eastAsia="Times New Roman"/>
                </w:rPr>
                <w:t>CAVERTON OFFSHORE SUPPORT GRP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CAVERTON</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57</w:t>
            </w:r>
          </w:p>
        </w:tc>
        <w:tc>
          <w:tcPr>
            <w:tcW w:w="6521" w:type="dxa"/>
            <w:noWrap/>
            <w:hideMark/>
          </w:tcPr>
          <w:p w:rsidR="00FA1AC4" w:rsidRDefault="00F54823">
            <w:pPr>
              <w:rPr>
                <w:rFonts w:eastAsia="Times New Roman"/>
              </w:rPr>
            </w:pPr>
            <w:hyperlink r:id="rId80" w:history="1">
              <w:r w:rsidR="00B11CCA">
                <w:rPr>
                  <w:rFonts w:eastAsia="Times New Roman"/>
                </w:rPr>
                <w:t>DAAR COMMUNICATIONS PLC [MRF]</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DAARCOMM</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58</w:t>
            </w:r>
          </w:p>
        </w:tc>
        <w:tc>
          <w:tcPr>
            <w:tcW w:w="6521" w:type="dxa"/>
            <w:noWrap/>
            <w:hideMark/>
          </w:tcPr>
          <w:p w:rsidR="00FA1AC4" w:rsidRDefault="00F54823">
            <w:pPr>
              <w:rPr>
                <w:rFonts w:eastAsia="Times New Roman"/>
              </w:rPr>
            </w:pPr>
            <w:hyperlink r:id="rId81" w:history="1">
              <w:r w:rsidR="00B11CCA">
                <w:rPr>
                  <w:rFonts w:eastAsia="Times New Roman"/>
                </w:rPr>
                <w:t>EUNISELL INTERLINKED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EUNISELL</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59</w:t>
            </w:r>
          </w:p>
        </w:tc>
        <w:tc>
          <w:tcPr>
            <w:tcW w:w="6521" w:type="dxa"/>
            <w:noWrap/>
            <w:hideMark/>
          </w:tcPr>
          <w:p w:rsidR="00FA1AC4" w:rsidRDefault="00F54823">
            <w:pPr>
              <w:rPr>
                <w:rFonts w:eastAsia="Times New Roman"/>
              </w:rPr>
            </w:pPr>
            <w:hyperlink r:id="rId82" w:history="1">
              <w:r w:rsidR="00B11CCA">
                <w:rPr>
                  <w:rFonts w:eastAsia="Times New Roman"/>
                </w:rPr>
                <w:t>GLOBAL SPECTRUM ENERGY SERVICES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GSPECPLC</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60</w:t>
            </w:r>
          </w:p>
        </w:tc>
        <w:tc>
          <w:tcPr>
            <w:tcW w:w="6521" w:type="dxa"/>
            <w:noWrap/>
            <w:hideMark/>
          </w:tcPr>
          <w:p w:rsidR="00FA1AC4" w:rsidRDefault="00F54823">
            <w:pPr>
              <w:rPr>
                <w:rFonts w:eastAsia="Times New Roman"/>
              </w:rPr>
            </w:pPr>
            <w:hyperlink r:id="rId83" w:history="1">
              <w:r w:rsidR="00B11CCA">
                <w:rPr>
                  <w:rFonts w:eastAsia="Times New Roman"/>
                </w:rPr>
                <w:t>IKEJA HOTEL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IKEJAHOTEL</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61</w:t>
            </w:r>
          </w:p>
        </w:tc>
        <w:tc>
          <w:tcPr>
            <w:tcW w:w="6521" w:type="dxa"/>
            <w:noWrap/>
            <w:hideMark/>
          </w:tcPr>
          <w:p w:rsidR="00FA1AC4" w:rsidRDefault="00F54823">
            <w:pPr>
              <w:rPr>
                <w:rFonts w:eastAsia="Times New Roman"/>
              </w:rPr>
            </w:pPr>
            <w:hyperlink r:id="rId84" w:history="1">
              <w:r w:rsidR="00B11CCA">
                <w:rPr>
                  <w:rFonts w:eastAsia="Times New Roman"/>
                </w:rPr>
                <w:t>JULI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JULI</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62</w:t>
            </w:r>
          </w:p>
        </w:tc>
        <w:tc>
          <w:tcPr>
            <w:tcW w:w="6521" w:type="dxa"/>
            <w:noWrap/>
            <w:hideMark/>
          </w:tcPr>
          <w:p w:rsidR="00FA1AC4" w:rsidRDefault="00F54823">
            <w:pPr>
              <w:rPr>
                <w:rFonts w:eastAsia="Times New Roman"/>
              </w:rPr>
            </w:pPr>
            <w:hyperlink r:id="rId85" w:history="1">
              <w:r w:rsidR="00B11CCA">
                <w:rPr>
                  <w:rFonts w:eastAsia="Times New Roman"/>
                </w:rPr>
                <w:t>LEARN AFRICA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LEARNAFRCA</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63</w:t>
            </w:r>
          </w:p>
        </w:tc>
        <w:tc>
          <w:tcPr>
            <w:tcW w:w="6521" w:type="dxa"/>
            <w:noWrap/>
            <w:hideMark/>
          </w:tcPr>
          <w:p w:rsidR="00FA1AC4" w:rsidRDefault="00F54823">
            <w:pPr>
              <w:rPr>
                <w:rFonts w:eastAsia="Times New Roman"/>
              </w:rPr>
            </w:pPr>
            <w:hyperlink r:id="rId86" w:history="1">
              <w:r w:rsidR="00B11CCA">
                <w:rPr>
                  <w:rFonts w:eastAsia="Times New Roman"/>
                </w:rPr>
                <w:t>MEDVIEW AIRLINE PLC [BMF]</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MEDVIEWAIR</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lastRenderedPageBreak/>
              <w:t>64</w:t>
            </w:r>
          </w:p>
        </w:tc>
        <w:tc>
          <w:tcPr>
            <w:tcW w:w="6521" w:type="dxa"/>
            <w:noWrap/>
            <w:hideMark/>
          </w:tcPr>
          <w:p w:rsidR="00FA1AC4" w:rsidRDefault="00F54823">
            <w:pPr>
              <w:rPr>
                <w:rFonts w:eastAsia="Times New Roman"/>
              </w:rPr>
            </w:pPr>
            <w:hyperlink r:id="rId87" w:history="1">
              <w:r w:rsidR="00B11CCA">
                <w:rPr>
                  <w:rFonts w:eastAsia="Times New Roman"/>
                </w:rPr>
                <w:t>NIGERIAN AVIATION HANDLING COMPANY PLC [CG+]</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NAHCO</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65</w:t>
            </w:r>
          </w:p>
        </w:tc>
        <w:tc>
          <w:tcPr>
            <w:tcW w:w="6521" w:type="dxa"/>
            <w:noWrap/>
            <w:hideMark/>
          </w:tcPr>
          <w:p w:rsidR="00FA1AC4" w:rsidRDefault="00F54823">
            <w:pPr>
              <w:rPr>
                <w:rFonts w:eastAsia="Times New Roman"/>
              </w:rPr>
            </w:pPr>
            <w:hyperlink r:id="rId88" w:history="1">
              <w:r w:rsidR="00B11CCA">
                <w:rPr>
                  <w:rFonts w:eastAsia="Times New Roman"/>
                </w:rPr>
                <w:t>R T BRISCOE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RTBRISCOE</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66</w:t>
            </w:r>
          </w:p>
        </w:tc>
        <w:tc>
          <w:tcPr>
            <w:tcW w:w="6521" w:type="dxa"/>
            <w:noWrap/>
            <w:hideMark/>
          </w:tcPr>
          <w:p w:rsidR="00FA1AC4" w:rsidRDefault="00F54823">
            <w:pPr>
              <w:rPr>
                <w:rFonts w:eastAsia="Times New Roman"/>
              </w:rPr>
            </w:pPr>
            <w:hyperlink r:id="rId89" w:history="1">
              <w:r w:rsidR="00B11CCA">
                <w:rPr>
                  <w:rFonts w:eastAsia="Times New Roman"/>
                </w:rPr>
                <w:t>RED STAR EXPRESS PLC [CG+]</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REDSTAREX</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67</w:t>
            </w:r>
          </w:p>
        </w:tc>
        <w:tc>
          <w:tcPr>
            <w:tcW w:w="6521" w:type="dxa"/>
            <w:noWrap/>
            <w:hideMark/>
          </w:tcPr>
          <w:p w:rsidR="00FA1AC4" w:rsidRDefault="00F54823">
            <w:pPr>
              <w:rPr>
                <w:rFonts w:eastAsia="Times New Roman"/>
              </w:rPr>
            </w:pPr>
            <w:hyperlink r:id="rId90" w:history="1">
              <w:r w:rsidR="00B11CCA">
                <w:rPr>
                  <w:rFonts w:eastAsia="Times New Roman"/>
                </w:rPr>
                <w:t>SECURE ELECTRONIC TECHNOLOGY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NSLTECH</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68</w:t>
            </w:r>
          </w:p>
        </w:tc>
        <w:tc>
          <w:tcPr>
            <w:tcW w:w="6521" w:type="dxa"/>
            <w:noWrap/>
            <w:hideMark/>
          </w:tcPr>
          <w:p w:rsidR="00FA1AC4" w:rsidRDefault="00F54823">
            <w:pPr>
              <w:rPr>
                <w:rFonts w:eastAsia="Times New Roman"/>
              </w:rPr>
            </w:pPr>
            <w:hyperlink r:id="rId91" w:history="1">
              <w:r w:rsidR="00B11CCA">
                <w:rPr>
                  <w:rFonts w:eastAsia="Times New Roman"/>
                </w:rPr>
                <w:t>SKYWAY AVIATION HANDLING COMPANY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SKYAVN</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69</w:t>
            </w:r>
          </w:p>
        </w:tc>
        <w:tc>
          <w:tcPr>
            <w:tcW w:w="6521" w:type="dxa"/>
            <w:noWrap/>
            <w:hideMark/>
          </w:tcPr>
          <w:p w:rsidR="00FA1AC4" w:rsidRDefault="00F54823">
            <w:pPr>
              <w:rPr>
                <w:rFonts w:eastAsia="Times New Roman"/>
              </w:rPr>
            </w:pPr>
            <w:hyperlink r:id="rId92" w:history="1">
              <w:r w:rsidR="00B11CCA">
                <w:rPr>
                  <w:rFonts w:eastAsia="Times New Roman"/>
                </w:rPr>
                <w:t>TANTALIZERS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TANTALIZER</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70</w:t>
            </w:r>
          </w:p>
        </w:tc>
        <w:tc>
          <w:tcPr>
            <w:tcW w:w="6521" w:type="dxa"/>
            <w:noWrap/>
            <w:hideMark/>
          </w:tcPr>
          <w:p w:rsidR="00FA1AC4" w:rsidRDefault="00F54823">
            <w:pPr>
              <w:rPr>
                <w:rFonts w:eastAsia="Times New Roman"/>
              </w:rPr>
            </w:pPr>
            <w:hyperlink r:id="rId93" w:history="1">
              <w:r w:rsidR="00B11CCA">
                <w:rPr>
                  <w:rFonts w:eastAsia="Times New Roman"/>
                </w:rPr>
                <w:t>THE INITIATES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TIP</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71</w:t>
            </w:r>
          </w:p>
        </w:tc>
        <w:tc>
          <w:tcPr>
            <w:tcW w:w="6521" w:type="dxa"/>
            <w:noWrap/>
            <w:hideMark/>
          </w:tcPr>
          <w:p w:rsidR="00FA1AC4" w:rsidRDefault="00F54823">
            <w:pPr>
              <w:rPr>
                <w:rFonts w:eastAsia="Times New Roman"/>
              </w:rPr>
            </w:pPr>
            <w:hyperlink r:id="rId94" w:history="1">
              <w:r w:rsidR="00B11CCA">
                <w:rPr>
                  <w:rFonts w:eastAsia="Times New Roman"/>
                </w:rPr>
                <w:t>TOURIST COMPANY OF NIGERIA PLC. [DIP]</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TOURIST</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72</w:t>
            </w:r>
          </w:p>
        </w:tc>
        <w:tc>
          <w:tcPr>
            <w:tcW w:w="6521" w:type="dxa"/>
            <w:noWrap/>
            <w:hideMark/>
          </w:tcPr>
          <w:p w:rsidR="00FA1AC4" w:rsidRDefault="00F54823">
            <w:pPr>
              <w:rPr>
                <w:rFonts w:eastAsia="Times New Roman"/>
              </w:rPr>
            </w:pPr>
            <w:hyperlink r:id="rId95" w:history="1">
              <w:r w:rsidR="00B11CCA">
                <w:rPr>
                  <w:rFonts w:eastAsia="Times New Roman"/>
                </w:rPr>
                <w:t>TRANS-NATIONWIDE EXPRESS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TRANSEXPR</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73</w:t>
            </w:r>
          </w:p>
        </w:tc>
        <w:tc>
          <w:tcPr>
            <w:tcW w:w="6521" w:type="dxa"/>
            <w:noWrap/>
            <w:hideMark/>
          </w:tcPr>
          <w:p w:rsidR="00FA1AC4" w:rsidRDefault="00F54823">
            <w:pPr>
              <w:rPr>
                <w:rFonts w:eastAsia="Times New Roman"/>
              </w:rPr>
            </w:pPr>
            <w:hyperlink r:id="rId96" w:history="1">
              <w:r w:rsidR="00B11CCA">
                <w:rPr>
                  <w:rFonts w:eastAsia="Times New Roman"/>
                </w:rPr>
                <w:t>TRANSCORP HOTELS PLC [BLS][CG+]</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TRANSCOHOT</w:t>
            </w:r>
          </w:p>
        </w:tc>
      </w:tr>
      <w:tr w:rsidR="00FA1AC4">
        <w:trPr>
          <w:trHeight w:val="315"/>
        </w:trPr>
        <w:tc>
          <w:tcPr>
            <w:tcW w:w="704" w:type="dxa"/>
            <w:noWrap/>
            <w:hideMark/>
          </w:tcPr>
          <w:p w:rsidR="00FA1AC4" w:rsidRDefault="00B11CCA">
            <w:pPr>
              <w:jc w:val="right"/>
              <w:rPr>
                <w:rFonts w:eastAsia="Times New Roman"/>
                <w:color w:val="000000"/>
              </w:rPr>
            </w:pPr>
            <w:r>
              <w:rPr>
                <w:rFonts w:eastAsia="Times New Roman"/>
                <w:color w:val="000000"/>
              </w:rPr>
              <w:t>74</w:t>
            </w:r>
          </w:p>
        </w:tc>
        <w:tc>
          <w:tcPr>
            <w:tcW w:w="6521" w:type="dxa"/>
            <w:noWrap/>
            <w:hideMark/>
          </w:tcPr>
          <w:p w:rsidR="00FA1AC4" w:rsidRDefault="00F54823">
            <w:pPr>
              <w:rPr>
                <w:rFonts w:eastAsia="Times New Roman"/>
              </w:rPr>
            </w:pPr>
            <w:hyperlink r:id="rId97" w:history="1">
              <w:r w:rsidR="00B11CCA">
                <w:rPr>
                  <w:rFonts w:eastAsia="Times New Roman"/>
                </w:rPr>
                <w:t>UNIVERSITY PRESS PLC.</w:t>
              </w:r>
            </w:hyperlink>
          </w:p>
        </w:tc>
        <w:tc>
          <w:tcPr>
            <w:tcW w:w="2125" w:type="dxa"/>
            <w:hideMark/>
          </w:tcPr>
          <w:p w:rsidR="00FA1AC4" w:rsidRDefault="00B11CCA">
            <w:pPr>
              <w:ind w:firstLineChars="100" w:firstLine="240"/>
              <w:rPr>
                <w:rFonts w:eastAsia="Times New Roman"/>
                <w:color w:val="000000"/>
              </w:rPr>
            </w:pPr>
            <w:r>
              <w:rPr>
                <w:rFonts w:eastAsia="Times New Roman"/>
                <w:color w:val="000000"/>
              </w:rPr>
              <w:t>UPL</w:t>
            </w:r>
          </w:p>
        </w:tc>
      </w:tr>
    </w:tbl>
    <w:p w:rsidR="00FA1AC4" w:rsidRDefault="00FA1AC4"/>
    <w:p w:rsidR="00FA1AC4" w:rsidRDefault="00B11CCA">
      <w:pPr>
        <w:spacing w:after="160" w:line="259" w:lineRule="auto"/>
        <w:jc w:val="left"/>
      </w:pPr>
      <w:r>
        <w:br w:type="page"/>
      </w:r>
    </w:p>
    <w:p w:rsidR="00FA1AC4" w:rsidRDefault="00B11CCA">
      <w:pPr>
        <w:rPr>
          <w:b/>
          <w:sz w:val="28"/>
          <w:szCs w:val="28"/>
        </w:rPr>
      </w:pPr>
      <w:r>
        <w:rPr>
          <w:b/>
          <w:sz w:val="28"/>
          <w:szCs w:val="28"/>
        </w:rPr>
        <w:lastRenderedPageBreak/>
        <w:t>Appendix II</w:t>
      </w:r>
    </w:p>
    <w:p w:rsidR="00FA1AC4" w:rsidRDefault="00B11CCA">
      <w:r>
        <w:t>List of Service firms used in this study</w:t>
      </w:r>
    </w:p>
    <w:tbl>
      <w:tblPr>
        <w:tblW w:w="9130" w:type="dxa"/>
        <w:tblLook w:val="04A0" w:firstRow="1" w:lastRow="0" w:firstColumn="1" w:lastColumn="0" w:noHBand="0" w:noVBand="1"/>
      </w:tblPr>
      <w:tblGrid>
        <w:gridCol w:w="869"/>
        <w:gridCol w:w="8261"/>
      </w:tblGrid>
      <w:tr w:rsidR="00FA1AC4">
        <w:trPr>
          <w:trHeight w:val="310"/>
        </w:trPr>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1AC4" w:rsidRDefault="00B11CCA">
            <w:pPr>
              <w:rPr>
                <w:rFonts w:eastAsia="Times New Roman"/>
                <w:color w:val="000000"/>
              </w:rPr>
            </w:pPr>
            <w:r>
              <w:rPr>
                <w:rFonts w:eastAsia="Times New Roman"/>
                <w:color w:val="000000"/>
              </w:rPr>
              <w:t>S/N</w:t>
            </w:r>
          </w:p>
        </w:tc>
        <w:tc>
          <w:tcPr>
            <w:tcW w:w="8261" w:type="dxa"/>
            <w:tcBorders>
              <w:top w:val="single" w:sz="4" w:space="0" w:color="auto"/>
              <w:left w:val="nil"/>
              <w:bottom w:val="single" w:sz="4" w:space="0" w:color="auto"/>
              <w:right w:val="single" w:sz="4" w:space="0" w:color="auto"/>
            </w:tcBorders>
            <w:shd w:val="clear" w:color="auto" w:fill="auto"/>
            <w:noWrap/>
            <w:vAlign w:val="center"/>
            <w:hideMark/>
          </w:tcPr>
          <w:p w:rsidR="00FA1AC4" w:rsidRDefault="00B11CCA">
            <w:pPr>
              <w:jc w:val="center"/>
              <w:rPr>
                <w:rFonts w:eastAsia="Times New Roman"/>
              </w:rPr>
            </w:pPr>
            <w:r>
              <w:rPr>
                <w:rFonts w:eastAsia="Times New Roman"/>
              </w:rPr>
              <w:t>NAME</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1</w:t>
            </w:r>
          </w:p>
        </w:tc>
        <w:tc>
          <w:tcPr>
            <w:tcW w:w="8261" w:type="dxa"/>
            <w:tcBorders>
              <w:top w:val="nil"/>
              <w:left w:val="nil"/>
              <w:bottom w:val="single" w:sz="4" w:space="0" w:color="auto"/>
              <w:right w:val="single" w:sz="4" w:space="0" w:color="auto"/>
            </w:tcBorders>
            <w:shd w:val="clear" w:color="auto" w:fill="auto"/>
            <w:noWrap/>
            <w:vAlign w:val="center"/>
            <w:hideMark/>
          </w:tcPr>
          <w:p w:rsidR="00FA1AC4" w:rsidRDefault="00B11CCA">
            <w:pPr>
              <w:rPr>
                <w:rFonts w:eastAsia="Times New Roman"/>
              </w:rPr>
            </w:pPr>
            <w:r>
              <w:rPr>
                <w:rFonts w:eastAsia="Times New Roman"/>
              </w:rPr>
              <w:t>ABBEY</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2</w:t>
            </w:r>
          </w:p>
        </w:tc>
        <w:tc>
          <w:tcPr>
            <w:tcW w:w="8261" w:type="dxa"/>
            <w:tcBorders>
              <w:top w:val="nil"/>
              <w:left w:val="nil"/>
              <w:bottom w:val="single" w:sz="4" w:space="0" w:color="auto"/>
              <w:right w:val="single" w:sz="4" w:space="0" w:color="auto"/>
            </w:tcBorders>
            <w:shd w:val="clear" w:color="auto" w:fill="auto"/>
            <w:noWrap/>
            <w:vAlign w:val="center"/>
            <w:hideMark/>
          </w:tcPr>
          <w:p w:rsidR="00FA1AC4" w:rsidRDefault="00B11CCA">
            <w:pPr>
              <w:rPr>
                <w:rFonts w:eastAsia="Times New Roman"/>
              </w:rPr>
            </w:pPr>
            <w:r>
              <w:rPr>
                <w:rFonts w:eastAsia="Times New Roman"/>
              </w:rPr>
              <w:t>ACCESS</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3</w:t>
            </w:r>
          </w:p>
        </w:tc>
        <w:tc>
          <w:tcPr>
            <w:tcW w:w="8261" w:type="dxa"/>
            <w:tcBorders>
              <w:top w:val="nil"/>
              <w:left w:val="nil"/>
              <w:bottom w:val="single" w:sz="4" w:space="0" w:color="auto"/>
              <w:right w:val="single" w:sz="4" w:space="0" w:color="auto"/>
            </w:tcBorders>
            <w:shd w:val="clear" w:color="auto" w:fill="auto"/>
            <w:noWrap/>
            <w:vAlign w:val="center"/>
            <w:hideMark/>
          </w:tcPr>
          <w:p w:rsidR="00FA1AC4" w:rsidRDefault="00B11CCA">
            <w:pPr>
              <w:rPr>
                <w:rFonts w:eastAsia="Times New Roman"/>
              </w:rPr>
            </w:pPr>
            <w:r>
              <w:rPr>
                <w:rFonts w:eastAsia="Times New Roman"/>
              </w:rPr>
              <w:t>ACADEMY PRESS PLC</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4</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AFROMEDIA PLC</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5</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AIICO</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6</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ASSOCIATED BUS COMPANY PLC</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7</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AXAMANSARD INSURANCE PLC</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8</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C &amp; I LEASING PLC</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9</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CAPITAL HOTEL PLC</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10</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CONSOLIDATED HALLMARK INSURANCE PLC</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11</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CORNERSTONE INSURANCE PLC</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12</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CUSTODIAN INVESTMENT PLC</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13</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DAAR COMMUNICATIONS PLC</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14</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ECOBANK TRANSNATIONAL INCORPORATED</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15</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FCMB GROUP PLC</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16</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FBN HOLDINGS PLC</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17</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FIDELITY BANK PLC</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18</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GUARANTY TRUST BANK PLC</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19</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IKEJA HOTEL PLC</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lastRenderedPageBreak/>
              <w:t>20</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JULI PLC</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21</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NIGERIA AVIATION HANDLING PLC</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22</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RED STAR EXPRESS</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23</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R T BRISCOE PLC</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24</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STANBIC</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25</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STERLING</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26</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TANTALIZERS PLC</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27</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TOURIST COMPANY OF NIGERIA PLC</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28</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TRANSCORP HOTELS PLC</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29</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UBA</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30</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UNIVERSITY PRESS PLC</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31</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UNION</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32</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UNITY</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33</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WEMA</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34</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CAVERTON</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35</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LAW UNION</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tcPr>
          <w:p w:rsidR="00FA1AC4" w:rsidRDefault="00B11CCA">
            <w:pPr>
              <w:jc w:val="center"/>
              <w:rPr>
                <w:rFonts w:eastAsia="Times New Roman"/>
                <w:color w:val="000000"/>
              </w:rPr>
            </w:pPr>
            <w:r>
              <w:rPr>
                <w:rFonts w:eastAsia="Times New Roman"/>
                <w:color w:val="000000"/>
              </w:rPr>
              <w:t>36</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ROYAL</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tcPr>
          <w:p w:rsidR="00FA1AC4" w:rsidRDefault="00B11CCA">
            <w:pPr>
              <w:jc w:val="center"/>
              <w:rPr>
                <w:rFonts w:eastAsia="Times New Roman"/>
                <w:color w:val="000000"/>
              </w:rPr>
            </w:pPr>
            <w:r>
              <w:rPr>
                <w:rFonts w:eastAsia="Times New Roman"/>
                <w:color w:val="000000"/>
              </w:rPr>
              <w:t>37</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REGENCY</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tcPr>
          <w:p w:rsidR="00FA1AC4" w:rsidRDefault="00B11CCA">
            <w:pPr>
              <w:jc w:val="center"/>
              <w:rPr>
                <w:rFonts w:eastAsia="Times New Roman"/>
                <w:color w:val="000000"/>
              </w:rPr>
            </w:pPr>
            <w:r>
              <w:rPr>
                <w:rFonts w:eastAsia="Times New Roman"/>
                <w:color w:val="000000"/>
              </w:rPr>
              <w:t>38</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SECURE</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tcPr>
          <w:p w:rsidR="00FA1AC4" w:rsidRDefault="00B11CCA">
            <w:pPr>
              <w:jc w:val="center"/>
              <w:rPr>
                <w:rFonts w:eastAsia="Times New Roman"/>
                <w:color w:val="000000"/>
              </w:rPr>
            </w:pPr>
            <w:r>
              <w:rPr>
                <w:rFonts w:eastAsia="Times New Roman"/>
                <w:color w:val="000000"/>
              </w:rPr>
              <w:t>39</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TRANSNATIONWIDE</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tcPr>
          <w:p w:rsidR="00FA1AC4" w:rsidRDefault="00B11CCA">
            <w:pPr>
              <w:jc w:val="center"/>
              <w:rPr>
                <w:rFonts w:eastAsia="Times New Roman"/>
                <w:color w:val="000000"/>
              </w:rPr>
            </w:pPr>
            <w:r>
              <w:rPr>
                <w:rFonts w:eastAsia="Times New Roman"/>
                <w:color w:val="000000"/>
              </w:rPr>
              <w:t>40</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UNITED CAPITAL</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tcPr>
          <w:p w:rsidR="00FA1AC4" w:rsidRDefault="00B11CCA">
            <w:pPr>
              <w:jc w:val="center"/>
              <w:rPr>
                <w:rFonts w:eastAsia="Times New Roman"/>
                <w:color w:val="000000"/>
              </w:rPr>
            </w:pPr>
            <w:r>
              <w:rPr>
                <w:rFonts w:eastAsia="Times New Roman"/>
                <w:color w:val="000000"/>
              </w:rPr>
              <w:t>41</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LASACO</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tcPr>
          <w:p w:rsidR="00FA1AC4" w:rsidRDefault="00B11CCA">
            <w:pPr>
              <w:jc w:val="center"/>
              <w:rPr>
                <w:rFonts w:eastAsia="Times New Roman"/>
                <w:color w:val="000000"/>
              </w:rPr>
            </w:pPr>
            <w:r>
              <w:rPr>
                <w:rFonts w:eastAsia="Times New Roman"/>
                <w:color w:val="000000"/>
              </w:rPr>
              <w:lastRenderedPageBreak/>
              <w:t>42</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LINKAGE</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tcPr>
          <w:p w:rsidR="00FA1AC4" w:rsidRDefault="00B11CCA">
            <w:pPr>
              <w:jc w:val="center"/>
              <w:rPr>
                <w:rFonts w:eastAsia="Times New Roman"/>
                <w:color w:val="000000"/>
              </w:rPr>
            </w:pPr>
            <w:r>
              <w:rPr>
                <w:rFonts w:eastAsia="Times New Roman"/>
                <w:color w:val="000000"/>
              </w:rPr>
              <w:t>43</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SOVEREIGN</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tcPr>
          <w:p w:rsidR="00FA1AC4" w:rsidRDefault="00B11CCA">
            <w:pPr>
              <w:jc w:val="center"/>
              <w:rPr>
                <w:rFonts w:eastAsia="Times New Roman"/>
                <w:color w:val="000000"/>
              </w:rPr>
            </w:pPr>
            <w:r>
              <w:rPr>
                <w:rFonts w:eastAsia="Times New Roman"/>
                <w:color w:val="000000"/>
              </w:rPr>
              <w:t>44</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NPF</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tcPr>
          <w:p w:rsidR="00FA1AC4" w:rsidRDefault="00B11CCA">
            <w:pPr>
              <w:jc w:val="center"/>
              <w:rPr>
                <w:rFonts w:eastAsia="Times New Roman"/>
                <w:color w:val="000000"/>
              </w:rPr>
            </w:pPr>
            <w:r>
              <w:rPr>
                <w:rFonts w:eastAsia="Times New Roman"/>
                <w:color w:val="000000"/>
              </w:rPr>
              <w:t>45</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UNIVERSAL</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tcPr>
          <w:p w:rsidR="00FA1AC4" w:rsidRDefault="00B11CCA">
            <w:pPr>
              <w:jc w:val="center"/>
              <w:rPr>
                <w:rFonts w:eastAsia="Times New Roman"/>
                <w:color w:val="000000"/>
              </w:rPr>
            </w:pPr>
            <w:r>
              <w:rPr>
                <w:rFonts w:eastAsia="Times New Roman"/>
                <w:color w:val="000000"/>
              </w:rPr>
              <w:t>46</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PRESTIGE</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tcPr>
          <w:p w:rsidR="00FA1AC4" w:rsidRDefault="00B11CCA">
            <w:pPr>
              <w:jc w:val="center"/>
              <w:rPr>
                <w:rFonts w:eastAsia="Times New Roman"/>
                <w:color w:val="000000"/>
              </w:rPr>
            </w:pPr>
            <w:r>
              <w:rPr>
                <w:rFonts w:eastAsia="Times New Roman"/>
                <w:color w:val="000000"/>
              </w:rPr>
              <w:t>47</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NEM</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tcPr>
          <w:p w:rsidR="00FA1AC4" w:rsidRDefault="00B11CCA">
            <w:pPr>
              <w:jc w:val="center"/>
              <w:rPr>
                <w:rFonts w:eastAsia="Times New Roman"/>
                <w:color w:val="000000"/>
              </w:rPr>
            </w:pPr>
            <w:r>
              <w:rPr>
                <w:rFonts w:eastAsia="Times New Roman"/>
                <w:color w:val="000000"/>
              </w:rPr>
              <w:t>48</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GUINEA</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tcPr>
          <w:p w:rsidR="00FA1AC4" w:rsidRDefault="00B11CCA">
            <w:pPr>
              <w:jc w:val="center"/>
              <w:rPr>
                <w:rFonts w:eastAsia="Times New Roman"/>
                <w:color w:val="000000"/>
              </w:rPr>
            </w:pPr>
            <w:r>
              <w:rPr>
                <w:rFonts w:eastAsia="Times New Roman"/>
                <w:color w:val="000000"/>
              </w:rPr>
              <w:t>49</w:t>
            </w:r>
          </w:p>
        </w:tc>
        <w:tc>
          <w:tcPr>
            <w:tcW w:w="8261" w:type="dxa"/>
            <w:tcBorders>
              <w:top w:val="nil"/>
              <w:left w:val="nil"/>
              <w:bottom w:val="single" w:sz="4" w:space="0" w:color="auto"/>
              <w:right w:val="single" w:sz="4" w:space="0" w:color="auto"/>
            </w:tcBorders>
            <w:shd w:val="clear" w:color="auto" w:fill="auto"/>
            <w:noWrap/>
            <w:vAlign w:val="center"/>
          </w:tcPr>
          <w:p w:rsidR="00FA1AC4" w:rsidRDefault="00B11CCA">
            <w:pPr>
              <w:rPr>
                <w:rFonts w:eastAsia="Times New Roman"/>
              </w:rPr>
            </w:pPr>
            <w:r>
              <w:rPr>
                <w:rFonts w:eastAsia="Times New Roman"/>
              </w:rPr>
              <w:t>VERITAS</w:t>
            </w:r>
          </w:p>
        </w:tc>
      </w:tr>
      <w:tr w:rsidR="00FA1AC4">
        <w:trPr>
          <w:trHeight w:val="31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FA1AC4" w:rsidRDefault="00B11CCA">
            <w:pPr>
              <w:jc w:val="center"/>
              <w:rPr>
                <w:rFonts w:eastAsia="Times New Roman"/>
                <w:color w:val="000000"/>
              </w:rPr>
            </w:pPr>
            <w:r>
              <w:rPr>
                <w:rFonts w:eastAsia="Times New Roman"/>
                <w:color w:val="000000"/>
              </w:rPr>
              <w:t>50</w:t>
            </w:r>
          </w:p>
        </w:tc>
        <w:tc>
          <w:tcPr>
            <w:tcW w:w="8261" w:type="dxa"/>
            <w:tcBorders>
              <w:top w:val="nil"/>
              <w:left w:val="nil"/>
              <w:bottom w:val="single" w:sz="4" w:space="0" w:color="auto"/>
              <w:right w:val="single" w:sz="4" w:space="0" w:color="auto"/>
            </w:tcBorders>
            <w:shd w:val="clear" w:color="auto" w:fill="auto"/>
            <w:noWrap/>
            <w:vAlign w:val="center"/>
            <w:hideMark/>
          </w:tcPr>
          <w:p w:rsidR="00FA1AC4" w:rsidRDefault="00B11CCA">
            <w:pPr>
              <w:rPr>
                <w:rFonts w:eastAsia="Times New Roman"/>
              </w:rPr>
            </w:pPr>
            <w:r>
              <w:rPr>
                <w:rFonts w:eastAsia="Times New Roman"/>
              </w:rPr>
              <w:t>ZENITH</w:t>
            </w:r>
          </w:p>
        </w:tc>
      </w:tr>
    </w:tbl>
    <w:p w:rsidR="00FA1AC4" w:rsidRDefault="00FA1AC4">
      <w:pPr>
        <w:pStyle w:val="ListParagraph"/>
      </w:pPr>
    </w:p>
    <w:p w:rsidR="00FA1AC4" w:rsidRDefault="00B11CCA">
      <w:pPr>
        <w:spacing w:after="160" w:line="259" w:lineRule="auto"/>
        <w:jc w:val="left"/>
      </w:pPr>
      <w:r>
        <w:br w:type="page"/>
      </w:r>
    </w:p>
    <w:p w:rsidR="00FA1AC4" w:rsidRDefault="00B11CCA">
      <w:pPr>
        <w:rPr>
          <w:b/>
          <w:sz w:val="28"/>
          <w:szCs w:val="28"/>
        </w:rPr>
      </w:pPr>
      <w:r>
        <w:rPr>
          <w:b/>
          <w:sz w:val="28"/>
          <w:szCs w:val="28"/>
        </w:rPr>
        <w:lastRenderedPageBreak/>
        <w:t>Appendix III</w:t>
      </w:r>
    </w:p>
    <w:p w:rsidR="00FA1AC4" w:rsidRDefault="00B11CCA">
      <w:r>
        <w:t>Respondents’ Responses</w:t>
      </w:r>
    </w:p>
    <w:tbl>
      <w:tblPr>
        <w:tblW w:w="7880" w:type="dxa"/>
        <w:tblLook w:val="04A0" w:firstRow="1" w:lastRow="0" w:firstColumn="1" w:lastColumn="0" w:noHBand="0" w:noVBand="1"/>
      </w:tblPr>
      <w:tblGrid>
        <w:gridCol w:w="560"/>
        <w:gridCol w:w="580"/>
        <w:gridCol w:w="580"/>
        <w:gridCol w:w="555"/>
        <w:gridCol w:w="620"/>
        <w:gridCol w:w="600"/>
        <w:gridCol w:w="580"/>
        <w:gridCol w:w="560"/>
        <w:gridCol w:w="660"/>
        <w:gridCol w:w="580"/>
        <w:gridCol w:w="740"/>
        <w:gridCol w:w="660"/>
        <w:gridCol w:w="660"/>
      </w:tblGrid>
      <w:tr w:rsidR="00FA1AC4">
        <w:trPr>
          <w:trHeight w:val="600"/>
        </w:trPr>
        <w:tc>
          <w:tcPr>
            <w:tcW w:w="520" w:type="dxa"/>
            <w:tcBorders>
              <w:top w:val="nil"/>
              <w:left w:val="nil"/>
              <w:bottom w:val="nil"/>
              <w:right w:val="nil"/>
            </w:tcBorders>
            <w:shd w:val="clear" w:color="auto" w:fill="auto"/>
            <w:vAlign w:val="bottom"/>
            <w:hideMark/>
          </w:tcPr>
          <w:p w:rsidR="00FA1AC4" w:rsidRDefault="00B11CCA">
            <w:pPr>
              <w:spacing w:line="240" w:lineRule="auto"/>
              <w:jc w:val="lef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S/N</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lef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stat 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lef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stat 2</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lef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stat 3</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lef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stat 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lef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stat 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lef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stat 6</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lef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stat 7</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lef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stat 8</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lef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stat 9</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lef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stat 10</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lef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stat 11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lef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stat 12</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6</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7</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8</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9</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10</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16</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17</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18</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19</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20</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21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22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23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24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25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26</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27</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28</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29</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30</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31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32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33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34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35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lastRenderedPageBreak/>
              <w:t>36</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37</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38</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39</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40</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41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42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43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44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45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46</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47</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48</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49</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50</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51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52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53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54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55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56</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57</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58</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59</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60</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61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62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63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64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65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66</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67</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68</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69</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70</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71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72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73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74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75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76</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lastRenderedPageBreak/>
              <w:t>77</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78</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79</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80</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81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82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83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84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85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86</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87</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88</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89</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90</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91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92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93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94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95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96</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97</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98</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99</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100</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101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102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103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104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105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106</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107</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108</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109</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110</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111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112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113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114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115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116</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117</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lastRenderedPageBreak/>
              <w:t>118</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119</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120</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121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122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123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124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125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126</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127</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128</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129</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130</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131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132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133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134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135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136</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137</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138</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139</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140</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141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142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143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144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145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146</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147</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148</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149</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150</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151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152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153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154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155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156</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157</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158</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lastRenderedPageBreak/>
              <w:t>159</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160</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161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162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163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164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165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166</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167</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168</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169</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170</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171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172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173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174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175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176</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177</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178</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179</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180</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181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182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183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184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185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3</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186</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187</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188</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r>
      <w:tr w:rsidR="00FA1AC4">
        <w:trPr>
          <w:trHeight w:val="300"/>
        </w:trPr>
        <w:tc>
          <w:tcPr>
            <w:tcW w:w="5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b/>
                <w:bCs/>
                <w:color w:val="000000"/>
                <w:sz w:val="22"/>
                <w:szCs w:val="22"/>
                <w:lang w:val="en-US"/>
              </w:rPr>
            </w:pPr>
            <w:r>
              <w:rPr>
                <w:rFonts w:ascii="Calibri" w:eastAsia="Times New Roman" w:hAnsi="Calibri" w:cs="Calibri"/>
                <w:b/>
                <w:bCs/>
                <w:color w:val="000000"/>
                <w:sz w:val="22"/>
                <w:szCs w:val="22"/>
                <w:lang w:val="en-US"/>
              </w:rPr>
              <w:t>189</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1</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62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0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5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58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74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5</w:t>
            </w:r>
          </w:p>
        </w:tc>
        <w:tc>
          <w:tcPr>
            <w:tcW w:w="660" w:type="dxa"/>
            <w:tcBorders>
              <w:top w:val="nil"/>
              <w:left w:val="nil"/>
              <w:bottom w:val="nil"/>
              <w:right w:val="nil"/>
            </w:tcBorders>
            <w:shd w:val="clear" w:color="auto" w:fill="auto"/>
            <w:noWrap/>
            <w:vAlign w:val="bottom"/>
            <w:hideMark/>
          </w:tcPr>
          <w:p w:rsidR="00FA1AC4" w:rsidRDefault="00B11CCA">
            <w:pPr>
              <w:spacing w:line="240" w:lineRule="auto"/>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4</w:t>
            </w:r>
          </w:p>
        </w:tc>
      </w:tr>
    </w:tbl>
    <w:p w:rsidR="00FA1AC4" w:rsidRDefault="00FA1AC4"/>
    <w:p w:rsidR="00FA1AC4" w:rsidRDefault="00FA1AC4">
      <w:pPr>
        <w:spacing w:after="268"/>
        <w:ind w:right="21"/>
      </w:pPr>
    </w:p>
    <w:p w:rsidR="00FA1AC4" w:rsidRDefault="00FA1AC4"/>
    <w:p w:rsidR="00FA1AC4" w:rsidRDefault="00B11CCA">
      <w:r>
        <w:tab/>
      </w:r>
    </w:p>
    <w:p w:rsidR="00FA1AC4" w:rsidRDefault="00FA1AC4">
      <w:pPr>
        <w:autoSpaceDE w:val="0"/>
        <w:autoSpaceDN w:val="0"/>
        <w:adjustRightInd w:val="0"/>
        <w:rPr>
          <w:rFonts w:eastAsia="AdvGulliv-R"/>
          <w:b/>
          <w:bCs/>
        </w:rPr>
      </w:pPr>
    </w:p>
    <w:sectPr w:rsidR="00FA1AC4" w:rsidSect="006547E7">
      <w:pgSz w:w="12240" w:h="15840"/>
      <w:pgMar w:top="1440" w:right="1440" w:bottom="1440" w:left="1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D11" w:rsidRDefault="00E24D11">
      <w:pPr>
        <w:spacing w:line="240" w:lineRule="auto"/>
      </w:pPr>
      <w:r>
        <w:separator/>
      </w:r>
    </w:p>
  </w:endnote>
  <w:endnote w:type="continuationSeparator" w:id="0">
    <w:p w:rsidR="00E24D11" w:rsidRDefault="00E24D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Gulliv-R">
    <w:altName w:val="Ezra SIL"/>
    <w:charset w:val="00"/>
    <w:family w:val="roman"/>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0405453"/>
      <w:docPartObj>
        <w:docPartGallery w:val="Page Numbers (Bottom of Page)"/>
        <w:docPartUnique/>
      </w:docPartObj>
    </w:sdtPr>
    <w:sdtEndPr>
      <w:rPr>
        <w:noProof/>
      </w:rPr>
    </w:sdtEndPr>
    <w:sdtContent>
      <w:p w:rsidR="00F54823" w:rsidRDefault="00F54823">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rsidR="00F54823" w:rsidRDefault="00F548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D11" w:rsidRDefault="00E24D11">
      <w:pPr>
        <w:spacing w:line="240" w:lineRule="auto"/>
      </w:pPr>
      <w:r>
        <w:separator/>
      </w:r>
    </w:p>
  </w:footnote>
  <w:footnote w:type="continuationSeparator" w:id="0">
    <w:p w:rsidR="00E24D11" w:rsidRDefault="00E24D1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12EAD8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0000002"/>
    <w:multiLevelType w:val="multilevel"/>
    <w:tmpl w:val="6CFC6580"/>
    <w:lvl w:ilvl="0">
      <w:start w:val="4"/>
      <w:numFmt w:val="decimal"/>
      <w:lvlText w:val="%1."/>
      <w:lvlJc w:val="left"/>
      <w:pPr>
        <w:ind w:left="450" w:hanging="450"/>
      </w:pPr>
      <w:rPr>
        <w:rFonts w:hint="default"/>
      </w:rPr>
    </w:lvl>
    <w:lvl w:ilvl="1">
      <w:start w:val="2"/>
      <w:numFmt w:val="decimal"/>
      <w:lvlText w:val="%1.%2."/>
      <w:lvlJc w:val="left"/>
      <w:pPr>
        <w:ind w:left="4020" w:hanging="720"/>
      </w:pPr>
      <w:rPr>
        <w:rFonts w:hint="default"/>
      </w:rPr>
    </w:lvl>
    <w:lvl w:ilvl="2">
      <w:start w:val="1"/>
      <w:numFmt w:val="decimal"/>
      <w:lvlText w:val="%1.%2.%3."/>
      <w:lvlJc w:val="left"/>
      <w:pPr>
        <w:ind w:left="7320" w:hanging="720"/>
      </w:pPr>
      <w:rPr>
        <w:rFonts w:hint="default"/>
      </w:rPr>
    </w:lvl>
    <w:lvl w:ilvl="3">
      <w:start w:val="1"/>
      <w:numFmt w:val="decimal"/>
      <w:lvlText w:val="%1.%2.%3.%4."/>
      <w:lvlJc w:val="left"/>
      <w:pPr>
        <w:ind w:left="10980" w:hanging="1080"/>
      </w:pPr>
      <w:rPr>
        <w:rFonts w:hint="default"/>
      </w:rPr>
    </w:lvl>
    <w:lvl w:ilvl="4">
      <w:start w:val="1"/>
      <w:numFmt w:val="decimal"/>
      <w:lvlText w:val="%1.%2.%3.%4.%5."/>
      <w:lvlJc w:val="left"/>
      <w:pPr>
        <w:ind w:left="14280" w:hanging="1080"/>
      </w:pPr>
      <w:rPr>
        <w:rFonts w:hint="default"/>
      </w:rPr>
    </w:lvl>
    <w:lvl w:ilvl="5">
      <w:start w:val="1"/>
      <w:numFmt w:val="decimal"/>
      <w:lvlText w:val="%1.%2.%3.%4.%5.%6."/>
      <w:lvlJc w:val="left"/>
      <w:pPr>
        <w:ind w:left="17940" w:hanging="1440"/>
      </w:pPr>
      <w:rPr>
        <w:rFonts w:hint="default"/>
      </w:rPr>
    </w:lvl>
    <w:lvl w:ilvl="6">
      <w:start w:val="1"/>
      <w:numFmt w:val="decimal"/>
      <w:lvlText w:val="%1.%2.%3.%4.%5.%6.%7."/>
      <w:lvlJc w:val="left"/>
      <w:pPr>
        <w:ind w:left="21600" w:hanging="1800"/>
      </w:pPr>
      <w:rPr>
        <w:rFonts w:hint="default"/>
      </w:rPr>
    </w:lvl>
    <w:lvl w:ilvl="7">
      <w:start w:val="1"/>
      <w:numFmt w:val="decimal"/>
      <w:lvlText w:val="%1.%2.%3.%4.%5.%6.%7.%8."/>
      <w:lvlJc w:val="left"/>
      <w:pPr>
        <w:ind w:left="24900" w:hanging="1800"/>
      </w:pPr>
      <w:rPr>
        <w:rFonts w:hint="default"/>
      </w:rPr>
    </w:lvl>
    <w:lvl w:ilvl="8">
      <w:start w:val="1"/>
      <w:numFmt w:val="decimal"/>
      <w:lvlText w:val="%1.%2.%3.%4.%5.%6.%7.%8.%9."/>
      <w:lvlJc w:val="left"/>
      <w:pPr>
        <w:ind w:left="28560" w:hanging="2160"/>
      </w:pPr>
      <w:rPr>
        <w:rFonts w:hint="default"/>
      </w:rPr>
    </w:lvl>
  </w:abstractNum>
  <w:abstractNum w:abstractNumId="2">
    <w:nsid w:val="00000003"/>
    <w:multiLevelType w:val="multilevel"/>
    <w:tmpl w:val="A0520FA8"/>
    <w:lvl w:ilvl="0">
      <w:start w:val="3"/>
      <w:numFmt w:val="decimal"/>
      <w:lvlText w:val="%1."/>
      <w:lvlJc w:val="left"/>
      <w:pPr>
        <w:ind w:left="450" w:hanging="450"/>
      </w:pPr>
      <w:rPr>
        <w:rFonts w:hint="default"/>
      </w:rPr>
    </w:lvl>
    <w:lvl w:ilvl="1">
      <w:start w:val="2"/>
      <w:numFmt w:val="decimal"/>
      <w:lvlText w:val="%1.%2."/>
      <w:lvlJc w:val="left"/>
      <w:pPr>
        <w:ind w:left="4380" w:hanging="720"/>
      </w:pPr>
      <w:rPr>
        <w:rFonts w:hint="default"/>
      </w:rPr>
    </w:lvl>
    <w:lvl w:ilvl="2">
      <w:start w:val="1"/>
      <w:numFmt w:val="decimal"/>
      <w:lvlText w:val="%1.%2.%3."/>
      <w:lvlJc w:val="left"/>
      <w:pPr>
        <w:ind w:left="8040" w:hanging="720"/>
      </w:pPr>
      <w:rPr>
        <w:rFonts w:hint="default"/>
      </w:rPr>
    </w:lvl>
    <w:lvl w:ilvl="3">
      <w:start w:val="1"/>
      <w:numFmt w:val="decimal"/>
      <w:lvlText w:val="%1.%2.%3.%4."/>
      <w:lvlJc w:val="left"/>
      <w:pPr>
        <w:ind w:left="12060" w:hanging="1080"/>
      </w:pPr>
      <w:rPr>
        <w:rFonts w:hint="default"/>
      </w:rPr>
    </w:lvl>
    <w:lvl w:ilvl="4">
      <w:start w:val="1"/>
      <w:numFmt w:val="decimal"/>
      <w:lvlText w:val="%1.%2.%3.%4.%5."/>
      <w:lvlJc w:val="left"/>
      <w:pPr>
        <w:ind w:left="15720" w:hanging="1080"/>
      </w:pPr>
      <w:rPr>
        <w:rFonts w:hint="default"/>
      </w:rPr>
    </w:lvl>
    <w:lvl w:ilvl="5">
      <w:start w:val="1"/>
      <w:numFmt w:val="decimal"/>
      <w:lvlText w:val="%1.%2.%3.%4.%5.%6."/>
      <w:lvlJc w:val="left"/>
      <w:pPr>
        <w:ind w:left="19740" w:hanging="1440"/>
      </w:pPr>
      <w:rPr>
        <w:rFonts w:hint="default"/>
      </w:rPr>
    </w:lvl>
    <w:lvl w:ilvl="6">
      <w:start w:val="1"/>
      <w:numFmt w:val="decimal"/>
      <w:lvlText w:val="%1.%2.%3.%4.%5.%6.%7."/>
      <w:lvlJc w:val="left"/>
      <w:pPr>
        <w:ind w:left="23760" w:hanging="1800"/>
      </w:pPr>
      <w:rPr>
        <w:rFonts w:hint="default"/>
      </w:rPr>
    </w:lvl>
    <w:lvl w:ilvl="7">
      <w:start w:val="1"/>
      <w:numFmt w:val="decimal"/>
      <w:lvlText w:val="%1.%2.%3.%4.%5.%6.%7.%8."/>
      <w:lvlJc w:val="left"/>
      <w:pPr>
        <w:ind w:left="27420" w:hanging="1800"/>
      </w:pPr>
      <w:rPr>
        <w:rFonts w:hint="default"/>
      </w:rPr>
    </w:lvl>
    <w:lvl w:ilvl="8">
      <w:start w:val="1"/>
      <w:numFmt w:val="decimal"/>
      <w:lvlText w:val="%1.%2.%3.%4.%5.%6.%7.%8.%9."/>
      <w:lvlJc w:val="left"/>
      <w:pPr>
        <w:ind w:left="31440" w:hanging="2160"/>
      </w:pPr>
      <w:rPr>
        <w:rFonts w:hint="default"/>
      </w:rPr>
    </w:lvl>
  </w:abstractNum>
  <w:abstractNum w:abstractNumId="3">
    <w:nsid w:val="00000004"/>
    <w:multiLevelType w:val="hybridMultilevel"/>
    <w:tmpl w:val="5810C75A"/>
    <w:lvl w:ilvl="0" w:tplc="88082880">
      <w:start w:val="5"/>
      <w:numFmt w:val="bullet"/>
      <w:lvlText w:val="-"/>
      <w:lvlJc w:val="left"/>
      <w:pPr>
        <w:ind w:left="720" w:hanging="360"/>
      </w:pPr>
      <w:rPr>
        <w:rFonts w:ascii="Times New Roman" w:eastAsia="SimSu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8440F416"/>
    <w:lvl w:ilvl="0" w:tplc="88082880">
      <w:start w:val="5"/>
      <w:numFmt w:val="bullet"/>
      <w:lvlText w:val="-"/>
      <w:lvlJc w:val="left"/>
      <w:pPr>
        <w:ind w:left="720" w:hanging="360"/>
      </w:pPr>
      <w:rPr>
        <w:rFonts w:ascii="Times New Roman" w:eastAsia="SimSu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6"/>
    <w:multiLevelType w:val="multilevel"/>
    <w:tmpl w:val="15666300"/>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0000007"/>
    <w:multiLevelType w:val="hybridMultilevel"/>
    <w:tmpl w:val="0B424AB6"/>
    <w:lvl w:ilvl="0" w:tplc="91EA5706">
      <w:start w:val="1"/>
      <w:numFmt w:val="decimal"/>
      <w:pStyle w:val="Heading2"/>
      <w:lvlText w:val="%1.1"/>
      <w:lvlJc w:val="left"/>
      <w:pPr>
        <w:ind w:left="3660" w:hanging="360"/>
      </w:pPr>
      <w:rPr>
        <w:rFonts w:hint="default"/>
      </w:rPr>
    </w:lvl>
    <w:lvl w:ilvl="1" w:tplc="04090019" w:tentative="1">
      <w:start w:val="1"/>
      <w:numFmt w:val="lowerLetter"/>
      <w:lvlText w:val="%2."/>
      <w:lvlJc w:val="left"/>
      <w:pPr>
        <w:ind w:left="4380" w:hanging="360"/>
      </w:pPr>
    </w:lvl>
    <w:lvl w:ilvl="2" w:tplc="0409001B" w:tentative="1">
      <w:start w:val="1"/>
      <w:numFmt w:val="lowerRoman"/>
      <w:lvlText w:val="%3."/>
      <w:lvlJc w:val="right"/>
      <w:pPr>
        <w:ind w:left="5100" w:hanging="180"/>
      </w:pPr>
    </w:lvl>
    <w:lvl w:ilvl="3" w:tplc="0409000F" w:tentative="1">
      <w:start w:val="1"/>
      <w:numFmt w:val="decimal"/>
      <w:lvlText w:val="%4."/>
      <w:lvlJc w:val="left"/>
      <w:pPr>
        <w:ind w:left="5820" w:hanging="360"/>
      </w:pPr>
    </w:lvl>
    <w:lvl w:ilvl="4" w:tplc="04090019" w:tentative="1">
      <w:start w:val="1"/>
      <w:numFmt w:val="lowerLetter"/>
      <w:lvlText w:val="%5."/>
      <w:lvlJc w:val="left"/>
      <w:pPr>
        <w:ind w:left="6540" w:hanging="360"/>
      </w:pPr>
    </w:lvl>
    <w:lvl w:ilvl="5" w:tplc="0409001B" w:tentative="1">
      <w:start w:val="1"/>
      <w:numFmt w:val="lowerRoman"/>
      <w:lvlText w:val="%6."/>
      <w:lvlJc w:val="right"/>
      <w:pPr>
        <w:ind w:left="7260" w:hanging="180"/>
      </w:pPr>
    </w:lvl>
    <w:lvl w:ilvl="6" w:tplc="0409000F" w:tentative="1">
      <w:start w:val="1"/>
      <w:numFmt w:val="decimal"/>
      <w:lvlText w:val="%7."/>
      <w:lvlJc w:val="left"/>
      <w:pPr>
        <w:ind w:left="7980" w:hanging="360"/>
      </w:pPr>
    </w:lvl>
    <w:lvl w:ilvl="7" w:tplc="04090019" w:tentative="1">
      <w:start w:val="1"/>
      <w:numFmt w:val="lowerLetter"/>
      <w:lvlText w:val="%8."/>
      <w:lvlJc w:val="left"/>
      <w:pPr>
        <w:ind w:left="8700" w:hanging="360"/>
      </w:pPr>
    </w:lvl>
    <w:lvl w:ilvl="8" w:tplc="0409001B" w:tentative="1">
      <w:start w:val="1"/>
      <w:numFmt w:val="lowerRoman"/>
      <w:lvlText w:val="%9."/>
      <w:lvlJc w:val="right"/>
      <w:pPr>
        <w:ind w:left="9420" w:hanging="180"/>
      </w:pPr>
    </w:lvl>
  </w:abstractNum>
  <w:abstractNum w:abstractNumId="7">
    <w:nsid w:val="00000008"/>
    <w:multiLevelType w:val="hybridMultilevel"/>
    <w:tmpl w:val="21AAF77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0000009"/>
    <w:multiLevelType w:val="multilevel"/>
    <w:tmpl w:val="06E60C14"/>
    <w:lvl w:ilvl="0">
      <w:start w:val="1"/>
      <w:numFmt w:val="decimal"/>
      <w:lvlText w:val="%1."/>
      <w:lvlJc w:val="left"/>
      <w:pPr>
        <w:ind w:left="450" w:hanging="450"/>
      </w:pPr>
      <w:rPr>
        <w:rFonts w:hint="default"/>
      </w:rPr>
    </w:lvl>
    <w:lvl w:ilvl="1">
      <w:start w:val="2"/>
      <w:numFmt w:val="decimal"/>
      <w:lvlText w:val="%1.%2."/>
      <w:lvlJc w:val="left"/>
      <w:pPr>
        <w:ind w:left="4020" w:hanging="720"/>
      </w:pPr>
      <w:rPr>
        <w:rFonts w:hint="default"/>
      </w:rPr>
    </w:lvl>
    <w:lvl w:ilvl="2">
      <w:start w:val="1"/>
      <w:numFmt w:val="decimal"/>
      <w:lvlText w:val="%1.%2.%3."/>
      <w:lvlJc w:val="left"/>
      <w:pPr>
        <w:ind w:left="7320" w:hanging="720"/>
      </w:pPr>
      <w:rPr>
        <w:rFonts w:hint="default"/>
      </w:rPr>
    </w:lvl>
    <w:lvl w:ilvl="3">
      <w:start w:val="1"/>
      <w:numFmt w:val="decimal"/>
      <w:lvlText w:val="%1.%2.%3.%4."/>
      <w:lvlJc w:val="left"/>
      <w:pPr>
        <w:ind w:left="10980" w:hanging="1080"/>
      </w:pPr>
      <w:rPr>
        <w:rFonts w:hint="default"/>
      </w:rPr>
    </w:lvl>
    <w:lvl w:ilvl="4">
      <w:start w:val="1"/>
      <w:numFmt w:val="decimal"/>
      <w:lvlText w:val="%1.%2.%3.%4.%5."/>
      <w:lvlJc w:val="left"/>
      <w:pPr>
        <w:ind w:left="14280" w:hanging="1080"/>
      </w:pPr>
      <w:rPr>
        <w:rFonts w:hint="default"/>
      </w:rPr>
    </w:lvl>
    <w:lvl w:ilvl="5">
      <w:start w:val="1"/>
      <w:numFmt w:val="decimal"/>
      <w:lvlText w:val="%1.%2.%3.%4.%5.%6."/>
      <w:lvlJc w:val="left"/>
      <w:pPr>
        <w:ind w:left="17940" w:hanging="1440"/>
      </w:pPr>
      <w:rPr>
        <w:rFonts w:hint="default"/>
      </w:rPr>
    </w:lvl>
    <w:lvl w:ilvl="6">
      <w:start w:val="1"/>
      <w:numFmt w:val="decimal"/>
      <w:lvlText w:val="%1.%2.%3.%4.%5.%6.%7."/>
      <w:lvlJc w:val="left"/>
      <w:pPr>
        <w:ind w:left="21600" w:hanging="1800"/>
      </w:pPr>
      <w:rPr>
        <w:rFonts w:hint="default"/>
      </w:rPr>
    </w:lvl>
    <w:lvl w:ilvl="7">
      <w:start w:val="1"/>
      <w:numFmt w:val="decimal"/>
      <w:lvlText w:val="%1.%2.%3.%4.%5.%6.%7.%8."/>
      <w:lvlJc w:val="left"/>
      <w:pPr>
        <w:ind w:left="24900" w:hanging="1800"/>
      </w:pPr>
      <w:rPr>
        <w:rFonts w:hint="default"/>
      </w:rPr>
    </w:lvl>
    <w:lvl w:ilvl="8">
      <w:start w:val="1"/>
      <w:numFmt w:val="decimal"/>
      <w:lvlText w:val="%1.%2.%3.%4.%5.%6.%7.%8.%9."/>
      <w:lvlJc w:val="left"/>
      <w:pPr>
        <w:ind w:left="28560" w:hanging="2160"/>
      </w:pPr>
      <w:rPr>
        <w:rFonts w:hint="default"/>
      </w:rPr>
    </w:lvl>
  </w:abstractNum>
  <w:abstractNum w:abstractNumId="9">
    <w:nsid w:val="0000000A"/>
    <w:multiLevelType w:val="multilevel"/>
    <w:tmpl w:val="E4A0681A"/>
    <w:lvl w:ilvl="0">
      <w:start w:val="2"/>
      <w:numFmt w:val="decimal"/>
      <w:lvlText w:val="%1"/>
      <w:lvlJc w:val="left"/>
      <w:pPr>
        <w:ind w:left="375" w:hanging="375"/>
      </w:pPr>
      <w:rPr>
        <w:rFonts w:hint="default"/>
        <w:color w:val="auto"/>
      </w:rPr>
    </w:lvl>
    <w:lvl w:ilvl="1">
      <w:start w:val="2"/>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0">
    <w:nsid w:val="0000000B"/>
    <w:multiLevelType w:val="multilevel"/>
    <w:tmpl w:val="B96C1A76"/>
    <w:lvl w:ilvl="0">
      <w:start w:val="4"/>
      <w:numFmt w:val="decimal"/>
      <w:lvlText w:val="%1."/>
      <w:lvlJc w:val="left"/>
      <w:pPr>
        <w:ind w:left="450" w:hanging="450"/>
      </w:pPr>
      <w:rPr>
        <w:rFonts w:eastAsia="SimSun" w:hint="default"/>
      </w:rPr>
    </w:lvl>
    <w:lvl w:ilvl="1">
      <w:start w:val="2"/>
      <w:numFmt w:val="decimal"/>
      <w:lvlText w:val="%1.%2."/>
      <w:lvlJc w:val="left"/>
      <w:pPr>
        <w:ind w:left="4020" w:hanging="720"/>
      </w:pPr>
      <w:rPr>
        <w:rFonts w:eastAsia="SimSun" w:hint="default"/>
      </w:rPr>
    </w:lvl>
    <w:lvl w:ilvl="2">
      <w:start w:val="1"/>
      <w:numFmt w:val="decimal"/>
      <w:lvlText w:val="%1.%2.%3."/>
      <w:lvlJc w:val="left"/>
      <w:pPr>
        <w:ind w:left="7320" w:hanging="720"/>
      </w:pPr>
      <w:rPr>
        <w:rFonts w:eastAsia="SimSun" w:hint="default"/>
      </w:rPr>
    </w:lvl>
    <w:lvl w:ilvl="3">
      <w:start w:val="1"/>
      <w:numFmt w:val="decimal"/>
      <w:lvlText w:val="%1.%2.%3.%4."/>
      <w:lvlJc w:val="left"/>
      <w:pPr>
        <w:ind w:left="10980" w:hanging="1080"/>
      </w:pPr>
      <w:rPr>
        <w:rFonts w:eastAsia="SimSun" w:hint="default"/>
      </w:rPr>
    </w:lvl>
    <w:lvl w:ilvl="4">
      <w:start w:val="1"/>
      <w:numFmt w:val="decimal"/>
      <w:lvlText w:val="%1.%2.%3.%4.%5."/>
      <w:lvlJc w:val="left"/>
      <w:pPr>
        <w:ind w:left="14280" w:hanging="1080"/>
      </w:pPr>
      <w:rPr>
        <w:rFonts w:eastAsia="SimSun" w:hint="default"/>
      </w:rPr>
    </w:lvl>
    <w:lvl w:ilvl="5">
      <w:start w:val="1"/>
      <w:numFmt w:val="decimal"/>
      <w:lvlText w:val="%1.%2.%3.%4.%5.%6."/>
      <w:lvlJc w:val="left"/>
      <w:pPr>
        <w:ind w:left="17940" w:hanging="1440"/>
      </w:pPr>
      <w:rPr>
        <w:rFonts w:eastAsia="SimSun" w:hint="default"/>
      </w:rPr>
    </w:lvl>
    <w:lvl w:ilvl="6">
      <w:start w:val="1"/>
      <w:numFmt w:val="decimal"/>
      <w:lvlText w:val="%1.%2.%3.%4.%5.%6.%7."/>
      <w:lvlJc w:val="left"/>
      <w:pPr>
        <w:ind w:left="21600" w:hanging="1800"/>
      </w:pPr>
      <w:rPr>
        <w:rFonts w:eastAsia="SimSun" w:hint="default"/>
      </w:rPr>
    </w:lvl>
    <w:lvl w:ilvl="7">
      <w:start w:val="1"/>
      <w:numFmt w:val="decimal"/>
      <w:lvlText w:val="%1.%2.%3.%4.%5.%6.%7.%8."/>
      <w:lvlJc w:val="left"/>
      <w:pPr>
        <w:ind w:left="24900" w:hanging="1800"/>
      </w:pPr>
      <w:rPr>
        <w:rFonts w:eastAsia="SimSun" w:hint="default"/>
      </w:rPr>
    </w:lvl>
    <w:lvl w:ilvl="8">
      <w:start w:val="1"/>
      <w:numFmt w:val="decimal"/>
      <w:lvlText w:val="%1.%2.%3.%4.%5.%6.%7.%8.%9."/>
      <w:lvlJc w:val="left"/>
      <w:pPr>
        <w:ind w:left="28560" w:hanging="2160"/>
      </w:pPr>
      <w:rPr>
        <w:rFonts w:eastAsia="SimSun" w:hint="default"/>
      </w:rPr>
    </w:lvl>
  </w:abstractNum>
  <w:abstractNum w:abstractNumId="11">
    <w:nsid w:val="0000000C"/>
    <w:multiLevelType w:val="singleLevel"/>
    <w:tmpl w:val="6A3CE4A0"/>
    <w:lvl w:ilvl="0">
      <w:start w:val="1"/>
      <w:numFmt w:val="bullet"/>
      <w:lvlText w:val="*"/>
      <w:lvlJc w:val="left"/>
    </w:lvl>
  </w:abstractNum>
  <w:abstractNum w:abstractNumId="12">
    <w:nsid w:val="0000000D"/>
    <w:multiLevelType w:val="hybridMultilevel"/>
    <w:tmpl w:val="EC0C1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E"/>
    <w:multiLevelType w:val="hybridMultilevel"/>
    <w:tmpl w:val="DA00F4FE"/>
    <w:lvl w:ilvl="0" w:tplc="7A545C5E">
      <w:start w:val="1"/>
      <w:numFmt w:val="low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F"/>
    <w:multiLevelType w:val="hybridMultilevel"/>
    <w:tmpl w:val="A672D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10"/>
    <w:multiLevelType w:val="multilevel"/>
    <w:tmpl w:val="47947862"/>
    <w:lvl w:ilvl="0">
      <w:start w:val="2"/>
      <w:numFmt w:val="decimal"/>
      <w:lvlText w:val="%1."/>
      <w:lvlJc w:val="left"/>
      <w:pPr>
        <w:ind w:left="450" w:hanging="450"/>
      </w:pPr>
      <w:rPr>
        <w:rFonts w:hint="default"/>
      </w:rPr>
    </w:lvl>
    <w:lvl w:ilvl="1">
      <w:start w:val="3"/>
      <w:numFmt w:val="decimal"/>
      <w:lvlText w:val="%1.%2."/>
      <w:lvlJc w:val="left"/>
      <w:pPr>
        <w:ind w:left="4380" w:hanging="720"/>
      </w:pPr>
      <w:rPr>
        <w:rFonts w:hint="default"/>
      </w:rPr>
    </w:lvl>
    <w:lvl w:ilvl="2">
      <w:start w:val="1"/>
      <w:numFmt w:val="decimal"/>
      <w:lvlText w:val="%1.%2.%3."/>
      <w:lvlJc w:val="left"/>
      <w:pPr>
        <w:ind w:left="8040" w:hanging="720"/>
      </w:pPr>
      <w:rPr>
        <w:rFonts w:hint="default"/>
        <w:i w:val="0"/>
        <w:sz w:val="28"/>
        <w:szCs w:val="28"/>
      </w:rPr>
    </w:lvl>
    <w:lvl w:ilvl="3">
      <w:start w:val="1"/>
      <w:numFmt w:val="decimal"/>
      <w:lvlText w:val="%1.%2.%3.%4."/>
      <w:lvlJc w:val="left"/>
      <w:pPr>
        <w:ind w:left="12060" w:hanging="1080"/>
      </w:pPr>
      <w:rPr>
        <w:rFonts w:hint="default"/>
      </w:rPr>
    </w:lvl>
    <w:lvl w:ilvl="4">
      <w:start w:val="1"/>
      <w:numFmt w:val="decimal"/>
      <w:lvlText w:val="%1.%2.%3.%4.%5."/>
      <w:lvlJc w:val="left"/>
      <w:pPr>
        <w:ind w:left="15720" w:hanging="1080"/>
      </w:pPr>
      <w:rPr>
        <w:rFonts w:hint="default"/>
      </w:rPr>
    </w:lvl>
    <w:lvl w:ilvl="5">
      <w:start w:val="1"/>
      <w:numFmt w:val="decimal"/>
      <w:lvlText w:val="%1.%2.%3.%4.%5.%6."/>
      <w:lvlJc w:val="left"/>
      <w:pPr>
        <w:ind w:left="19740" w:hanging="1440"/>
      </w:pPr>
      <w:rPr>
        <w:rFonts w:hint="default"/>
      </w:rPr>
    </w:lvl>
    <w:lvl w:ilvl="6">
      <w:start w:val="1"/>
      <w:numFmt w:val="decimal"/>
      <w:lvlText w:val="%1.%2.%3.%4.%5.%6.%7."/>
      <w:lvlJc w:val="left"/>
      <w:pPr>
        <w:ind w:left="23760" w:hanging="1800"/>
      </w:pPr>
      <w:rPr>
        <w:rFonts w:hint="default"/>
      </w:rPr>
    </w:lvl>
    <w:lvl w:ilvl="7">
      <w:start w:val="1"/>
      <w:numFmt w:val="decimal"/>
      <w:lvlText w:val="%1.%2.%3.%4.%5.%6.%7.%8."/>
      <w:lvlJc w:val="left"/>
      <w:pPr>
        <w:ind w:left="27420" w:hanging="1800"/>
      </w:pPr>
      <w:rPr>
        <w:rFonts w:hint="default"/>
      </w:rPr>
    </w:lvl>
    <w:lvl w:ilvl="8">
      <w:start w:val="1"/>
      <w:numFmt w:val="decimal"/>
      <w:lvlText w:val="%1.%2.%3.%4.%5.%6.%7.%8.%9."/>
      <w:lvlJc w:val="left"/>
      <w:pPr>
        <w:ind w:left="31440" w:hanging="2160"/>
      </w:pPr>
      <w:rPr>
        <w:rFonts w:hint="default"/>
      </w:rPr>
    </w:lvl>
  </w:abstractNum>
  <w:abstractNum w:abstractNumId="16">
    <w:nsid w:val="00000011"/>
    <w:multiLevelType w:val="multilevel"/>
    <w:tmpl w:val="EE582D04"/>
    <w:lvl w:ilvl="0">
      <w:start w:val="5"/>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00000012"/>
    <w:multiLevelType w:val="singleLevel"/>
    <w:tmpl w:val="D11A73C0"/>
    <w:lvl w:ilvl="0">
      <w:start w:val="1"/>
      <w:numFmt w:val="decimal"/>
      <w:lvlText w:val="%1)"/>
      <w:lvlJc w:val="left"/>
      <w:rPr>
        <w:rFonts w:ascii="Times New Roman" w:hAnsi="Times New Roman" w:cs="Times New Roman" w:hint="default"/>
      </w:rPr>
    </w:lvl>
  </w:abstractNum>
  <w:abstractNum w:abstractNumId="18">
    <w:nsid w:val="00000013"/>
    <w:multiLevelType w:val="multilevel"/>
    <w:tmpl w:val="AAE6AAF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00000014"/>
    <w:multiLevelType w:val="multilevel"/>
    <w:tmpl w:val="C5E0A2F8"/>
    <w:lvl w:ilvl="0">
      <w:start w:val="4"/>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00000015"/>
    <w:multiLevelType w:val="hybridMultilevel"/>
    <w:tmpl w:val="89CCE5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6"/>
    <w:multiLevelType w:val="hybridMultilevel"/>
    <w:tmpl w:val="D5A81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7"/>
    <w:multiLevelType w:val="singleLevel"/>
    <w:tmpl w:val="353A577C"/>
    <w:lvl w:ilvl="0">
      <w:start w:val="1"/>
      <w:numFmt w:val="decimal"/>
      <w:lvlText w:val="%1)"/>
      <w:lvlJc w:val="left"/>
      <w:rPr>
        <w:rFonts w:ascii="Times New Roman" w:hAnsi="Times New Roman" w:cs="Times New Roman" w:hint="default"/>
        <w:color w:val="auto"/>
      </w:rPr>
    </w:lvl>
  </w:abstractNum>
  <w:abstractNum w:abstractNumId="23">
    <w:nsid w:val="00000018"/>
    <w:multiLevelType w:val="hybridMultilevel"/>
    <w:tmpl w:val="CD4C99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19"/>
    <w:multiLevelType w:val="multilevel"/>
    <w:tmpl w:val="38D0EEA0"/>
    <w:lvl w:ilvl="0">
      <w:start w:val="4"/>
      <w:numFmt w:val="decimal"/>
      <w:lvlText w:val="%1."/>
      <w:lvlJc w:val="left"/>
      <w:pPr>
        <w:ind w:left="675" w:hanging="675"/>
      </w:pPr>
      <w:rPr>
        <w:rFonts w:hint="default"/>
      </w:rPr>
    </w:lvl>
    <w:lvl w:ilvl="1">
      <w:start w:val="2"/>
      <w:numFmt w:val="decimal"/>
      <w:lvlText w:val="%1.%2."/>
      <w:lvlJc w:val="left"/>
      <w:pPr>
        <w:ind w:left="2370" w:hanging="720"/>
      </w:pPr>
      <w:rPr>
        <w:rFonts w:hint="default"/>
      </w:rPr>
    </w:lvl>
    <w:lvl w:ilvl="2">
      <w:start w:val="3"/>
      <w:numFmt w:val="decimal"/>
      <w:lvlText w:val="%1.%2.%3."/>
      <w:lvlJc w:val="left"/>
      <w:pPr>
        <w:ind w:left="4020" w:hanging="720"/>
      </w:pPr>
      <w:rPr>
        <w:rFonts w:hint="default"/>
      </w:rPr>
    </w:lvl>
    <w:lvl w:ilvl="3">
      <w:start w:val="1"/>
      <w:numFmt w:val="decimal"/>
      <w:lvlText w:val="%1.%2.%3.%4."/>
      <w:lvlJc w:val="left"/>
      <w:pPr>
        <w:ind w:left="6030" w:hanging="1080"/>
      </w:pPr>
      <w:rPr>
        <w:rFonts w:hint="default"/>
      </w:rPr>
    </w:lvl>
    <w:lvl w:ilvl="4">
      <w:start w:val="1"/>
      <w:numFmt w:val="decimal"/>
      <w:lvlText w:val="%1.%2.%3.%4.%5."/>
      <w:lvlJc w:val="left"/>
      <w:pPr>
        <w:ind w:left="7680" w:hanging="1080"/>
      </w:pPr>
      <w:rPr>
        <w:rFonts w:hint="default"/>
      </w:rPr>
    </w:lvl>
    <w:lvl w:ilvl="5">
      <w:start w:val="1"/>
      <w:numFmt w:val="decimal"/>
      <w:lvlText w:val="%1.%2.%3.%4.%5.%6."/>
      <w:lvlJc w:val="left"/>
      <w:pPr>
        <w:ind w:left="9690" w:hanging="1440"/>
      </w:pPr>
      <w:rPr>
        <w:rFonts w:hint="default"/>
      </w:rPr>
    </w:lvl>
    <w:lvl w:ilvl="6">
      <w:start w:val="1"/>
      <w:numFmt w:val="decimal"/>
      <w:lvlText w:val="%1.%2.%3.%4.%5.%6.%7."/>
      <w:lvlJc w:val="left"/>
      <w:pPr>
        <w:ind w:left="11700" w:hanging="1800"/>
      </w:pPr>
      <w:rPr>
        <w:rFonts w:hint="default"/>
      </w:rPr>
    </w:lvl>
    <w:lvl w:ilvl="7">
      <w:start w:val="1"/>
      <w:numFmt w:val="decimal"/>
      <w:lvlText w:val="%1.%2.%3.%4.%5.%6.%7.%8."/>
      <w:lvlJc w:val="left"/>
      <w:pPr>
        <w:ind w:left="13350" w:hanging="1800"/>
      </w:pPr>
      <w:rPr>
        <w:rFonts w:hint="default"/>
      </w:rPr>
    </w:lvl>
    <w:lvl w:ilvl="8">
      <w:start w:val="1"/>
      <w:numFmt w:val="decimal"/>
      <w:lvlText w:val="%1.%2.%3.%4.%5.%6.%7.%8.%9."/>
      <w:lvlJc w:val="left"/>
      <w:pPr>
        <w:ind w:left="15360" w:hanging="2160"/>
      </w:pPr>
      <w:rPr>
        <w:rFonts w:hint="default"/>
      </w:rPr>
    </w:lvl>
  </w:abstractNum>
  <w:abstractNum w:abstractNumId="25">
    <w:nsid w:val="70077E1B"/>
    <w:multiLevelType w:val="multilevel"/>
    <w:tmpl w:val="BDC0FCC0"/>
    <w:lvl w:ilvl="0">
      <w:start w:val="4"/>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1"/>
  </w:num>
  <w:num w:numId="2">
    <w:abstractNumId w:val="6"/>
  </w:num>
  <w:num w:numId="3">
    <w:abstractNumId w:val="0"/>
  </w:num>
  <w:num w:numId="4">
    <w:abstractNumId w:val="3"/>
  </w:num>
  <w:num w:numId="5">
    <w:abstractNumId w:val="5"/>
  </w:num>
  <w:num w:numId="6">
    <w:abstractNumId w:val="4"/>
  </w:num>
  <w:num w:numId="7">
    <w:abstractNumId w:val="8"/>
  </w:num>
  <w:num w:numId="8">
    <w:abstractNumId w:val="25"/>
  </w:num>
  <w:num w:numId="9">
    <w:abstractNumId w:val="23"/>
  </w:num>
  <w:num w:numId="10">
    <w:abstractNumId w:val="11"/>
    <w:lvlOverride w:ilvl="0">
      <w:lvl w:ilvl="0">
        <w:start w:val="1"/>
        <w:numFmt w:val="bullet"/>
        <w:lvlText w:val=""/>
        <w:lvlJc w:val="left"/>
        <w:rPr>
          <w:rFonts w:ascii="Symbol" w:hAnsi="Symbol" w:hint="default"/>
        </w:rPr>
      </w:lvl>
    </w:lvlOverride>
  </w:num>
  <w:num w:numId="11">
    <w:abstractNumId w:val="20"/>
  </w:num>
  <w:num w:numId="12">
    <w:abstractNumId w:val="15"/>
  </w:num>
  <w:num w:numId="13">
    <w:abstractNumId w:val="9"/>
  </w:num>
  <w:num w:numId="14">
    <w:abstractNumId w:val="7"/>
  </w:num>
  <w:num w:numId="15">
    <w:abstractNumId w:val="24"/>
  </w:num>
  <w:num w:numId="16">
    <w:abstractNumId w:val="13"/>
  </w:num>
  <w:num w:numId="17">
    <w:abstractNumId w:val="22"/>
  </w:num>
  <w:num w:numId="18">
    <w:abstractNumId w:val="19"/>
  </w:num>
  <w:num w:numId="19">
    <w:abstractNumId w:val="18"/>
  </w:num>
  <w:num w:numId="20">
    <w:abstractNumId w:val="17"/>
  </w:num>
  <w:num w:numId="21">
    <w:abstractNumId w:val="1"/>
  </w:num>
  <w:num w:numId="22">
    <w:abstractNumId w:val="14"/>
  </w:num>
  <w:num w:numId="23">
    <w:abstractNumId w:val="2"/>
  </w:num>
  <w:num w:numId="24">
    <w:abstractNumId w:val="10"/>
  </w:num>
  <w:num w:numId="25">
    <w:abstractNumId w:val="16"/>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AC4"/>
    <w:rsid w:val="00310EF3"/>
    <w:rsid w:val="003E1252"/>
    <w:rsid w:val="006547E7"/>
    <w:rsid w:val="00701BBD"/>
    <w:rsid w:val="00733A35"/>
    <w:rsid w:val="00913F84"/>
    <w:rsid w:val="00A07E8F"/>
    <w:rsid w:val="00B11CCA"/>
    <w:rsid w:val="00DE6369"/>
    <w:rsid w:val="00E24D11"/>
    <w:rsid w:val="00F54823"/>
    <w:rsid w:val="00F81F13"/>
    <w:rsid w:val="00FA1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79558B-6B44-4307-8EE9-DBCD38653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480" w:lineRule="auto"/>
      <w:jc w:val="both"/>
    </w:pPr>
    <w:rPr>
      <w:rFonts w:ascii="Times New Roman" w:eastAsia="SimSun" w:hAnsi="Times New Roman" w:cs="Times New Roman"/>
      <w:sz w:val="24"/>
      <w:szCs w:val="24"/>
      <w:lang w:val="en-GB"/>
    </w:rPr>
  </w:style>
  <w:style w:type="paragraph" w:styleId="Heading1">
    <w:name w:val="heading 1"/>
    <w:basedOn w:val="Normal"/>
    <w:next w:val="Normal"/>
    <w:link w:val="Heading1Char"/>
    <w:uiPriority w:val="9"/>
    <w:qFormat/>
    <w:pPr>
      <w:keepNext/>
      <w:keepLines/>
      <w:spacing w:before="240" w:line="259" w:lineRule="auto"/>
      <w:jc w:val="center"/>
      <w:outlineLvl w:val="0"/>
    </w:pPr>
    <w:rPr>
      <w:rFonts w:cs="SimSun"/>
      <w:b/>
      <w:sz w:val="32"/>
      <w:szCs w:val="32"/>
    </w:rPr>
  </w:style>
  <w:style w:type="paragraph" w:styleId="Heading2">
    <w:name w:val="heading 2"/>
    <w:basedOn w:val="Normal"/>
    <w:next w:val="Normal"/>
    <w:link w:val="Heading2Char"/>
    <w:uiPriority w:val="9"/>
    <w:qFormat/>
    <w:pPr>
      <w:keepNext/>
      <w:numPr>
        <w:numId w:val="2"/>
      </w:numPr>
      <w:outlineLvl w:val="1"/>
    </w:pPr>
    <w:rPr>
      <w:b/>
      <w:bCs/>
      <w:iCs/>
      <w:sz w:val="28"/>
      <w:szCs w:val="28"/>
    </w:rPr>
  </w:style>
  <w:style w:type="paragraph" w:styleId="Heading3">
    <w:name w:val="heading 3"/>
    <w:basedOn w:val="Normal"/>
    <w:next w:val="Normal"/>
    <w:link w:val="Heading3Char"/>
    <w:uiPriority w:val="9"/>
    <w:qFormat/>
    <w:pPr>
      <w:keepNext/>
      <w:keepLines/>
      <w:spacing w:line="360" w:lineRule="auto"/>
      <w:outlineLvl w:val="2"/>
    </w:pPr>
    <w:rPr>
      <w:rFonts w:cs="SimSun"/>
      <w:b/>
      <w:sz w:val="28"/>
    </w:rPr>
  </w:style>
  <w:style w:type="paragraph" w:styleId="Heading4">
    <w:name w:val="heading 4"/>
    <w:basedOn w:val="Normal"/>
    <w:next w:val="Normal"/>
    <w:link w:val="Heading4Char"/>
    <w:uiPriority w:val="9"/>
    <w:qFormat/>
    <w:pPr>
      <w:keepNext/>
      <w:keepLines/>
      <w:spacing w:before="200"/>
      <w:outlineLvl w:val="3"/>
    </w:pPr>
    <w:rPr>
      <w:rFonts w:ascii="Calibri Light" w:hAnsi="Calibri Light" w:cs="SimSun"/>
      <w:b/>
      <w:bCs/>
      <w:i/>
      <w:iCs/>
      <w:color w:val="5B9BD5"/>
    </w:rPr>
  </w:style>
  <w:style w:type="paragraph" w:styleId="Heading8">
    <w:name w:val="heading 8"/>
    <w:basedOn w:val="Normal"/>
    <w:next w:val="Normal"/>
    <w:link w:val="Heading8Char"/>
    <w:uiPriority w:val="9"/>
    <w:qFormat/>
    <w:pPr>
      <w:keepNext/>
      <w:keepLines/>
      <w:spacing w:before="40" w:line="259" w:lineRule="auto"/>
      <w:outlineLvl w:val="7"/>
    </w:pPr>
    <w:rPr>
      <w:rFonts w:ascii="Calibri Light" w:hAnsi="Calibri Light" w:cs="SimSun"/>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5">
    <w:name w:val="15"/>
    <w:basedOn w:val="DefaultParagraphFont"/>
    <w:rPr>
      <w:rFonts w:ascii="Calibri" w:hAnsi="Calibri" w:cs="Calibri" w:hint="default"/>
    </w:rPr>
  </w:style>
  <w:style w:type="character" w:customStyle="1" w:styleId="Heading2Char">
    <w:name w:val="Heading 2 Char"/>
    <w:basedOn w:val="DefaultParagraphFont"/>
    <w:link w:val="Heading2"/>
    <w:uiPriority w:val="9"/>
    <w:rPr>
      <w:rFonts w:ascii="Times New Roman" w:eastAsia="SimSun" w:hAnsi="Times New Roman" w:cs="Times New Roman"/>
      <w:b/>
      <w:bCs/>
      <w:iCs/>
      <w:sz w:val="28"/>
      <w:szCs w:val="28"/>
      <w:lang w:val="en-GB"/>
    </w:rPr>
  </w:style>
  <w:style w:type="paragraph" w:styleId="ListParagraph">
    <w:name w:val="List Paragraph"/>
    <w:basedOn w:val="Normal"/>
    <w:uiPriority w:val="34"/>
    <w:qFormat/>
    <w:pPr>
      <w:ind w:left="720"/>
      <w:contextualSpacing/>
    </w:pPr>
  </w:style>
  <w:style w:type="character" w:customStyle="1" w:styleId="Heading8Char">
    <w:name w:val="Heading 8 Char"/>
    <w:basedOn w:val="DefaultParagraphFont"/>
    <w:link w:val="Heading8"/>
    <w:uiPriority w:val="9"/>
    <w:rPr>
      <w:rFonts w:ascii="Calibri Light" w:eastAsia="SimSun" w:hAnsi="Calibri Light" w:cs="SimSun"/>
      <w:color w:val="272727"/>
      <w:sz w:val="21"/>
      <w:szCs w:val="21"/>
      <w:lang w:val="en-GB"/>
    </w:rPr>
  </w:style>
  <w:style w:type="character" w:customStyle="1" w:styleId="Heading1Char">
    <w:name w:val="Heading 1 Char"/>
    <w:basedOn w:val="DefaultParagraphFont"/>
    <w:link w:val="Heading1"/>
    <w:uiPriority w:val="9"/>
    <w:rPr>
      <w:rFonts w:ascii="Times New Roman" w:eastAsia="SimSun" w:hAnsi="Times New Roman" w:cs="SimSun"/>
      <w:b/>
      <w:sz w:val="32"/>
      <w:szCs w:val="32"/>
      <w:lang w:val="en-GB"/>
    </w:rPr>
  </w:style>
  <w:style w:type="character" w:customStyle="1" w:styleId="Heading3Char">
    <w:name w:val="Heading 3 Char"/>
    <w:basedOn w:val="DefaultParagraphFont"/>
    <w:link w:val="Heading3"/>
    <w:uiPriority w:val="9"/>
    <w:rPr>
      <w:rFonts w:ascii="Times New Roman" w:eastAsia="SimSun" w:hAnsi="Times New Roman" w:cs="SimSun"/>
      <w:b/>
      <w:sz w:val="28"/>
      <w:szCs w:val="24"/>
      <w:lang w:val="en-GB"/>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pPr>
      <w:spacing w:before="100" w:beforeAutospacing="1" w:after="100" w:afterAutospacing="1"/>
    </w:pPr>
    <w:rPr>
      <w:rFonts w:eastAsia="Times New Roman"/>
    </w:rPr>
  </w:style>
  <w:style w:type="paragraph" w:styleId="NoSpacing">
    <w:name w:val="No Spacing"/>
    <w:uiPriority w:val="1"/>
    <w:qFormat/>
    <w:pPr>
      <w:spacing w:after="0" w:line="240" w:lineRule="auto"/>
    </w:pPr>
    <w:rPr>
      <w:rFonts w:eastAsia="SimSun" w:cs="Times New Roman"/>
      <w:sz w:val="24"/>
      <w:szCs w:val="24"/>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eastAsia="SimSun" w:cs="Times New Roman"/>
      <w:sz w:val="24"/>
      <w:szCs w:val="24"/>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eastAsia="SimSun" w:cs="Times New Roman"/>
      <w:sz w:val="24"/>
      <w:szCs w:val="24"/>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lang w:val="en-US"/>
    </w:rPr>
  </w:style>
  <w:style w:type="character" w:customStyle="1" w:styleId="CommentTextChar">
    <w:name w:val="Comment Text Char"/>
    <w:basedOn w:val="DefaultParagraphFont"/>
    <w:link w:val="CommentText"/>
    <w:uiPriority w:val="99"/>
    <w:rPr>
      <w:rFonts w:eastAsia="SimSun" w:cs="Times New Roman"/>
      <w:sz w:val="20"/>
      <w:szCs w:val="20"/>
    </w:rPr>
  </w:style>
  <w:style w:type="paragraph" w:styleId="BalloonText">
    <w:name w:val="Balloon Text"/>
    <w:basedOn w:val="Normal"/>
    <w:link w:val="BalloonTextChar"/>
    <w:uiPriority w:val="99"/>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eastAsia="SimSun" w:hAnsi="Segoe UI" w:cs="Segoe UI"/>
      <w:sz w:val="18"/>
      <w:szCs w:val="18"/>
      <w:lang w:val="en-GB"/>
    </w:rPr>
  </w:style>
  <w:style w:type="table" w:customStyle="1" w:styleId="PlainTable21">
    <w:name w:val="Plain Table 21"/>
    <w:basedOn w:val="TableNormal"/>
    <w:uiPriority w:val="42"/>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4Char">
    <w:name w:val="Heading 4 Char"/>
    <w:basedOn w:val="DefaultParagraphFont"/>
    <w:link w:val="Heading4"/>
    <w:uiPriority w:val="9"/>
    <w:rPr>
      <w:rFonts w:ascii="Calibri Light" w:eastAsia="SimSun" w:hAnsi="Calibri Light" w:cs="SimSun"/>
      <w:b/>
      <w:bCs/>
      <w:i/>
      <w:iCs/>
      <w:color w:val="5B9BD5"/>
      <w:sz w:val="24"/>
      <w:szCs w:val="24"/>
      <w:lang w:val="en-GB"/>
    </w:rPr>
  </w:style>
  <w:style w:type="paragraph" w:styleId="TOCHeading">
    <w:name w:val="TOC Heading"/>
    <w:basedOn w:val="Heading1"/>
    <w:next w:val="Normal"/>
    <w:uiPriority w:val="39"/>
    <w:qFormat/>
    <w:pPr>
      <w:spacing w:before="480" w:line="276" w:lineRule="auto"/>
      <w:jc w:val="left"/>
      <w:outlineLvl w:val="9"/>
    </w:pPr>
    <w:rPr>
      <w:rFonts w:ascii="Calibri Light" w:hAnsi="Calibri Light"/>
      <w:bCs/>
      <w:color w:val="2E74B5"/>
      <w:sz w:val="28"/>
      <w:szCs w:val="28"/>
      <w:lang w:val="en-US" w:eastAsia="ja-JP"/>
    </w:rPr>
  </w:style>
  <w:style w:type="paragraph" w:styleId="TOC1">
    <w:name w:val="toc 1"/>
    <w:basedOn w:val="Normal"/>
    <w:next w:val="Normal"/>
    <w:uiPriority w:val="39"/>
    <w:pPr>
      <w:tabs>
        <w:tab w:val="right" w:leader="dot" w:pos="8630"/>
      </w:tabs>
      <w:spacing w:after="100"/>
    </w:pPr>
    <w:rPr>
      <w:rFonts w:eastAsia="Calibri"/>
      <w:noProof/>
    </w:rPr>
  </w:style>
  <w:style w:type="paragraph" w:styleId="TOC2">
    <w:name w:val="toc 2"/>
    <w:basedOn w:val="Normal"/>
    <w:next w:val="Normal"/>
    <w:uiPriority w:val="39"/>
    <w:pPr>
      <w:spacing w:after="100"/>
      <w:ind w:left="240"/>
    </w:pPr>
  </w:style>
  <w:style w:type="paragraph" w:styleId="TOC3">
    <w:name w:val="toc 3"/>
    <w:basedOn w:val="Normal"/>
    <w:next w:val="Normal"/>
    <w:uiPriority w:val="39"/>
    <w:pPr>
      <w:spacing w:after="100"/>
      <w:ind w:left="480"/>
    </w:pPr>
  </w:style>
  <w:style w:type="character" w:styleId="Hyperlink">
    <w:name w:val="Hyperlink"/>
    <w:basedOn w:val="DefaultParagraphFont"/>
    <w:uiPriority w:val="99"/>
    <w:rPr>
      <w:color w:val="0563C1"/>
      <w:u w:val="single"/>
    </w:rPr>
  </w:style>
  <w:style w:type="paragraph" w:styleId="Caption">
    <w:name w:val="caption"/>
    <w:basedOn w:val="Normal"/>
    <w:next w:val="Normal"/>
    <w:uiPriority w:val="35"/>
    <w:qFormat/>
    <w:pPr>
      <w:spacing w:after="200" w:line="240" w:lineRule="auto"/>
    </w:pPr>
    <w:rPr>
      <w:b/>
      <w:bCs/>
      <w:color w:val="5B9BD5"/>
      <w:sz w:val="18"/>
      <w:szCs w:val="18"/>
    </w:rPr>
  </w:style>
  <w:style w:type="character" w:styleId="FollowedHyperlink">
    <w:name w:val="FollowedHyperlink"/>
    <w:basedOn w:val="DefaultParagraphFont"/>
    <w:uiPriority w:val="99"/>
    <w:rPr>
      <w:color w:val="954F72"/>
      <w:u w:val="single"/>
    </w:rPr>
  </w:style>
  <w:style w:type="paragraph" w:customStyle="1" w:styleId="msonormal0">
    <w:name w:val="msonormal"/>
    <w:basedOn w:val="Normal"/>
    <w:pPr>
      <w:spacing w:before="100" w:beforeAutospacing="1" w:after="100" w:afterAutospacing="1" w:line="240" w:lineRule="auto"/>
      <w:jc w:val="left"/>
    </w:pPr>
    <w:rPr>
      <w:rFonts w:eastAsia="Times New Roman"/>
      <w:lang w:val="en-US"/>
    </w:rPr>
  </w:style>
  <w:style w:type="paragraph" w:customStyle="1" w:styleId="xl63">
    <w:name w:val="xl63"/>
    <w:basedOn w:val="Normal"/>
    <w:pPr>
      <w:spacing w:before="100" w:beforeAutospacing="1" w:after="100" w:afterAutospacing="1" w:line="240" w:lineRule="auto"/>
      <w:jc w:val="left"/>
    </w:pPr>
    <w:rPr>
      <w:rFonts w:eastAsia="Times New Roman"/>
      <w:b/>
      <w:bCs/>
      <w:lang w:val="en-US"/>
    </w:rPr>
  </w:style>
  <w:style w:type="paragraph" w:customStyle="1" w:styleId="xl64">
    <w:name w:val="xl64"/>
    <w:basedOn w:val="Normal"/>
    <w:pPr>
      <w:spacing w:before="100" w:beforeAutospacing="1" w:after="100" w:afterAutospacing="1" w:line="240" w:lineRule="auto"/>
      <w:jc w:val="left"/>
    </w:pPr>
    <w:rPr>
      <w:rFonts w:eastAsia="Times New Roman"/>
      <w:b/>
      <w:bCs/>
      <w:lang w:val="en-US"/>
    </w:rPr>
  </w:style>
  <w:style w:type="paragraph" w:customStyle="1" w:styleId="xl65">
    <w:name w:val="xl65"/>
    <w:basedOn w:val="Normal"/>
    <w:pPr>
      <w:spacing w:before="100" w:beforeAutospacing="1" w:after="100" w:afterAutospacing="1" w:line="240" w:lineRule="auto"/>
      <w:jc w:val="left"/>
    </w:pPr>
    <w:rPr>
      <w:rFonts w:eastAsia="Times New Roman"/>
      <w:b/>
      <w:bCs/>
      <w:lang w:val="en-US"/>
    </w:rPr>
  </w:style>
  <w:style w:type="paragraph" w:customStyle="1" w:styleId="xl66">
    <w:name w:val="xl66"/>
    <w:basedOn w:val="Normal"/>
    <w:pPr>
      <w:spacing w:before="100" w:beforeAutospacing="1" w:after="100" w:afterAutospacing="1" w:line="240" w:lineRule="auto"/>
      <w:jc w:val="left"/>
    </w:pPr>
    <w:rPr>
      <w:rFonts w:eastAsia="Times New Roman"/>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ngxgroup.com/exchange/data/company-profile/?isin=NGAFRIPRUD04&amp;directory=companydirectory" TargetMode="External"/><Relationship Id="rId21" Type="http://schemas.openxmlformats.org/officeDocument/2006/relationships/image" Target="media/image13.png"/><Relationship Id="rId34" Type="http://schemas.openxmlformats.org/officeDocument/2006/relationships/hyperlink" Target="https://ngxgroup.com/exchange/data/company-profile/?isin=NGCUSTODYIN6&amp;directory=companydirectory" TargetMode="External"/><Relationship Id="rId42" Type="http://schemas.openxmlformats.org/officeDocument/2006/relationships/hyperlink" Target="https://ngxgroup.com/exchange/data/company-profile/?isin=NGGUINEAINS0&amp;directory=companydirectory" TargetMode="External"/><Relationship Id="rId47" Type="http://schemas.openxmlformats.org/officeDocument/2006/relationships/hyperlink" Target="https://ngxgroup.com/exchange/data/company-profile/?isin=NGLINKASSUR7&amp;directory=companydirectory" TargetMode="External"/><Relationship Id="rId50" Type="http://schemas.openxmlformats.org/officeDocument/2006/relationships/hyperlink" Target="https://ngxgroup.com/exchange/data/company-profile/?isin=NGNEM0000005&amp;directory=companydirectory" TargetMode="External"/><Relationship Id="rId55" Type="http://schemas.openxmlformats.org/officeDocument/2006/relationships/hyperlink" Target="https://ngxgroup.com/exchange/data/company-profile/?isin=NGPRESTIGE00&amp;directory=companydirectory" TargetMode="External"/><Relationship Id="rId63" Type="http://schemas.openxmlformats.org/officeDocument/2006/relationships/hyperlink" Target="https://ngxgroup.com/exchange/data/company-profile/?isin=NGSTERLNBNK7&amp;directory=companydirectory" TargetMode="External"/><Relationship Id="rId68" Type="http://schemas.openxmlformats.org/officeDocument/2006/relationships/hyperlink" Target="https://ngxgroup.com/exchange/data/company-profile/?isin=NGUCAP000004&amp;directory=companydirectory" TargetMode="External"/><Relationship Id="rId76" Type="http://schemas.openxmlformats.org/officeDocument/2006/relationships/hyperlink" Target="https://ngxgroup.com/exchange/data/company-profile/?isin=NGABCTRANS01&amp;directory=companydirectory" TargetMode="External"/><Relationship Id="rId84" Type="http://schemas.openxmlformats.org/officeDocument/2006/relationships/hyperlink" Target="https://ngxgroup.com/exchange/data/company-profile/?isin=NGJULI000003&amp;directory=companydirectory" TargetMode="External"/><Relationship Id="rId89" Type="http://schemas.openxmlformats.org/officeDocument/2006/relationships/hyperlink" Target="https://ngxgroup.com/exchange/data/company-profile/?isin=NGREDSTAREX9&amp;directory=companydirectory" TargetMode="External"/><Relationship Id="rId97" Type="http://schemas.openxmlformats.org/officeDocument/2006/relationships/hyperlink" Target="https://ngxgroup.com/exchange/data/company-profile/?isin=NGUPL0000008&amp;directory=companydirectory" TargetMode="External"/><Relationship Id="rId7" Type="http://schemas.openxmlformats.org/officeDocument/2006/relationships/endnotes" Target="endnotes.xml"/><Relationship Id="rId71" Type="http://schemas.openxmlformats.org/officeDocument/2006/relationships/hyperlink" Target="https://ngxgroup.com/exchange/data/company-profile/?isin=NGUNITYKAP04&amp;directory=companydirectory" TargetMode="External"/><Relationship Id="rId92" Type="http://schemas.openxmlformats.org/officeDocument/2006/relationships/hyperlink" Target="https://ngxgroup.com/exchange/data/company-profile/?isin=NGTANTALIZE1&amp;directory=companydirectory"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ngxgroup.com/exchange/data/company-profile/?isin=NGASOSAVING3&amp;directory=companydirectory" TargetMode="External"/><Relationship Id="rId11" Type="http://schemas.openxmlformats.org/officeDocument/2006/relationships/image" Target="media/image3.png"/><Relationship Id="rId24" Type="http://schemas.openxmlformats.org/officeDocument/2006/relationships/hyperlink" Target="https://ngxgroup.com/exchange/data/company-profile/?isin=NGABBEY00001&amp;directory=companydirectory" TargetMode="External"/><Relationship Id="rId32" Type="http://schemas.openxmlformats.org/officeDocument/2006/relationships/hyperlink" Target="https://ngxgroup.com/exchange/data/company-profile/?isin=NGCORNERST03&amp;directory=companydirectory" TargetMode="External"/><Relationship Id="rId37" Type="http://schemas.openxmlformats.org/officeDocument/2006/relationships/hyperlink" Target="https://ngxgroup.com/exchange/data/company-profile/?isin=NGFBNH000009&amp;directory=companydirectory" TargetMode="External"/><Relationship Id="rId40" Type="http://schemas.openxmlformats.org/officeDocument/2006/relationships/hyperlink" Target="https://ngxgroup.com/exchange/data/company-profile/?isin=NGGOLDINSUR8&amp;directory=companydirectory" TargetMode="External"/><Relationship Id="rId45" Type="http://schemas.openxmlformats.org/officeDocument/2006/relationships/hyperlink" Target="https://ngxgroup.com/exchange/data/company-profile/?isin=NGJAIZBANK05&amp;directory=companydirectory" TargetMode="External"/><Relationship Id="rId53" Type="http://schemas.openxmlformats.org/officeDocument/2006/relationships/hyperlink" Target="https://ngxgroup.com/exchange/data/company-profile/?isin=NGNGXGROUP09&amp;directory=companydirectory" TargetMode="External"/><Relationship Id="rId58" Type="http://schemas.openxmlformats.org/officeDocument/2006/relationships/hyperlink" Target="https://ngxgroup.com/exchange/data/company-profile/?isin=NGROYALEX007&amp;directory=companydirectory" TargetMode="External"/><Relationship Id="rId66" Type="http://schemas.openxmlformats.org/officeDocument/2006/relationships/hyperlink" Target="https://ngxgroup.com/exchange/data/company-profile/?isin=NGUNHOMES007&amp;directory=companydirectory" TargetMode="External"/><Relationship Id="rId74" Type="http://schemas.openxmlformats.org/officeDocument/2006/relationships/hyperlink" Target="https://ngxgroup.com/exchange/data/company-profile/?isin=NGACADEMY008&amp;directory=companydirectory" TargetMode="External"/><Relationship Id="rId79" Type="http://schemas.openxmlformats.org/officeDocument/2006/relationships/hyperlink" Target="https://ngxgroup.com/exchange/data/company-profile/?isin=NGCAVERTON07&amp;directory=companydirectory" TargetMode="External"/><Relationship Id="rId87" Type="http://schemas.openxmlformats.org/officeDocument/2006/relationships/hyperlink" Target="https://ngxgroup.com/exchange/data/company-profile/?isin=NGNAHCO00008&amp;directory=companydirectory" TargetMode="External"/><Relationship Id="rId5" Type="http://schemas.openxmlformats.org/officeDocument/2006/relationships/webSettings" Target="webSettings.xml"/><Relationship Id="rId61" Type="http://schemas.openxmlformats.org/officeDocument/2006/relationships/hyperlink" Target="https://ngxgroup.com/exchange/data/company-profile/?isin=NGSTANBIC003&amp;directory=companydirectory" TargetMode="External"/><Relationship Id="rId82" Type="http://schemas.openxmlformats.org/officeDocument/2006/relationships/hyperlink" Target="https://ngxgroup.com/exchange/data/company-profile/?isin=NGGSPECPLC08&amp;directory=companydirectory" TargetMode="External"/><Relationship Id="rId90" Type="http://schemas.openxmlformats.org/officeDocument/2006/relationships/hyperlink" Target="https://ngxgroup.com/exchange/data/company-profile/?isin=NGNSLTECH006&amp;directory=companydirectory" TargetMode="External"/><Relationship Id="rId95" Type="http://schemas.openxmlformats.org/officeDocument/2006/relationships/hyperlink" Target="https://ngxgroup.com/exchange/data/company-profile/?isin=NGTRANSEXPR4&amp;directory=companydirectory"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ngxgroup.com/exchange/data/company-profile/?isin=NGAFRINSURE4&amp;directory=companydirectory" TargetMode="External"/><Relationship Id="rId30" Type="http://schemas.openxmlformats.org/officeDocument/2006/relationships/hyperlink" Target="https://ngxgroup.com/exchange/data/company-profile/?isin=NGGTASSURE05&amp;directory=companydirectory" TargetMode="External"/><Relationship Id="rId35" Type="http://schemas.openxmlformats.org/officeDocument/2006/relationships/hyperlink" Target="https://ngxgroup.com/exchange/data/company-profile/?isin=NGDEAPCAP009&amp;directory=companydirectory" TargetMode="External"/><Relationship Id="rId43" Type="http://schemas.openxmlformats.org/officeDocument/2006/relationships/hyperlink" Target="https://ngxgroup.com/exchange/data/company-profile/?isin=NGINFINITY01&amp;directory=companydirectory" TargetMode="External"/><Relationship Id="rId48" Type="http://schemas.openxmlformats.org/officeDocument/2006/relationships/hyperlink" Target="https://ngxgroup.com/exchange/data/company-profile/?isin=NGOMOMORBNK6&amp;directory=companydirectory" TargetMode="External"/><Relationship Id="rId56" Type="http://schemas.openxmlformats.org/officeDocument/2006/relationships/hyperlink" Target="https://ngxgroup.com/exchange/data/company-profile/?isin=NGREGALINS04&amp;directory=companydirectory" TargetMode="External"/><Relationship Id="rId64" Type="http://schemas.openxmlformats.org/officeDocument/2006/relationships/hyperlink" Target="https://ngxgroup.com/exchange/data/company-profile/?isin=NGSUNUASSUR6&amp;directory=companydirectory" TargetMode="External"/><Relationship Id="rId69" Type="http://schemas.openxmlformats.org/officeDocument/2006/relationships/hyperlink" Target="https://ngxgroup.com/exchange/data/company-profile/?isin=NGUNITYBANK3&amp;directory=companydirectory" TargetMode="External"/><Relationship Id="rId77" Type="http://schemas.openxmlformats.org/officeDocument/2006/relationships/hyperlink" Target="https://ngxgroup.com/exchange/data/company-profile/?isin=NGCILEASING2&amp;directory=companydirectory" TargetMode="External"/><Relationship Id="rId8" Type="http://schemas.openxmlformats.org/officeDocument/2006/relationships/image" Target="media/image1.png"/><Relationship Id="rId51" Type="http://schemas.openxmlformats.org/officeDocument/2006/relationships/hyperlink" Target="https://ngxgroup.com/exchange/data/company-profile/?isin=NGNIGERINS04&amp;directory=companydirectory" TargetMode="External"/><Relationship Id="rId72" Type="http://schemas.openxmlformats.org/officeDocument/2006/relationships/hyperlink" Target="https://ngxgroup.com/exchange/data/company-profile/?isin=NGWEMABANK07&amp;directory=companydirectory" TargetMode="External"/><Relationship Id="rId80" Type="http://schemas.openxmlformats.org/officeDocument/2006/relationships/hyperlink" Target="https://ngxgroup.com/exchange/data/company-profile/?isin=NGDAARCOMM01&amp;directory=companydirectory" TargetMode="External"/><Relationship Id="rId85" Type="http://schemas.openxmlformats.org/officeDocument/2006/relationships/hyperlink" Target="https://ngxgroup.com/exchange/data/company-profile/?isin=NGLONGMAN007&amp;directory=companydirectory" TargetMode="External"/><Relationship Id="rId93" Type="http://schemas.openxmlformats.org/officeDocument/2006/relationships/hyperlink" Target="https://ngxgroup.com/exchange/data/company-profile/?isin=NGINITSPLC05&amp;directory=companydirectory"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ngxgroup.com/exchange/data/company-profile/?isin=NGACCESS0005&amp;directory=companydirectory" TargetMode="External"/><Relationship Id="rId33" Type="http://schemas.openxmlformats.org/officeDocument/2006/relationships/hyperlink" Target="https://ngxgroup.com/exchange/data/company-profile/?isin=NGWAPIC00004&amp;directory=companydirectory" TargetMode="External"/><Relationship Id="rId38" Type="http://schemas.openxmlformats.org/officeDocument/2006/relationships/hyperlink" Target="https://ngxgroup.com/exchange/data/company-profile/?isin=NGFCMB000005&amp;directory=companydirectory" TargetMode="External"/><Relationship Id="rId46" Type="http://schemas.openxmlformats.org/officeDocument/2006/relationships/hyperlink" Target="https://ngxgroup.com/exchange/data/company-profile/?isin=NGLASACO0002&amp;directory=companydirectory" TargetMode="External"/><Relationship Id="rId59" Type="http://schemas.openxmlformats.org/officeDocument/2006/relationships/hyperlink" Target="https://ngxgroup.com/exchange/data/company-profile/?isin=NGSOVRENINS5&amp;directory=companydirectory" TargetMode="External"/><Relationship Id="rId67" Type="http://schemas.openxmlformats.org/officeDocument/2006/relationships/hyperlink" Target="https://ngxgroup.com/exchange/data/company-profile/?isin=NGUBA0000001&amp;directory=companydirectory" TargetMode="External"/><Relationship Id="rId20" Type="http://schemas.openxmlformats.org/officeDocument/2006/relationships/image" Target="media/image12.png"/><Relationship Id="rId41" Type="http://schemas.openxmlformats.org/officeDocument/2006/relationships/hyperlink" Target="https://ngxgroup.com/exchange/data/company-profile/?isin=NGGTCO000002&amp;directory=companydirectory" TargetMode="External"/><Relationship Id="rId54" Type="http://schemas.openxmlformats.org/officeDocument/2006/relationships/hyperlink" Target="https://ngxgroup.com/exchange/data/company-profile/?isin=NGNPFMCRFBK0&amp;directory=companydirectory" TargetMode="External"/><Relationship Id="rId62" Type="http://schemas.openxmlformats.org/officeDocument/2006/relationships/hyperlink" Target="https://ngxgroup.com/exchange/data/company-profile/?isin=NGSTDINSURE7&amp;directory=companydirectory" TargetMode="External"/><Relationship Id="rId70" Type="http://schemas.openxmlformats.org/officeDocument/2006/relationships/hyperlink" Target="https://ngxgroup.com/exchange/data/company-profile/?isin=NGUNIVINSUR9&amp;directory=companydirectory" TargetMode="External"/><Relationship Id="rId75" Type="http://schemas.openxmlformats.org/officeDocument/2006/relationships/hyperlink" Target="https://ngxgroup.com/exchange/data/company-profile/?isin=NGAFROMEDIA7&amp;directory=companydirectory" TargetMode="External"/><Relationship Id="rId83" Type="http://schemas.openxmlformats.org/officeDocument/2006/relationships/hyperlink" Target="https://ngxgroup.com/exchange/data/company-profile/?isin=NGIKEJAHOTL7&amp;directory=companydirectory" TargetMode="External"/><Relationship Id="rId88" Type="http://schemas.openxmlformats.org/officeDocument/2006/relationships/hyperlink" Target="https://ngxgroup.com/exchange/data/company-profile/?isin=NGRTBRISCOE9&amp;directory=companydirectory" TargetMode="External"/><Relationship Id="rId91" Type="http://schemas.openxmlformats.org/officeDocument/2006/relationships/hyperlink" Target="https://ngxgroup.com/exchange/data/company-profile/?isin=NGSKYAVN0003&amp;directory=companydirectory" TargetMode="External"/><Relationship Id="rId96" Type="http://schemas.openxmlformats.org/officeDocument/2006/relationships/hyperlink" Target="https://ngxgroup.com/exchange/data/company-profile/?isin=NGTRANSHOTL1&amp;directory=companydirecto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ngxgroup.com/exchange/data/company-profile/?isin=NGAIICO00006&amp;directory=companydirectory" TargetMode="External"/><Relationship Id="rId36" Type="http://schemas.openxmlformats.org/officeDocument/2006/relationships/hyperlink" Target="https://ngxgroup.com/exchange/data/company-profile/?isin=TG0000000132&amp;directory=companydirectory" TargetMode="External"/><Relationship Id="rId49" Type="http://schemas.openxmlformats.org/officeDocument/2006/relationships/hyperlink" Target="https://ngxgroup.com/exchange/data/company-profile/?isin=NGMBENEFT000&amp;directory=companydirectory" TargetMode="External"/><Relationship Id="rId57" Type="http://schemas.openxmlformats.org/officeDocument/2006/relationships/hyperlink" Target="https://ngxgroup.com/exchange/data/company-profile/?isin=NGRESORTSAL1&amp;directory=companydirectory" TargetMode="External"/><Relationship Id="rId10" Type="http://schemas.openxmlformats.org/officeDocument/2006/relationships/image" Target="media/image2.png"/><Relationship Id="rId31" Type="http://schemas.openxmlformats.org/officeDocument/2006/relationships/hyperlink" Target="https://ngxgroup.com/exchange/data/company-profile/?isin=NGHMARKINS04&amp;directory=companydirectory" TargetMode="External"/><Relationship Id="rId44" Type="http://schemas.openxmlformats.org/officeDocument/2006/relationships/hyperlink" Target="https://ngxgroup.com/exchange/data/company-profile/?isin=NGINTENEGIN5&amp;directory=companydirectory" TargetMode="External"/><Relationship Id="rId52" Type="http://schemas.openxmlformats.org/officeDocument/2006/relationships/hyperlink" Target="https://ngxgroup.com/exchange/data/company-profile/?isin=NGNESF000003&amp;directory=companydirectory" TargetMode="External"/><Relationship Id="rId60" Type="http://schemas.openxmlformats.org/officeDocument/2006/relationships/hyperlink" Target="https://ngxgroup.com/exchange/data/company-profile/?isin=NGSTACO00002&amp;directory=companydirectory" TargetMode="External"/><Relationship Id="rId65" Type="http://schemas.openxmlformats.org/officeDocument/2006/relationships/hyperlink" Target="https://ngxgroup.com/exchange/data/company-profile/?isin=NGUBN0000004&amp;directory=companydirectory" TargetMode="External"/><Relationship Id="rId73" Type="http://schemas.openxmlformats.org/officeDocument/2006/relationships/hyperlink" Target="https://ngxgroup.com/exchange/data/company-profile/?isin=NGZENITHBNK9&amp;directory=companydirectory" TargetMode="External"/><Relationship Id="rId78" Type="http://schemas.openxmlformats.org/officeDocument/2006/relationships/hyperlink" Target="https://ngxgroup.com/exchange/data/company-profile/?isin=NGCAPHOTEL09&amp;directory=companydirectory" TargetMode="External"/><Relationship Id="rId81" Type="http://schemas.openxmlformats.org/officeDocument/2006/relationships/hyperlink" Target="https://ngxgroup.com/exchange/data/company-profile/?isin=NGINTERLINK3&amp;directory=companydirectory" TargetMode="External"/><Relationship Id="rId86" Type="http://schemas.openxmlformats.org/officeDocument/2006/relationships/hyperlink" Target="https://ngxgroup.com/exchange/data/company-profile/?isin=NGMEDVIEW007&amp;directory=companydirectory" TargetMode="External"/><Relationship Id="rId94" Type="http://schemas.openxmlformats.org/officeDocument/2006/relationships/hyperlink" Target="https://ngxgroup.com/exchange/data/company-profile/?isin=NGTOURIST009&amp;directory=companydirectory"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ngxgroup.com/exchange/data/company-profile/?isin=NGFIDELITYB5&amp;directory=companydirec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85350-854C-49AD-BDB9-DA95B0831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134</Pages>
  <Words>56949</Words>
  <Characters>333156</Characters>
  <Application>Microsoft Office Word</Application>
  <DocSecurity>0</DocSecurity>
  <Lines>12813</Lines>
  <Paragraphs>7360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tunde.intel@gmail.com</cp:lastModifiedBy>
  <cp:revision>11</cp:revision>
  <cp:lastPrinted>2022-09-22T14:30:00Z</cp:lastPrinted>
  <dcterms:created xsi:type="dcterms:W3CDTF">2022-08-26T05:34:00Z</dcterms:created>
  <dcterms:modified xsi:type="dcterms:W3CDTF">2022-09-22T14:40:00Z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1a2df8bc-da32-3823-9684-b451eb6a4cab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ICV">
    <vt:lpwstr>fd65e9fd5c75413bbbf6abca05d986ad</vt:lpwstr>
  </property>
  <property fmtid="{D5CDD505-2E9C-101B-9397-08002B2CF9AE}" pid="26" name="GrammarlyDocumentId">
    <vt:lpwstr>ffdc29014db67c44b9f80520f2b7f0d6177ef1f6973a81a63ecd07a5383eb575</vt:lpwstr>
  </property>
</Properties>
</file>