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3B" w:rsidRPr="005452B3" w:rsidRDefault="00AA293B" w:rsidP="005D213C">
      <w:pPr>
        <w:tabs>
          <w:tab w:val="left" w:pos="0"/>
          <w:tab w:val="left" w:pos="7200"/>
        </w:tabs>
        <w:spacing w:after="0" w:line="240" w:lineRule="auto"/>
        <w:jc w:val="both"/>
        <w:rPr>
          <w:rFonts w:ascii="Arial" w:hAnsi="Arial" w:cs="Arial"/>
          <w:b/>
          <w:sz w:val="24"/>
          <w:szCs w:val="24"/>
        </w:rPr>
      </w:pPr>
    </w:p>
    <w:p w:rsidR="00D73575" w:rsidRPr="005452B3" w:rsidRDefault="00D73575" w:rsidP="005D213C">
      <w:pPr>
        <w:tabs>
          <w:tab w:val="left" w:pos="0"/>
          <w:tab w:val="left" w:pos="7200"/>
        </w:tabs>
        <w:spacing w:after="0" w:line="240" w:lineRule="auto"/>
        <w:jc w:val="both"/>
        <w:rPr>
          <w:rFonts w:ascii="Arial" w:hAnsi="Arial" w:cs="Arial"/>
          <w:b/>
          <w:bCs/>
          <w:sz w:val="32"/>
          <w:szCs w:val="32"/>
        </w:rPr>
      </w:pPr>
      <w:r w:rsidRPr="005452B3">
        <w:rPr>
          <w:rFonts w:ascii="Arial" w:hAnsi="Arial" w:cs="Arial"/>
          <w:b/>
          <w:sz w:val="32"/>
          <w:szCs w:val="32"/>
        </w:rPr>
        <w:t>Interest Rate and Econo</w:t>
      </w:r>
      <w:r w:rsidR="005452B3">
        <w:rPr>
          <w:rFonts w:ascii="Arial" w:hAnsi="Arial" w:cs="Arial"/>
          <w:b/>
          <w:sz w:val="32"/>
          <w:szCs w:val="32"/>
        </w:rPr>
        <w:t>mic Growth: The Case of Nigeria</w:t>
      </w:r>
    </w:p>
    <w:p w:rsidR="00D73575" w:rsidRPr="005452B3" w:rsidRDefault="00D73575" w:rsidP="005D213C">
      <w:pPr>
        <w:tabs>
          <w:tab w:val="left" w:pos="0"/>
          <w:tab w:val="left" w:pos="7200"/>
        </w:tabs>
        <w:spacing w:after="0" w:line="240" w:lineRule="auto"/>
        <w:jc w:val="both"/>
        <w:rPr>
          <w:rFonts w:ascii="Arial" w:hAnsi="Arial" w:cs="Arial"/>
          <w:bCs/>
          <w:sz w:val="24"/>
          <w:szCs w:val="24"/>
        </w:rPr>
      </w:pPr>
    </w:p>
    <w:p w:rsidR="005452B3" w:rsidRDefault="00D73575" w:rsidP="005521C2">
      <w:pPr>
        <w:tabs>
          <w:tab w:val="left" w:pos="0"/>
          <w:tab w:val="left" w:pos="7200"/>
        </w:tabs>
        <w:spacing w:after="0" w:line="240" w:lineRule="auto"/>
        <w:jc w:val="center"/>
        <w:rPr>
          <w:rFonts w:ascii="Arial" w:hAnsi="Arial" w:cs="Arial"/>
          <w:bCs/>
          <w:sz w:val="28"/>
          <w:szCs w:val="28"/>
        </w:rPr>
      </w:pPr>
      <w:r w:rsidRPr="005452B3">
        <w:rPr>
          <w:rFonts w:ascii="Arial" w:hAnsi="Arial" w:cs="Arial"/>
          <w:bCs/>
          <w:sz w:val="28"/>
          <w:szCs w:val="28"/>
        </w:rPr>
        <w:t xml:space="preserve">Samuel </w:t>
      </w:r>
      <w:proofErr w:type="spellStart"/>
      <w:r w:rsidRPr="005452B3">
        <w:rPr>
          <w:rFonts w:ascii="Arial" w:hAnsi="Arial" w:cs="Arial"/>
          <w:bCs/>
          <w:sz w:val="28"/>
          <w:szCs w:val="28"/>
        </w:rPr>
        <w:t>A</w:t>
      </w:r>
      <w:r w:rsidR="00D56F1F" w:rsidRPr="005452B3">
        <w:rPr>
          <w:rFonts w:ascii="Arial" w:hAnsi="Arial" w:cs="Arial"/>
          <w:bCs/>
          <w:sz w:val="28"/>
          <w:szCs w:val="28"/>
        </w:rPr>
        <w:t>biodun</w:t>
      </w:r>
      <w:proofErr w:type="spellEnd"/>
      <w:r w:rsidR="005D213C">
        <w:rPr>
          <w:rFonts w:ascii="Arial" w:hAnsi="Arial" w:cs="Arial"/>
          <w:bCs/>
          <w:sz w:val="28"/>
          <w:szCs w:val="28"/>
        </w:rPr>
        <w:t xml:space="preserve"> </w:t>
      </w:r>
      <w:proofErr w:type="spellStart"/>
      <w:r w:rsidR="005D213C" w:rsidRPr="005452B3">
        <w:rPr>
          <w:rFonts w:ascii="Arial" w:hAnsi="Arial" w:cs="Arial"/>
          <w:bCs/>
          <w:sz w:val="28"/>
          <w:szCs w:val="28"/>
        </w:rPr>
        <w:t>Ajayi</w:t>
      </w:r>
      <w:proofErr w:type="spellEnd"/>
      <w:r w:rsidR="005D213C" w:rsidRPr="005452B3">
        <w:rPr>
          <w:rStyle w:val="FootnoteReference"/>
          <w:rFonts w:ascii="Arial" w:hAnsi="Arial" w:cs="Arial"/>
          <w:bCs/>
          <w:sz w:val="28"/>
          <w:szCs w:val="28"/>
        </w:rPr>
        <w:t xml:space="preserve"> </w:t>
      </w:r>
      <w:r w:rsidR="004E2981" w:rsidRPr="005452B3">
        <w:rPr>
          <w:rStyle w:val="FootnoteReference"/>
          <w:rFonts w:ascii="Arial" w:hAnsi="Arial" w:cs="Arial"/>
          <w:bCs/>
          <w:sz w:val="28"/>
          <w:szCs w:val="28"/>
        </w:rPr>
        <w:footnoteReference w:id="1"/>
      </w:r>
      <w:r w:rsidR="0074220F" w:rsidRPr="005452B3">
        <w:rPr>
          <w:rFonts w:ascii="Arial" w:hAnsi="Arial" w:cs="Arial"/>
          <w:bCs/>
          <w:sz w:val="28"/>
          <w:szCs w:val="28"/>
        </w:rPr>
        <w:t xml:space="preserve">, </w:t>
      </w:r>
      <w:proofErr w:type="spellStart"/>
      <w:r w:rsidR="0074220F" w:rsidRPr="00AD328F">
        <w:rPr>
          <w:rFonts w:ascii="Arial" w:hAnsi="Arial" w:cs="Arial"/>
          <w:bCs/>
          <w:color w:val="FF0000"/>
          <w:sz w:val="28"/>
          <w:szCs w:val="28"/>
        </w:rPr>
        <w:t>Olufemi</w:t>
      </w:r>
      <w:proofErr w:type="spellEnd"/>
      <w:r w:rsidR="0074220F" w:rsidRPr="00AD328F">
        <w:rPr>
          <w:rFonts w:ascii="Arial" w:hAnsi="Arial" w:cs="Arial"/>
          <w:bCs/>
          <w:color w:val="FF0000"/>
          <w:sz w:val="28"/>
          <w:szCs w:val="28"/>
        </w:rPr>
        <w:t xml:space="preserve"> A</w:t>
      </w:r>
      <w:r w:rsidR="00D56F1F" w:rsidRPr="00AD328F">
        <w:rPr>
          <w:rFonts w:ascii="Arial" w:hAnsi="Arial" w:cs="Arial"/>
          <w:bCs/>
          <w:color w:val="FF0000"/>
          <w:sz w:val="28"/>
          <w:szCs w:val="28"/>
        </w:rPr>
        <w:t>debayo</w:t>
      </w:r>
      <w:r w:rsidR="00AD328F" w:rsidRPr="00AD328F">
        <w:rPr>
          <w:rFonts w:ascii="Arial" w:hAnsi="Arial" w:cs="Arial"/>
          <w:bCs/>
          <w:color w:val="FF0000"/>
          <w:sz w:val="28"/>
          <w:szCs w:val="28"/>
        </w:rPr>
        <w:t xml:space="preserve"> </w:t>
      </w:r>
      <w:proofErr w:type="gramStart"/>
      <w:r w:rsidR="00AD328F" w:rsidRPr="00AD328F">
        <w:rPr>
          <w:rFonts w:ascii="Arial" w:hAnsi="Arial" w:cs="Arial"/>
          <w:bCs/>
          <w:color w:val="FF0000"/>
          <w:sz w:val="28"/>
          <w:szCs w:val="28"/>
        </w:rPr>
        <w:t>O</w:t>
      </w:r>
      <w:r w:rsidR="00AD328F" w:rsidRPr="00AD328F">
        <w:rPr>
          <w:rFonts w:ascii="Arial" w:hAnsi="Arial" w:cs="Arial"/>
          <w:bCs/>
          <w:color w:val="FF0000"/>
          <w:sz w:val="28"/>
          <w:szCs w:val="28"/>
          <w:lang w:val="yo-NG"/>
        </w:rPr>
        <w:t>l</w:t>
      </w:r>
      <w:proofErr w:type="spellStart"/>
      <w:r w:rsidR="00AD328F" w:rsidRPr="00AD328F">
        <w:rPr>
          <w:rFonts w:ascii="Arial" w:hAnsi="Arial" w:cs="Arial"/>
          <w:bCs/>
          <w:color w:val="FF0000"/>
          <w:sz w:val="28"/>
          <w:szCs w:val="28"/>
        </w:rPr>
        <w:t>adipo</w:t>
      </w:r>
      <w:proofErr w:type="spellEnd"/>
      <w:r w:rsidR="00BB4319" w:rsidRPr="005452B3">
        <w:rPr>
          <w:rFonts w:ascii="Arial" w:hAnsi="Arial" w:cs="Arial"/>
          <w:bCs/>
          <w:sz w:val="28"/>
          <w:szCs w:val="28"/>
        </w:rPr>
        <w:t xml:space="preserve"> </w:t>
      </w:r>
      <w:proofErr w:type="gramEnd"/>
      <w:r w:rsidR="00C22662" w:rsidRPr="005452B3">
        <w:rPr>
          <w:rStyle w:val="FootnoteReference"/>
          <w:rFonts w:ascii="Arial" w:hAnsi="Arial" w:cs="Arial"/>
          <w:bCs/>
          <w:sz w:val="28"/>
          <w:szCs w:val="28"/>
        </w:rPr>
        <w:footnoteReference w:id="2"/>
      </w:r>
      <w:r w:rsidR="0074220F" w:rsidRPr="005452B3">
        <w:rPr>
          <w:rFonts w:ascii="Arial" w:hAnsi="Arial" w:cs="Arial"/>
          <w:bCs/>
          <w:sz w:val="28"/>
          <w:szCs w:val="28"/>
        </w:rPr>
        <w:t>,</w:t>
      </w:r>
    </w:p>
    <w:p w:rsidR="0074220F" w:rsidRPr="005452B3" w:rsidRDefault="0074220F" w:rsidP="005521C2">
      <w:pPr>
        <w:tabs>
          <w:tab w:val="left" w:pos="0"/>
          <w:tab w:val="left" w:pos="7200"/>
        </w:tabs>
        <w:spacing w:after="0" w:line="240" w:lineRule="auto"/>
        <w:jc w:val="center"/>
        <w:rPr>
          <w:rFonts w:ascii="Arial" w:hAnsi="Arial" w:cs="Arial"/>
          <w:bCs/>
          <w:sz w:val="28"/>
          <w:szCs w:val="28"/>
          <w:vertAlign w:val="superscript"/>
        </w:rPr>
      </w:pPr>
      <w:r w:rsidRPr="005452B3">
        <w:rPr>
          <w:rFonts w:ascii="Arial" w:hAnsi="Arial" w:cs="Arial"/>
          <w:bCs/>
          <w:sz w:val="28"/>
          <w:szCs w:val="28"/>
          <w:lang w:val="yo-NG"/>
        </w:rPr>
        <w:t>L</w:t>
      </w:r>
      <w:proofErr w:type="spellStart"/>
      <w:r w:rsidRPr="005452B3">
        <w:rPr>
          <w:rFonts w:ascii="Arial" w:hAnsi="Arial" w:cs="Arial"/>
          <w:bCs/>
          <w:sz w:val="28"/>
          <w:szCs w:val="28"/>
        </w:rPr>
        <w:t>awrence</w:t>
      </w:r>
      <w:proofErr w:type="spellEnd"/>
      <w:r w:rsidR="00D56F1F" w:rsidRPr="005452B3">
        <w:rPr>
          <w:rFonts w:ascii="Arial" w:hAnsi="Arial" w:cs="Arial"/>
          <w:bCs/>
          <w:sz w:val="28"/>
          <w:szCs w:val="28"/>
        </w:rPr>
        <w:t xml:space="preserve"> </w:t>
      </w:r>
      <w:r w:rsidRPr="005452B3">
        <w:rPr>
          <w:rFonts w:ascii="Arial" w:hAnsi="Arial" w:cs="Arial"/>
          <w:bCs/>
          <w:sz w:val="28"/>
          <w:szCs w:val="28"/>
          <w:lang w:val="yo-NG"/>
        </w:rPr>
        <w:t>B</w:t>
      </w:r>
      <w:proofErr w:type="spellStart"/>
      <w:r w:rsidR="00D56F1F" w:rsidRPr="005452B3">
        <w:rPr>
          <w:rFonts w:ascii="Arial" w:hAnsi="Arial" w:cs="Arial"/>
          <w:bCs/>
          <w:sz w:val="28"/>
          <w:szCs w:val="28"/>
        </w:rPr>
        <w:t>oboye</w:t>
      </w:r>
      <w:proofErr w:type="spellEnd"/>
      <w:r w:rsidR="005D213C" w:rsidRPr="005D213C">
        <w:rPr>
          <w:rFonts w:ascii="Arial" w:hAnsi="Arial" w:cs="Arial"/>
          <w:bCs/>
          <w:sz w:val="28"/>
          <w:szCs w:val="28"/>
          <w:lang w:val="yo-NG"/>
        </w:rPr>
        <w:t xml:space="preserve"> </w:t>
      </w:r>
      <w:r w:rsidR="005D213C">
        <w:rPr>
          <w:rFonts w:ascii="Arial" w:hAnsi="Arial" w:cs="Arial"/>
          <w:bCs/>
          <w:sz w:val="28"/>
          <w:szCs w:val="28"/>
          <w:lang w:val="yo-NG"/>
        </w:rPr>
        <w:t>Ajayi</w:t>
      </w:r>
      <w:r w:rsidR="00C22662" w:rsidRPr="005452B3">
        <w:rPr>
          <w:rStyle w:val="FootnoteReference"/>
          <w:rFonts w:ascii="Arial" w:hAnsi="Arial" w:cs="Arial"/>
          <w:bCs/>
          <w:sz w:val="28"/>
          <w:szCs w:val="28"/>
        </w:rPr>
        <w:footnoteReference w:id="3"/>
      </w:r>
      <w:r w:rsidR="00C22662" w:rsidRPr="005452B3">
        <w:rPr>
          <w:rFonts w:ascii="Arial" w:hAnsi="Arial" w:cs="Arial"/>
          <w:bCs/>
          <w:sz w:val="28"/>
          <w:szCs w:val="28"/>
        </w:rPr>
        <w:t xml:space="preserve"> </w:t>
      </w:r>
      <w:r w:rsidRPr="005452B3">
        <w:rPr>
          <w:rFonts w:ascii="Arial" w:hAnsi="Arial" w:cs="Arial"/>
          <w:bCs/>
          <w:sz w:val="28"/>
          <w:szCs w:val="28"/>
        </w:rPr>
        <w:t xml:space="preserve">and Tony </w:t>
      </w:r>
      <w:proofErr w:type="spellStart"/>
      <w:r w:rsidRPr="005452B3">
        <w:rPr>
          <w:rFonts w:ascii="Arial" w:hAnsi="Arial" w:cs="Arial"/>
          <w:bCs/>
          <w:sz w:val="28"/>
          <w:szCs w:val="28"/>
        </w:rPr>
        <w:t>Ikechukwu</w:t>
      </w:r>
      <w:proofErr w:type="spellEnd"/>
      <w:r w:rsidRPr="005452B3">
        <w:rPr>
          <w:rFonts w:ascii="Arial" w:hAnsi="Arial" w:cs="Arial"/>
          <w:bCs/>
          <w:sz w:val="28"/>
          <w:szCs w:val="28"/>
        </w:rPr>
        <w:t xml:space="preserve"> </w:t>
      </w:r>
      <w:proofErr w:type="spellStart"/>
      <w:r w:rsidRPr="00BC1E54">
        <w:rPr>
          <w:rFonts w:ascii="Arial" w:hAnsi="Arial" w:cs="Arial"/>
          <w:bCs/>
          <w:color w:val="FF0000"/>
          <w:sz w:val="28"/>
          <w:szCs w:val="28"/>
        </w:rPr>
        <w:t>Nwanji</w:t>
      </w:r>
      <w:proofErr w:type="spellEnd"/>
      <w:r w:rsidR="00C22662" w:rsidRPr="005452B3">
        <w:rPr>
          <w:rStyle w:val="FootnoteReference"/>
          <w:rFonts w:ascii="Arial" w:hAnsi="Arial" w:cs="Arial"/>
          <w:bCs/>
          <w:sz w:val="28"/>
          <w:szCs w:val="28"/>
        </w:rPr>
        <w:footnoteReference w:id="4"/>
      </w:r>
    </w:p>
    <w:p w:rsidR="00D73575" w:rsidRPr="005452B3" w:rsidRDefault="00D73575" w:rsidP="005521C2">
      <w:pPr>
        <w:tabs>
          <w:tab w:val="left" w:pos="0"/>
          <w:tab w:val="left" w:pos="7200"/>
        </w:tabs>
        <w:spacing w:after="0" w:line="240" w:lineRule="auto"/>
        <w:jc w:val="center"/>
        <w:rPr>
          <w:rFonts w:ascii="Arial" w:hAnsi="Arial" w:cs="Arial"/>
          <w:bCs/>
          <w:sz w:val="24"/>
          <w:szCs w:val="24"/>
          <w:lang w:val="yo-NG"/>
        </w:rPr>
      </w:pPr>
    </w:p>
    <w:p w:rsidR="00D73575" w:rsidRPr="005452B3" w:rsidRDefault="00D73575" w:rsidP="005D213C">
      <w:pPr>
        <w:tabs>
          <w:tab w:val="left" w:pos="8550"/>
        </w:tabs>
        <w:autoSpaceDE w:val="0"/>
        <w:autoSpaceDN w:val="0"/>
        <w:adjustRightInd w:val="0"/>
        <w:spacing w:after="0" w:line="240" w:lineRule="auto"/>
        <w:ind w:left="2268" w:right="2409"/>
        <w:jc w:val="both"/>
        <w:rPr>
          <w:rFonts w:ascii="Arial" w:hAnsi="Arial" w:cs="Arial"/>
          <w:i/>
          <w:sz w:val="20"/>
          <w:szCs w:val="20"/>
        </w:rPr>
      </w:pPr>
      <w:r w:rsidRPr="005452B3">
        <w:rPr>
          <w:rFonts w:ascii="Arial" w:hAnsi="Arial" w:cs="Arial"/>
          <w:i/>
          <w:sz w:val="20"/>
          <w:szCs w:val="20"/>
        </w:rPr>
        <w:t xml:space="preserve">The focus of this study is on the </w:t>
      </w:r>
      <w:r w:rsidRPr="005452B3">
        <w:rPr>
          <w:rFonts w:ascii="Arial" w:hAnsi="Arial" w:cs="Arial"/>
          <w:i/>
          <w:sz w:val="20"/>
          <w:szCs w:val="20"/>
          <w:lang w:val="yo-NG"/>
        </w:rPr>
        <w:t>assessment o</w:t>
      </w:r>
      <w:r w:rsidR="00572A42" w:rsidRPr="005452B3">
        <w:rPr>
          <w:rFonts w:ascii="Arial" w:hAnsi="Arial" w:cs="Arial"/>
          <w:i/>
          <w:sz w:val="20"/>
          <w:szCs w:val="20"/>
        </w:rPr>
        <w:t>n</w:t>
      </w:r>
      <w:r w:rsidRPr="005452B3">
        <w:rPr>
          <w:rFonts w:ascii="Arial" w:hAnsi="Arial" w:cs="Arial"/>
          <w:i/>
          <w:sz w:val="20"/>
          <w:szCs w:val="20"/>
          <w:lang w:val="yo-NG"/>
        </w:rPr>
        <w:t xml:space="preserve"> the</w:t>
      </w:r>
      <w:r w:rsidRPr="005452B3">
        <w:rPr>
          <w:rFonts w:ascii="Arial" w:hAnsi="Arial" w:cs="Arial"/>
          <w:i/>
          <w:sz w:val="20"/>
          <w:szCs w:val="20"/>
        </w:rPr>
        <w:t xml:space="preserve"> effect of interest rate on Economic Growth of Nigeria. </w:t>
      </w:r>
      <w:r w:rsidR="00CF34D5" w:rsidRPr="005452B3">
        <w:rPr>
          <w:rFonts w:ascii="Arial" w:hAnsi="Arial" w:cs="Arial"/>
          <w:i/>
          <w:sz w:val="20"/>
          <w:szCs w:val="20"/>
        </w:rPr>
        <w:t xml:space="preserve">The study adopted </w:t>
      </w:r>
      <w:r w:rsidR="00CF34D5" w:rsidRPr="00AD328F">
        <w:rPr>
          <w:rFonts w:ascii="Arial" w:hAnsi="Arial" w:cs="Arial"/>
          <w:i/>
          <w:color w:val="FF0000"/>
          <w:sz w:val="20"/>
          <w:szCs w:val="20"/>
        </w:rPr>
        <w:t>a</w:t>
      </w:r>
      <w:r w:rsidR="00AD328F" w:rsidRPr="00AD328F">
        <w:rPr>
          <w:rFonts w:ascii="Arial" w:hAnsi="Arial" w:cs="Arial"/>
          <w:i/>
          <w:color w:val="FF0000"/>
          <w:sz w:val="20"/>
          <w:szCs w:val="20"/>
        </w:rPr>
        <w:t>n</w:t>
      </w:r>
      <w:r w:rsidR="00CF34D5" w:rsidRPr="005452B3">
        <w:rPr>
          <w:rFonts w:ascii="Arial" w:hAnsi="Arial" w:cs="Arial"/>
          <w:i/>
          <w:sz w:val="20"/>
          <w:szCs w:val="20"/>
        </w:rPr>
        <w:t xml:space="preserve"> Error-Correction Mechanism to test for the short - and long – run relationships among the saving deposit, real interest rate and inflation</w:t>
      </w:r>
      <w:r w:rsidR="00913057" w:rsidRPr="005452B3">
        <w:rPr>
          <w:rFonts w:ascii="Arial" w:hAnsi="Arial" w:cs="Arial"/>
          <w:sz w:val="20"/>
          <w:szCs w:val="20"/>
        </w:rPr>
        <w:t xml:space="preserve">, ECM is negative </w:t>
      </w:r>
      <w:r w:rsidR="00CF34D5" w:rsidRPr="005452B3">
        <w:rPr>
          <w:rFonts w:ascii="Arial" w:hAnsi="Arial" w:cs="Arial"/>
          <w:i/>
          <w:sz w:val="20"/>
          <w:szCs w:val="20"/>
        </w:rPr>
        <w:t xml:space="preserve">and </w:t>
      </w:r>
      <w:r w:rsidR="00913057" w:rsidRPr="005452B3">
        <w:rPr>
          <w:rFonts w:ascii="Arial" w:hAnsi="Arial" w:cs="Arial"/>
          <w:i/>
          <w:sz w:val="20"/>
          <w:szCs w:val="20"/>
        </w:rPr>
        <w:t>further test of Granger</w:t>
      </w:r>
      <w:r w:rsidR="00E40D5E" w:rsidRPr="005452B3">
        <w:rPr>
          <w:rFonts w:ascii="Arial" w:hAnsi="Arial" w:cs="Arial"/>
          <w:i/>
          <w:sz w:val="20"/>
          <w:szCs w:val="20"/>
        </w:rPr>
        <w:t xml:space="preserve"> </w:t>
      </w:r>
      <w:r w:rsidR="00025C4E" w:rsidRPr="005452B3">
        <w:rPr>
          <w:rFonts w:ascii="Arial" w:hAnsi="Arial" w:cs="Arial"/>
          <w:i/>
          <w:sz w:val="20"/>
          <w:szCs w:val="20"/>
        </w:rPr>
        <w:t>causality indicates</w:t>
      </w:r>
      <w:r w:rsidR="00E40D5E" w:rsidRPr="005452B3">
        <w:rPr>
          <w:rFonts w:ascii="Arial" w:hAnsi="Arial" w:cs="Arial"/>
          <w:i/>
          <w:sz w:val="20"/>
          <w:szCs w:val="20"/>
        </w:rPr>
        <w:t xml:space="preserve"> that there is a causal relationship between SD and GDP and a unidirectional relationship exists between SD and GDP. Therefore Savings deposit causes Gross domestic product.</w:t>
      </w:r>
      <w:r w:rsidRPr="005452B3">
        <w:rPr>
          <w:rFonts w:ascii="Arial" w:hAnsi="Arial" w:cs="Arial"/>
          <w:i/>
          <w:sz w:val="20"/>
          <w:szCs w:val="20"/>
        </w:rPr>
        <w:t xml:space="preserve"> </w:t>
      </w:r>
      <w:r w:rsidR="00025C4E" w:rsidRPr="005452B3">
        <w:rPr>
          <w:rFonts w:ascii="Arial" w:hAnsi="Arial" w:cs="Arial"/>
          <w:i/>
          <w:sz w:val="20"/>
          <w:szCs w:val="20"/>
        </w:rPr>
        <w:t>The study</w:t>
      </w:r>
      <w:r w:rsidRPr="005452B3">
        <w:rPr>
          <w:rFonts w:ascii="Arial" w:hAnsi="Arial" w:cs="Arial"/>
          <w:i/>
          <w:sz w:val="20"/>
          <w:szCs w:val="20"/>
        </w:rPr>
        <w:t xml:space="preserve"> recommend</w:t>
      </w:r>
      <w:r w:rsidR="00025C4E" w:rsidRPr="005452B3">
        <w:rPr>
          <w:rFonts w:ascii="Arial" w:hAnsi="Arial" w:cs="Arial"/>
          <w:i/>
          <w:sz w:val="20"/>
          <w:szCs w:val="20"/>
        </w:rPr>
        <w:t xml:space="preserve">s that </w:t>
      </w:r>
      <w:r w:rsidRPr="005452B3">
        <w:rPr>
          <w:rFonts w:ascii="Arial" w:hAnsi="Arial" w:cs="Arial"/>
          <w:i/>
          <w:sz w:val="20"/>
          <w:szCs w:val="20"/>
        </w:rPr>
        <w:t xml:space="preserve">policies which would boost the saving </w:t>
      </w:r>
      <w:r w:rsidR="00E40D5E" w:rsidRPr="005452B3">
        <w:rPr>
          <w:rFonts w:ascii="Arial" w:hAnsi="Arial" w:cs="Arial"/>
          <w:i/>
          <w:sz w:val="20"/>
          <w:szCs w:val="20"/>
        </w:rPr>
        <w:t>accumulation in Nigeria that will increase Capital Formation</w:t>
      </w:r>
      <w:r w:rsidR="00025C4E" w:rsidRPr="005452B3">
        <w:rPr>
          <w:rFonts w:ascii="Arial" w:hAnsi="Arial" w:cs="Arial"/>
          <w:i/>
          <w:sz w:val="20"/>
          <w:szCs w:val="20"/>
        </w:rPr>
        <w:t xml:space="preserve"> are necessary for economic growth</w:t>
      </w:r>
      <w:r w:rsidRPr="005452B3">
        <w:rPr>
          <w:rFonts w:ascii="Arial" w:hAnsi="Arial" w:cs="Arial"/>
          <w:i/>
          <w:sz w:val="20"/>
          <w:szCs w:val="20"/>
        </w:rPr>
        <w:t>. This will also enhance lending to the real sector of the economy for productive economic activities. This could be done by increasing the deposit rate which would lure the people to deposit their money in banks thereby increasing the supply of loanable funds. This would lead to a fall in interest rate and eventually rise in investment.</w:t>
      </w:r>
    </w:p>
    <w:p w:rsidR="005452B3" w:rsidRDefault="005452B3" w:rsidP="005D213C">
      <w:pPr>
        <w:tabs>
          <w:tab w:val="left" w:pos="0"/>
          <w:tab w:val="left" w:pos="8550"/>
        </w:tabs>
        <w:spacing w:after="0" w:line="240" w:lineRule="auto"/>
        <w:ind w:right="720"/>
        <w:jc w:val="both"/>
        <w:rPr>
          <w:rFonts w:ascii="Arial" w:hAnsi="Arial" w:cs="Arial"/>
          <w:sz w:val="24"/>
          <w:szCs w:val="24"/>
        </w:rPr>
      </w:pPr>
    </w:p>
    <w:p w:rsidR="00D73575" w:rsidRDefault="00700661" w:rsidP="005D213C">
      <w:pPr>
        <w:tabs>
          <w:tab w:val="left" w:pos="0"/>
          <w:tab w:val="left" w:pos="8550"/>
        </w:tabs>
        <w:spacing w:after="0" w:line="240" w:lineRule="auto"/>
        <w:ind w:right="720"/>
        <w:jc w:val="both"/>
        <w:rPr>
          <w:rFonts w:ascii="Arial" w:hAnsi="Arial" w:cs="Arial"/>
          <w:sz w:val="24"/>
          <w:szCs w:val="24"/>
        </w:rPr>
      </w:pPr>
      <w:r w:rsidRPr="005452B3">
        <w:rPr>
          <w:rFonts w:ascii="Arial" w:hAnsi="Arial" w:cs="Arial"/>
          <w:b/>
          <w:sz w:val="24"/>
          <w:szCs w:val="24"/>
        </w:rPr>
        <w:t>Keywords:</w:t>
      </w:r>
      <w:r w:rsidRPr="005452B3">
        <w:rPr>
          <w:rFonts w:ascii="Arial" w:hAnsi="Arial" w:cs="Arial"/>
          <w:sz w:val="24"/>
          <w:szCs w:val="24"/>
        </w:rPr>
        <w:t xml:space="preserve"> Interest Rate, Saving Deposit, Gross Domestic Product, Investment, Inflation Rate. </w:t>
      </w:r>
    </w:p>
    <w:p w:rsidR="005452B3" w:rsidRPr="005452B3" w:rsidRDefault="005452B3" w:rsidP="005D213C">
      <w:pPr>
        <w:tabs>
          <w:tab w:val="left" w:pos="0"/>
          <w:tab w:val="left" w:pos="8550"/>
        </w:tabs>
        <w:spacing w:after="0" w:line="240" w:lineRule="auto"/>
        <w:ind w:right="720"/>
        <w:jc w:val="both"/>
        <w:rPr>
          <w:rFonts w:ascii="Arial" w:hAnsi="Arial" w:cs="Arial"/>
          <w:sz w:val="24"/>
          <w:szCs w:val="24"/>
        </w:rPr>
      </w:pPr>
    </w:p>
    <w:p w:rsidR="00D73575" w:rsidRPr="005452B3" w:rsidRDefault="00373B9C" w:rsidP="005D213C">
      <w:pPr>
        <w:tabs>
          <w:tab w:val="left" w:pos="284"/>
        </w:tabs>
        <w:spacing w:after="0" w:line="240" w:lineRule="auto"/>
        <w:ind w:left="284" w:hanging="284"/>
        <w:jc w:val="both"/>
        <w:rPr>
          <w:rFonts w:ascii="Arial" w:hAnsi="Arial" w:cs="Arial"/>
          <w:b/>
          <w:sz w:val="28"/>
          <w:szCs w:val="28"/>
        </w:rPr>
      </w:pPr>
      <w:r w:rsidRPr="005452B3">
        <w:rPr>
          <w:rFonts w:ascii="Arial" w:hAnsi="Arial" w:cs="Arial"/>
          <w:b/>
          <w:sz w:val="28"/>
          <w:szCs w:val="28"/>
        </w:rPr>
        <w:t>1.</w:t>
      </w:r>
      <w:r w:rsidRPr="005452B3">
        <w:rPr>
          <w:rFonts w:ascii="Arial" w:hAnsi="Arial" w:cs="Arial"/>
          <w:b/>
          <w:sz w:val="28"/>
          <w:szCs w:val="28"/>
        </w:rPr>
        <w:tab/>
      </w:r>
      <w:r w:rsidR="00D73575" w:rsidRPr="005452B3">
        <w:rPr>
          <w:rFonts w:ascii="Arial" w:hAnsi="Arial" w:cs="Arial"/>
          <w:b/>
          <w:sz w:val="28"/>
          <w:szCs w:val="28"/>
        </w:rPr>
        <w:t>Introduction</w:t>
      </w:r>
    </w:p>
    <w:p w:rsidR="005452B3" w:rsidRDefault="005452B3" w:rsidP="005D213C">
      <w:pPr>
        <w:tabs>
          <w:tab w:val="left" w:pos="0"/>
        </w:tabs>
        <w:spacing w:after="0" w:line="240" w:lineRule="auto"/>
        <w:jc w:val="both"/>
        <w:rPr>
          <w:rFonts w:ascii="Arial" w:eastAsia="Times New Roman" w:hAnsi="Arial" w:cs="Arial"/>
          <w:sz w:val="24"/>
          <w:szCs w:val="24"/>
        </w:rPr>
      </w:pPr>
    </w:p>
    <w:p w:rsidR="00D73575" w:rsidRPr="00DE6D0C"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xml:space="preserve">The trend of interest rates, to a large extent, determines the investment activities and hence economic growth of a country. Investment depends upon the rate of interest in getting funds from the capital market, while economic growth to a large extent depends on the level of investment. </w:t>
      </w:r>
      <w:r w:rsidRPr="005452B3">
        <w:rPr>
          <w:rFonts w:ascii="Arial" w:hAnsi="Arial" w:cs="Arial"/>
          <w:sz w:val="24"/>
          <w:szCs w:val="24"/>
        </w:rPr>
        <w:t>The Nigerian economy has at different times witnessed enormous interest rate swings in different sectors of the economy since the 1970s under the regulated regime. The preferential interest rates were based on the basis of argument that the market, if freely applied would exclude some priority sectors. Thus, interest rates were adjusted through the “invisible hand” in order to promote increased level of investment in the various preferred sectors of the economy. Prominent among the preferred sectors by the monetary authorities were the agricultural, manufacturing and solid mineral sectors which were accorded priority and deposit money banks were directed to charge preferential interest rates on all loans to encourage the upsurge of small-scale industrialization which is a catalyst for economic development (</w:t>
      </w:r>
      <w:proofErr w:type="spellStart"/>
      <w:r w:rsidRPr="005452B3">
        <w:rPr>
          <w:rFonts w:ascii="Arial" w:hAnsi="Arial" w:cs="Arial"/>
          <w:sz w:val="24"/>
          <w:szCs w:val="24"/>
        </w:rPr>
        <w:t>Udoka</w:t>
      </w:r>
      <w:proofErr w:type="spellEnd"/>
      <w:r w:rsidRPr="005452B3">
        <w:rPr>
          <w:rFonts w:ascii="Arial" w:hAnsi="Arial" w:cs="Arial"/>
          <w:sz w:val="24"/>
          <w:szCs w:val="24"/>
        </w:rPr>
        <w:t>, 2000).</w:t>
      </w:r>
    </w:p>
    <w:p w:rsidR="00D73575" w:rsidRPr="005452B3" w:rsidRDefault="00D73575" w:rsidP="005D213C">
      <w:pPr>
        <w:tabs>
          <w:tab w:val="left" w:pos="0"/>
          <w:tab w:val="left" w:pos="2655"/>
        </w:tabs>
        <w:spacing w:after="0" w:line="240" w:lineRule="auto"/>
        <w:jc w:val="both"/>
        <w:rPr>
          <w:rFonts w:ascii="Arial" w:hAnsi="Arial" w:cs="Arial"/>
          <w:sz w:val="24"/>
          <w:szCs w:val="24"/>
        </w:rPr>
      </w:pPr>
      <w:r w:rsidRPr="005452B3">
        <w:rPr>
          <w:rFonts w:ascii="Arial" w:hAnsi="Arial" w:cs="Arial"/>
          <w:sz w:val="24"/>
          <w:szCs w:val="24"/>
        </w:rPr>
        <w:lastRenderedPageBreak/>
        <w:t>The objectives of interest rate policy in Nigeria include but not limited to the moderation of inflation, financial savings and investment, encouragement of reduction of pressure in the balance of payments achieving favorable exchange rate stability and the promotion of macroeconomic and financial sector stability. Interest rate in Nigeria has been affected by the incidence of oligopolistic structure of Nigeria banking systems.</w:t>
      </w:r>
    </w:p>
    <w:p w:rsidR="005D213C" w:rsidRDefault="005D213C" w:rsidP="005D213C">
      <w:pPr>
        <w:tabs>
          <w:tab w:val="left" w:pos="0"/>
          <w:tab w:val="left" w:pos="2655"/>
        </w:tabs>
        <w:spacing w:after="0" w:line="240" w:lineRule="auto"/>
        <w:jc w:val="both"/>
        <w:rPr>
          <w:rFonts w:ascii="Arial" w:hAnsi="Arial" w:cs="Arial"/>
          <w:sz w:val="24"/>
          <w:szCs w:val="24"/>
        </w:rPr>
      </w:pPr>
    </w:p>
    <w:p w:rsidR="00D73575" w:rsidRDefault="00D73575" w:rsidP="005D213C">
      <w:pPr>
        <w:tabs>
          <w:tab w:val="left" w:pos="0"/>
          <w:tab w:val="left" w:pos="2655"/>
        </w:tabs>
        <w:spacing w:after="0" w:line="240" w:lineRule="auto"/>
        <w:jc w:val="both"/>
        <w:rPr>
          <w:rFonts w:ascii="Arial" w:hAnsi="Arial" w:cs="Arial"/>
          <w:sz w:val="24"/>
          <w:szCs w:val="24"/>
        </w:rPr>
      </w:pPr>
      <w:r w:rsidRPr="005452B3">
        <w:rPr>
          <w:rFonts w:ascii="Arial" w:hAnsi="Arial" w:cs="Arial"/>
          <w:sz w:val="24"/>
          <w:szCs w:val="24"/>
        </w:rPr>
        <w:t>Interest rate management has passed through two main approaches in Nigeria namely direct and indirect approaches. The direct approach entails the administrative adjustment of lending rate and saving rates, while the indirect approach relies on the mutual effect of market forces, all the above approach tend to have its own way of inducing economic growth. The Central Bank of Nigeria retains the discretionary power to intervene in the money market to ensure orderly development in interest rates.</w:t>
      </w:r>
    </w:p>
    <w:p w:rsidR="005D213C" w:rsidRPr="005452B3" w:rsidRDefault="005D213C" w:rsidP="005D213C">
      <w:pPr>
        <w:tabs>
          <w:tab w:val="left" w:pos="0"/>
          <w:tab w:val="left" w:pos="2655"/>
        </w:tabs>
        <w:spacing w:after="0" w:line="240" w:lineRule="auto"/>
        <w:jc w:val="both"/>
        <w:rPr>
          <w:rFonts w:ascii="Arial" w:hAnsi="Arial" w:cs="Arial"/>
          <w:sz w:val="24"/>
          <w:szCs w:val="24"/>
        </w:rPr>
      </w:pPr>
    </w:p>
    <w:p w:rsidR="00D73575" w:rsidRDefault="00D73575" w:rsidP="005D213C">
      <w:pPr>
        <w:tabs>
          <w:tab w:val="left" w:pos="0"/>
          <w:tab w:val="left" w:pos="2655"/>
        </w:tabs>
        <w:spacing w:after="0" w:line="240" w:lineRule="auto"/>
        <w:jc w:val="both"/>
        <w:rPr>
          <w:rFonts w:ascii="Arial" w:hAnsi="Arial" w:cs="Arial"/>
          <w:sz w:val="24"/>
          <w:szCs w:val="24"/>
        </w:rPr>
      </w:pPr>
      <w:r w:rsidRPr="005452B3">
        <w:rPr>
          <w:rFonts w:ascii="Arial" w:hAnsi="Arial" w:cs="Arial"/>
          <w:sz w:val="24"/>
          <w:szCs w:val="24"/>
        </w:rPr>
        <w:t>The Nigerian government has since 1987 been pursuing a market–determined interest rate which does not permit a direct state intervention in the general direction of the economy (</w:t>
      </w:r>
      <w:proofErr w:type="spellStart"/>
      <w:r w:rsidRPr="005452B3">
        <w:rPr>
          <w:rFonts w:ascii="Arial" w:hAnsi="Arial" w:cs="Arial"/>
          <w:sz w:val="24"/>
          <w:szCs w:val="24"/>
        </w:rPr>
        <w:t>Nyong</w:t>
      </w:r>
      <w:proofErr w:type="spellEnd"/>
      <w:r w:rsidRPr="005452B3">
        <w:rPr>
          <w:rFonts w:ascii="Arial" w:hAnsi="Arial" w:cs="Arial"/>
          <w:sz w:val="24"/>
          <w:szCs w:val="24"/>
        </w:rPr>
        <w:t>, 2007). In January, 1994 there was another policy reversal, this time the government had rightly introduced some measures of regulating interest rate management. It was claimed that there were wide variation and unnecessarily high rate under the complete deregulation of interest rate. Immediately, deposit rates were once again set up at 12 percent per annum from the previous 8 percent while a ceiling of 21 percent per annum was fixed for lending. The gap of interest rates introduced in 1994 was retained in 1995 with little modification for flexibility.</w:t>
      </w:r>
    </w:p>
    <w:p w:rsidR="005D213C" w:rsidRPr="005452B3" w:rsidRDefault="005D213C" w:rsidP="005D213C">
      <w:pPr>
        <w:tabs>
          <w:tab w:val="left" w:pos="0"/>
          <w:tab w:val="left" w:pos="2655"/>
        </w:tabs>
        <w:spacing w:after="0" w:line="240" w:lineRule="auto"/>
        <w:jc w:val="both"/>
        <w:rPr>
          <w:rFonts w:ascii="Arial" w:hAnsi="Arial" w:cs="Arial"/>
          <w:sz w:val="24"/>
          <w:szCs w:val="24"/>
        </w:rPr>
      </w:pPr>
    </w:p>
    <w:p w:rsidR="00D73575" w:rsidRDefault="00D73575" w:rsidP="005D213C">
      <w:pPr>
        <w:pStyle w:val="Default"/>
        <w:tabs>
          <w:tab w:val="left" w:pos="0"/>
        </w:tabs>
        <w:jc w:val="both"/>
        <w:rPr>
          <w:rFonts w:ascii="Arial" w:hAnsi="Arial" w:cs="Arial"/>
          <w:color w:val="auto"/>
        </w:rPr>
      </w:pPr>
      <w:r w:rsidRPr="005452B3">
        <w:rPr>
          <w:rFonts w:ascii="Arial" w:hAnsi="Arial" w:cs="Arial"/>
          <w:color w:val="auto"/>
        </w:rPr>
        <w:t>On the other hand the economic growth of any country reflects its capacity to increase production of goods and services. The simplest definition of economic growth can be stated as the increase in the gross domestic product (GDP) of that country. Nominal GDP is usually adjusted for inflation factor to reflect real GDP. Interest rate is one of the macroeconomic growth factors; it’s up and down volatility is closely related to inflation rates. Its high or low rate also impact economic boom (high GDP) thus extending to influence economic growth rate. In business fields, it is very important to accurately predict interest rate trends. Many previous studies have assumed that the time series data is stationary and they ignored that non stationary could exist in the data. This study is a contribution to the existing literature on real growth applied to Nigeria’s economy; it will examine the effect of interest rate on the GDP.</w:t>
      </w:r>
    </w:p>
    <w:p w:rsidR="005D213C" w:rsidRPr="005452B3" w:rsidRDefault="005D213C" w:rsidP="005D213C">
      <w:pPr>
        <w:pStyle w:val="Default"/>
        <w:tabs>
          <w:tab w:val="left" w:pos="0"/>
        </w:tabs>
        <w:jc w:val="both"/>
        <w:rPr>
          <w:rFonts w:ascii="Arial" w:hAnsi="Arial" w:cs="Arial"/>
          <w:color w:val="auto"/>
        </w:rPr>
      </w:pPr>
    </w:p>
    <w:p w:rsidR="00D73575" w:rsidRDefault="00D73575" w:rsidP="005D213C">
      <w:pPr>
        <w:pStyle w:val="NormalWeb"/>
        <w:tabs>
          <w:tab w:val="left" w:pos="0"/>
        </w:tabs>
        <w:spacing w:before="0" w:beforeAutospacing="0" w:after="0" w:afterAutospacing="0"/>
        <w:jc w:val="both"/>
        <w:rPr>
          <w:rFonts w:ascii="Arial" w:hAnsi="Arial" w:cs="Arial"/>
        </w:rPr>
      </w:pPr>
      <w:r w:rsidRPr="005452B3">
        <w:rPr>
          <w:rFonts w:ascii="Arial" w:hAnsi="Arial" w:cs="Arial"/>
        </w:rPr>
        <w:t xml:space="preserve">For several decades now, interest rates had always been a problem in the Nigerian economy ever since the late 1980s when interest rates were deregulated, There  has always been  complains about high interest rate in the country. So far, the government has not been able to address the issue. </w:t>
      </w:r>
      <w:r w:rsidR="00045ED5" w:rsidRPr="005452B3">
        <w:rPr>
          <w:rFonts w:ascii="Arial" w:hAnsi="Arial" w:cs="Arial"/>
        </w:rPr>
        <w:t>(</w:t>
      </w:r>
      <w:proofErr w:type="spellStart"/>
      <w:r w:rsidR="00045ED5" w:rsidRPr="005452B3">
        <w:rPr>
          <w:rFonts w:ascii="Arial" w:hAnsi="Arial" w:cs="Arial"/>
        </w:rPr>
        <w:t>Iweala</w:t>
      </w:r>
      <w:proofErr w:type="spellEnd"/>
      <w:r w:rsidR="00045ED5" w:rsidRPr="005452B3">
        <w:rPr>
          <w:rFonts w:ascii="Arial" w:hAnsi="Arial" w:cs="Arial"/>
        </w:rPr>
        <w:t xml:space="preserve">, </w:t>
      </w:r>
      <w:r w:rsidRPr="005452B3">
        <w:rPr>
          <w:rFonts w:ascii="Arial" w:hAnsi="Arial" w:cs="Arial"/>
        </w:rPr>
        <w:t>2013).</w:t>
      </w:r>
      <w:r w:rsidR="005D213C">
        <w:rPr>
          <w:rFonts w:ascii="Arial" w:hAnsi="Arial" w:cs="Arial"/>
        </w:rPr>
        <w:t xml:space="preserve"> </w:t>
      </w:r>
      <w:r w:rsidRPr="005452B3">
        <w:rPr>
          <w:rFonts w:ascii="Arial" w:hAnsi="Arial" w:cs="Arial"/>
        </w:rPr>
        <w:t>It is evident that high interest rate is detrimental to the development of the real sector since it creates serious barrier to indigenous investors in their inability to access funds. The deregulation of interest rate that was introduced in the 1980s was expected to tackle the issues of discouragement of savings in financial assets, which in turn limited the supply of loanable funds while lending rates reduces excessive demand for credit resulting in the rationing of funds that had an adverse effect of depriving the economy from long term growth. Therefore to effectively tackle the problem stated above, the following Research questions must be answered:</w:t>
      </w:r>
    </w:p>
    <w:p w:rsidR="005D213C" w:rsidRPr="005452B3" w:rsidRDefault="005D213C" w:rsidP="005D213C">
      <w:pPr>
        <w:pStyle w:val="NormalWeb"/>
        <w:tabs>
          <w:tab w:val="left" w:pos="0"/>
        </w:tabs>
        <w:spacing w:before="0" w:beforeAutospacing="0" w:after="0" w:afterAutospacing="0"/>
        <w:jc w:val="both"/>
        <w:rPr>
          <w:rFonts w:ascii="Arial" w:hAnsi="Arial" w:cs="Arial"/>
        </w:rPr>
      </w:pPr>
    </w:p>
    <w:p w:rsidR="00D73575" w:rsidRPr="005452B3" w:rsidRDefault="00D73575" w:rsidP="005D213C">
      <w:pPr>
        <w:pStyle w:val="NormalWeb"/>
        <w:numPr>
          <w:ilvl w:val="0"/>
          <w:numId w:val="1"/>
        </w:numPr>
        <w:spacing w:before="0" w:beforeAutospacing="0" w:after="0" w:afterAutospacing="0"/>
        <w:ind w:left="360" w:firstLine="0"/>
        <w:jc w:val="both"/>
        <w:rPr>
          <w:rFonts w:ascii="Arial" w:hAnsi="Arial" w:cs="Arial"/>
        </w:rPr>
      </w:pPr>
      <w:r w:rsidRPr="005452B3">
        <w:rPr>
          <w:rFonts w:ascii="Arial" w:hAnsi="Arial" w:cs="Arial"/>
        </w:rPr>
        <w:t xml:space="preserve">How interest rate does affect Nigeria’s economic growth?   </w:t>
      </w:r>
    </w:p>
    <w:p w:rsidR="00D73575" w:rsidRPr="005452B3" w:rsidRDefault="00D73575" w:rsidP="005D213C">
      <w:pPr>
        <w:pStyle w:val="NormalWeb"/>
        <w:numPr>
          <w:ilvl w:val="0"/>
          <w:numId w:val="1"/>
        </w:numPr>
        <w:spacing w:before="0" w:beforeAutospacing="0" w:after="0" w:afterAutospacing="0"/>
        <w:ind w:left="360" w:firstLine="0"/>
        <w:jc w:val="both"/>
        <w:rPr>
          <w:rFonts w:ascii="Arial" w:hAnsi="Arial" w:cs="Arial"/>
        </w:rPr>
      </w:pPr>
      <w:r w:rsidRPr="005452B3">
        <w:rPr>
          <w:rFonts w:ascii="Arial" w:hAnsi="Arial" w:cs="Arial"/>
        </w:rPr>
        <w:t>Does the change of interest rate regulation affect the investment behaviour of individual?</w:t>
      </w:r>
    </w:p>
    <w:p w:rsidR="00D73575" w:rsidRDefault="00D73575" w:rsidP="005D213C">
      <w:pPr>
        <w:pStyle w:val="NormalWeb"/>
        <w:spacing w:before="0" w:beforeAutospacing="0" w:after="0" w:afterAutospacing="0"/>
        <w:jc w:val="both"/>
        <w:rPr>
          <w:rFonts w:ascii="Arial" w:hAnsi="Arial" w:cs="Arial"/>
        </w:rPr>
      </w:pPr>
      <w:r w:rsidRPr="005452B3">
        <w:rPr>
          <w:rFonts w:ascii="Arial" w:hAnsi="Arial" w:cs="Arial"/>
        </w:rPr>
        <w:t>The above necessitates the formulation of the following research questions:</w:t>
      </w:r>
    </w:p>
    <w:p w:rsidR="005D213C" w:rsidRPr="005452B3" w:rsidRDefault="005D213C" w:rsidP="005D213C">
      <w:pPr>
        <w:pStyle w:val="NormalWeb"/>
        <w:spacing w:before="0" w:beforeAutospacing="0" w:after="0" w:afterAutospacing="0"/>
        <w:jc w:val="both"/>
        <w:rPr>
          <w:rFonts w:ascii="Arial" w:hAnsi="Arial" w:cs="Arial"/>
        </w:rPr>
      </w:pPr>
    </w:p>
    <w:p w:rsidR="00D73575" w:rsidRPr="005452B3" w:rsidRDefault="00D73575" w:rsidP="005D213C">
      <w:pPr>
        <w:pStyle w:val="NormalWeb"/>
        <w:spacing w:before="0" w:beforeAutospacing="0" w:after="0" w:afterAutospacing="0"/>
        <w:ind w:firstLine="360"/>
        <w:jc w:val="both"/>
        <w:rPr>
          <w:rFonts w:ascii="Arial" w:hAnsi="Arial" w:cs="Arial"/>
        </w:rPr>
      </w:pPr>
      <w:r w:rsidRPr="005452B3">
        <w:rPr>
          <w:rFonts w:ascii="Arial" w:hAnsi="Arial" w:cs="Arial"/>
        </w:rPr>
        <w:t>H</w:t>
      </w:r>
      <w:r w:rsidRPr="005452B3">
        <w:rPr>
          <w:rFonts w:ascii="Arial" w:hAnsi="Arial" w:cs="Arial"/>
          <w:b/>
          <w:sz w:val="18"/>
          <w:szCs w:val="18"/>
        </w:rPr>
        <w:t>0</w:t>
      </w:r>
      <w:r w:rsidRPr="005452B3">
        <w:rPr>
          <w:rFonts w:ascii="Arial" w:hAnsi="Arial" w:cs="Arial"/>
        </w:rPr>
        <w:t>:</w:t>
      </w:r>
      <w:r w:rsidRPr="005452B3">
        <w:rPr>
          <w:rFonts w:ascii="Arial" w:hAnsi="Arial" w:cs="Arial"/>
          <w:vertAlign w:val="subscript"/>
        </w:rPr>
        <w:t>1</w:t>
      </w:r>
      <w:r w:rsidRPr="005452B3">
        <w:rPr>
          <w:rFonts w:ascii="Arial" w:hAnsi="Arial" w:cs="Arial"/>
        </w:rPr>
        <w:t xml:space="preserve"> Interest rate has no significant impact on economic growth in Nigeria.</w:t>
      </w:r>
    </w:p>
    <w:p w:rsidR="00D73575" w:rsidRPr="005452B3" w:rsidRDefault="00D73575" w:rsidP="005D213C">
      <w:pPr>
        <w:pStyle w:val="NormalWeb"/>
        <w:spacing w:before="0" w:beforeAutospacing="0" w:after="0" w:afterAutospacing="0"/>
        <w:ind w:left="360"/>
        <w:jc w:val="both"/>
        <w:rPr>
          <w:rFonts w:ascii="Arial" w:hAnsi="Arial" w:cs="Arial"/>
        </w:rPr>
      </w:pPr>
      <w:r w:rsidRPr="005452B3">
        <w:rPr>
          <w:rFonts w:ascii="Arial" w:hAnsi="Arial" w:cs="Arial"/>
        </w:rPr>
        <w:t>H</w:t>
      </w:r>
      <w:r w:rsidRPr="005452B3">
        <w:rPr>
          <w:rFonts w:ascii="Arial" w:hAnsi="Arial" w:cs="Arial"/>
          <w:b/>
          <w:sz w:val="18"/>
          <w:szCs w:val="18"/>
        </w:rPr>
        <w:t>0</w:t>
      </w:r>
      <w:r w:rsidRPr="005452B3">
        <w:rPr>
          <w:rFonts w:ascii="Arial" w:hAnsi="Arial" w:cs="Arial"/>
        </w:rPr>
        <w:t>:</w:t>
      </w:r>
      <w:r w:rsidRPr="005452B3">
        <w:rPr>
          <w:rFonts w:ascii="Arial" w:hAnsi="Arial" w:cs="Arial"/>
          <w:vertAlign w:val="subscript"/>
        </w:rPr>
        <w:t>2</w:t>
      </w:r>
      <w:r w:rsidRPr="005452B3">
        <w:rPr>
          <w:rFonts w:ascii="Arial" w:hAnsi="Arial" w:cs="Arial"/>
        </w:rPr>
        <w:t xml:space="preserve"> Interest rate reductions do not have a significant impact on increase in investment behavior of individual.</w:t>
      </w:r>
    </w:p>
    <w:p w:rsidR="005D213C" w:rsidRDefault="005D213C" w:rsidP="005D213C">
      <w:pPr>
        <w:pStyle w:val="NormalWeb"/>
        <w:tabs>
          <w:tab w:val="left" w:pos="0"/>
        </w:tabs>
        <w:spacing w:before="0" w:beforeAutospacing="0" w:after="0" w:afterAutospacing="0"/>
        <w:jc w:val="both"/>
        <w:rPr>
          <w:rFonts w:ascii="Arial" w:hAnsi="Arial" w:cs="Arial"/>
        </w:rPr>
      </w:pPr>
    </w:p>
    <w:p w:rsidR="00D73575" w:rsidRDefault="00D73575" w:rsidP="005D213C">
      <w:pPr>
        <w:pStyle w:val="NormalWeb"/>
        <w:tabs>
          <w:tab w:val="left" w:pos="0"/>
        </w:tabs>
        <w:spacing w:before="0" w:beforeAutospacing="0" w:after="0" w:afterAutospacing="0"/>
        <w:jc w:val="both"/>
        <w:rPr>
          <w:rFonts w:ascii="Arial" w:hAnsi="Arial" w:cs="Arial"/>
        </w:rPr>
      </w:pPr>
      <w:r w:rsidRPr="005452B3">
        <w:rPr>
          <w:rFonts w:ascii="Arial" w:hAnsi="Arial" w:cs="Arial"/>
        </w:rPr>
        <w:t xml:space="preserve">The Nigerian economy has at with the period taken steps to bring about enormous increase in the levels of investment through favorable interest rate. Even with this effort, the economy still experiences about slow economic growth and development. There are still other diverse sectors of the economy where productive and service rendering investments are required, although, the Nigerian economy which depends solely on earnings from crude oil, the secondary (manufacturing/industrial) sector’s contribution to the economy still needs to be greatly increased. </w:t>
      </w:r>
    </w:p>
    <w:p w:rsidR="006A0A31" w:rsidRPr="005452B3" w:rsidRDefault="006A0A31" w:rsidP="005D213C">
      <w:pPr>
        <w:pStyle w:val="NormalWeb"/>
        <w:tabs>
          <w:tab w:val="left" w:pos="0"/>
        </w:tabs>
        <w:spacing w:before="0" w:beforeAutospacing="0" w:after="0" w:afterAutospacing="0"/>
        <w:jc w:val="both"/>
        <w:rPr>
          <w:rFonts w:ascii="Arial" w:hAnsi="Arial" w:cs="Arial"/>
        </w:rPr>
      </w:pPr>
    </w:p>
    <w:p w:rsidR="00D73575" w:rsidRDefault="00D73575" w:rsidP="005D213C">
      <w:pPr>
        <w:pStyle w:val="NormalWeb"/>
        <w:spacing w:before="0" w:beforeAutospacing="0" w:after="0" w:afterAutospacing="0"/>
        <w:jc w:val="both"/>
        <w:rPr>
          <w:rFonts w:ascii="Arial" w:hAnsi="Arial" w:cs="Arial"/>
        </w:rPr>
      </w:pPr>
      <w:r w:rsidRPr="005452B3">
        <w:rPr>
          <w:rFonts w:ascii="Arial" w:hAnsi="Arial" w:cs="Arial"/>
        </w:rPr>
        <w:t xml:space="preserve">Given this premises, an examination of interest rate and its impact/effects on investment will provide workable options for future policy formulations and adjustment of interest rates in Nigeria. Therefore, the reason for this study is to examine the relationship between interest rate and economic growth and more importantly to investigate the direction of causality between interest rate and economic growth in Nigeria.  </w:t>
      </w:r>
    </w:p>
    <w:p w:rsidR="005D213C" w:rsidRPr="005452B3" w:rsidRDefault="005D213C" w:rsidP="005D213C">
      <w:pPr>
        <w:pStyle w:val="NormalWeb"/>
        <w:spacing w:before="0" w:beforeAutospacing="0" w:after="0" w:afterAutospacing="0"/>
        <w:jc w:val="both"/>
        <w:rPr>
          <w:rFonts w:ascii="Arial" w:hAnsi="Arial" w:cs="Arial"/>
        </w:rPr>
      </w:pPr>
    </w:p>
    <w:p w:rsidR="00D73575" w:rsidRPr="005452B3" w:rsidRDefault="00D73575" w:rsidP="005D213C">
      <w:pPr>
        <w:pStyle w:val="ListParagraph"/>
        <w:tabs>
          <w:tab w:val="left" w:pos="0"/>
        </w:tabs>
        <w:spacing w:after="0" w:line="240" w:lineRule="auto"/>
        <w:ind w:left="0"/>
        <w:jc w:val="both"/>
        <w:rPr>
          <w:rFonts w:ascii="Arial" w:hAnsi="Arial" w:cs="Arial"/>
          <w:sz w:val="24"/>
          <w:szCs w:val="24"/>
        </w:rPr>
      </w:pPr>
      <w:r w:rsidRPr="005452B3">
        <w:rPr>
          <w:rFonts w:ascii="Arial" w:hAnsi="Arial" w:cs="Arial"/>
          <w:sz w:val="24"/>
          <w:szCs w:val="24"/>
        </w:rPr>
        <w:t>Th</w:t>
      </w:r>
      <w:r w:rsidR="00373B9C" w:rsidRPr="005452B3">
        <w:rPr>
          <w:rFonts w:ascii="Arial" w:hAnsi="Arial" w:cs="Arial"/>
          <w:sz w:val="24"/>
          <w:szCs w:val="24"/>
        </w:rPr>
        <w:t>e study is hereby divided into five</w:t>
      </w:r>
      <w:r w:rsidRPr="005452B3">
        <w:rPr>
          <w:rFonts w:ascii="Arial" w:hAnsi="Arial" w:cs="Arial"/>
          <w:sz w:val="24"/>
          <w:szCs w:val="24"/>
        </w:rPr>
        <w:t xml:space="preserve"> sections namely the introduction which </w:t>
      </w:r>
      <w:r w:rsidR="00A62256" w:rsidRPr="005452B3">
        <w:rPr>
          <w:rFonts w:ascii="Arial" w:hAnsi="Arial" w:cs="Arial"/>
          <w:sz w:val="24"/>
          <w:szCs w:val="24"/>
        </w:rPr>
        <w:t xml:space="preserve">is section one that </w:t>
      </w:r>
      <w:r w:rsidRPr="005452B3">
        <w:rPr>
          <w:rFonts w:ascii="Arial" w:hAnsi="Arial" w:cs="Arial"/>
          <w:sz w:val="24"/>
          <w:szCs w:val="24"/>
        </w:rPr>
        <w:t xml:space="preserve">consist of the background to the study, statement of the research problem, the hypothesis and the justification of the study. The second section is mainly the literature review which includes the theoretical and empirical review of literature and </w:t>
      </w:r>
      <w:r w:rsidR="00373B9C" w:rsidRPr="005452B3">
        <w:rPr>
          <w:rFonts w:ascii="Arial" w:hAnsi="Arial" w:cs="Arial"/>
          <w:sz w:val="24"/>
          <w:szCs w:val="24"/>
        </w:rPr>
        <w:t>section three which consist of</w:t>
      </w:r>
      <w:r w:rsidRPr="005452B3">
        <w:rPr>
          <w:rFonts w:ascii="Arial" w:hAnsi="Arial" w:cs="Arial"/>
          <w:sz w:val="24"/>
          <w:szCs w:val="24"/>
        </w:rPr>
        <w:t xml:space="preserve"> the </w:t>
      </w:r>
      <w:r w:rsidR="00373B9C" w:rsidRPr="005452B3">
        <w:rPr>
          <w:rFonts w:ascii="Arial" w:hAnsi="Arial" w:cs="Arial"/>
          <w:sz w:val="24"/>
          <w:szCs w:val="24"/>
        </w:rPr>
        <w:t xml:space="preserve">methodology. The </w:t>
      </w:r>
      <w:r w:rsidR="00A62256" w:rsidRPr="005452B3">
        <w:rPr>
          <w:rFonts w:ascii="Arial" w:hAnsi="Arial" w:cs="Arial"/>
          <w:sz w:val="24"/>
          <w:szCs w:val="24"/>
        </w:rPr>
        <w:t>fourth</w:t>
      </w:r>
      <w:r w:rsidR="00373B9C" w:rsidRPr="005452B3">
        <w:rPr>
          <w:rFonts w:ascii="Arial" w:hAnsi="Arial" w:cs="Arial"/>
          <w:sz w:val="24"/>
          <w:szCs w:val="24"/>
        </w:rPr>
        <w:t xml:space="preserve"> </w:t>
      </w:r>
      <w:r w:rsidR="00A62256" w:rsidRPr="005452B3">
        <w:rPr>
          <w:rFonts w:ascii="Arial" w:hAnsi="Arial" w:cs="Arial"/>
          <w:sz w:val="24"/>
          <w:szCs w:val="24"/>
        </w:rPr>
        <w:t>section discusses the findings and finally section five is summary and conclusion</w:t>
      </w:r>
      <w:r w:rsidRPr="005452B3">
        <w:rPr>
          <w:rFonts w:ascii="Arial" w:hAnsi="Arial" w:cs="Arial"/>
          <w:sz w:val="24"/>
          <w:szCs w:val="24"/>
        </w:rPr>
        <w:t xml:space="preserve">.  </w:t>
      </w:r>
    </w:p>
    <w:p w:rsidR="00045ED5" w:rsidRPr="005E2AD9" w:rsidRDefault="00045ED5" w:rsidP="005D213C">
      <w:pPr>
        <w:tabs>
          <w:tab w:val="left" w:pos="0"/>
        </w:tabs>
        <w:autoSpaceDE w:val="0"/>
        <w:autoSpaceDN w:val="0"/>
        <w:adjustRightInd w:val="0"/>
        <w:spacing w:after="0" w:line="240" w:lineRule="auto"/>
        <w:jc w:val="both"/>
        <w:rPr>
          <w:rFonts w:ascii="Arial" w:hAnsi="Arial" w:cs="Arial"/>
          <w:b/>
          <w:sz w:val="24"/>
          <w:szCs w:val="24"/>
        </w:rPr>
      </w:pPr>
    </w:p>
    <w:p w:rsidR="00D73575" w:rsidRPr="005452B3" w:rsidRDefault="00D73575" w:rsidP="005E2AD9">
      <w:pPr>
        <w:tabs>
          <w:tab w:val="left" w:pos="284"/>
        </w:tabs>
        <w:autoSpaceDE w:val="0"/>
        <w:autoSpaceDN w:val="0"/>
        <w:adjustRightInd w:val="0"/>
        <w:spacing w:after="0" w:line="240" w:lineRule="auto"/>
        <w:ind w:left="284" w:hanging="284"/>
        <w:jc w:val="both"/>
        <w:rPr>
          <w:rFonts w:ascii="Arial" w:hAnsi="Arial" w:cs="Arial"/>
          <w:b/>
          <w:sz w:val="28"/>
          <w:szCs w:val="28"/>
        </w:rPr>
      </w:pPr>
      <w:r w:rsidRPr="005452B3">
        <w:rPr>
          <w:rFonts w:ascii="Arial" w:hAnsi="Arial" w:cs="Arial"/>
          <w:b/>
          <w:sz w:val="28"/>
          <w:szCs w:val="28"/>
        </w:rPr>
        <w:t>2</w:t>
      </w:r>
      <w:r w:rsidR="001F4A14">
        <w:rPr>
          <w:rFonts w:ascii="Arial" w:hAnsi="Arial" w:cs="Arial"/>
          <w:b/>
          <w:sz w:val="28"/>
          <w:szCs w:val="28"/>
        </w:rPr>
        <w:t>.</w:t>
      </w:r>
      <w:r w:rsidRPr="005452B3">
        <w:rPr>
          <w:rFonts w:ascii="Arial" w:hAnsi="Arial" w:cs="Arial"/>
          <w:b/>
          <w:sz w:val="28"/>
          <w:szCs w:val="28"/>
        </w:rPr>
        <w:tab/>
        <w:t xml:space="preserve">Literature Review </w:t>
      </w:r>
    </w:p>
    <w:p w:rsidR="0084147F" w:rsidRPr="005E2AD9" w:rsidRDefault="0084147F" w:rsidP="005D213C">
      <w:pPr>
        <w:tabs>
          <w:tab w:val="left" w:pos="0"/>
        </w:tabs>
        <w:autoSpaceDE w:val="0"/>
        <w:autoSpaceDN w:val="0"/>
        <w:adjustRightInd w:val="0"/>
        <w:spacing w:after="0" w:line="240" w:lineRule="auto"/>
        <w:jc w:val="both"/>
        <w:rPr>
          <w:rFonts w:ascii="Arial" w:hAnsi="Arial" w:cs="Arial"/>
          <w:b/>
          <w:sz w:val="24"/>
          <w:szCs w:val="24"/>
        </w:rPr>
      </w:pPr>
    </w:p>
    <w:p w:rsidR="00D73575"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In August, 1987; the Central Bank of Nigeria (CBN) liberalized the interest rate regime and adopted the policy of fixing only its minimum rediscount rate to indicate the desired direction of interest rate. This was modified in 1989, when the CBN issued further directives on the required spreads between deposit and lending rates. In 1991, the government prescribed a maximum margin between each bank’s average cost of funds and its maximum lending rates. Later, the CBN prescribed savings deposit rate and a maximum lending rate. Partial deregulation was, however, restored in 1992 when financial institutions were required to only maintain a specified spread between their average cost of funds and maximum lending rates. The removal of the maximum lending rate ceiling in 1993 raised interest rates rising to unprecedented levels in sympathy with rising inflation rate which rendered banks’ high lending rates negative in real terms. In 1994, direct interest rate controls were restored. As these and other controls introduced in 1994 and 1995 had negative economic effects, total deregulation of interest rates was again adopted in October, 1996, (CBN 2010). </w:t>
      </w:r>
    </w:p>
    <w:p w:rsidR="005E2AD9" w:rsidRPr="005452B3" w:rsidRDefault="005E2AD9" w:rsidP="005D213C">
      <w:pPr>
        <w:tabs>
          <w:tab w:val="left" w:pos="0"/>
        </w:tabs>
        <w:autoSpaceDE w:val="0"/>
        <w:autoSpaceDN w:val="0"/>
        <w:adjustRightInd w:val="0"/>
        <w:spacing w:after="0" w:line="240" w:lineRule="auto"/>
        <w:jc w:val="both"/>
        <w:rPr>
          <w:rFonts w:ascii="Arial" w:hAnsi="Arial" w:cs="Arial"/>
          <w:sz w:val="24"/>
          <w:szCs w:val="24"/>
        </w:rPr>
      </w:pPr>
    </w:p>
    <w:p w:rsidR="00D73575" w:rsidRDefault="00CD1FD1" w:rsidP="005D213C">
      <w:pPr>
        <w:pStyle w:val="ListParagraph"/>
        <w:tabs>
          <w:tab w:val="left" w:pos="0"/>
        </w:tabs>
        <w:spacing w:after="0" w:line="240" w:lineRule="auto"/>
        <w:ind w:left="0"/>
        <w:jc w:val="both"/>
        <w:rPr>
          <w:rFonts w:ascii="Arial" w:hAnsi="Arial" w:cs="Arial"/>
          <w:sz w:val="24"/>
          <w:szCs w:val="24"/>
        </w:rPr>
      </w:pPr>
      <w:sdt>
        <w:sdtPr>
          <w:rPr>
            <w:rFonts w:ascii="Arial" w:hAnsi="Arial" w:cs="Arial"/>
            <w:sz w:val="24"/>
            <w:szCs w:val="24"/>
          </w:rPr>
          <w:id w:val="1855297309"/>
          <w:citation/>
        </w:sdtPr>
        <w:sdtEndPr/>
        <w:sdtContent>
          <w:r w:rsidR="00DF2435" w:rsidRPr="005452B3">
            <w:rPr>
              <w:rFonts w:ascii="Arial" w:hAnsi="Arial" w:cs="Arial"/>
              <w:sz w:val="24"/>
              <w:szCs w:val="24"/>
            </w:rPr>
            <w:fldChar w:fldCharType="begin"/>
          </w:r>
          <w:r w:rsidR="00DF2435" w:rsidRPr="005452B3">
            <w:rPr>
              <w:rFonts w:ascii="Arial" w:hAnsi="Arial" w:cs="Arial"/>
              <w:sz w:val="24"/>
              <w:szCs w:val="24"/>
            </w:rPr>
            <w:instrText xml:space="preserve"> CITATION Mwe91 \l 1033 </w:instrText>
          </w:r>
          <w:r w:rsidR="00DF2435" w:rsidRPr="005452B3">
            <w:rPr>
              <w:rFonts w:ascii="Arial" w:hAnsi="Arial" w:cs="Arial"/>
              <w:sz w:val="24"/>
              <w:szCs w:val="24"/>
            </w:rPr>
            <w:fldChar w:fldCharType="separate"/>
          </w:r>
          <w:r w:rsidR="00EF655C" w:rsidRPr="005452B3">
            <w:rPr>
              <w:rFonts w:ascii="Arial" w:hAnsi="Arial" w:cs="Arial"/>
              <w:noProof/>
              <w:sz w:val="24"/>
              <w:szCs w:val="24"/>
            </w:rPr>
            <w:t>(Mwega &amp; Ngola;, 1991)</w:t>
          </w:r>
          <w:r w:rsidR="00DF2435" w:rsidRPr="005452B3">
            <w:rPr>
              <w:rFonts w:ascii="Arial" w:hAnsi="Arial" w:cs="Arial"/>
              <w:sz w:val="24"/>
              <w:szCs w:val="24"/>
            </w:rPr>
            <w:fldChar w:fldCharType="end"/>
          </w:r>
        </w:sdtContent>
      </w:sdt>
      <w:r w:rsidR="004E2981" w:rsidRPr="005452B3">
        <w:rPr>
          <w:rFonts w:ascii="Arial" w:hAnsi="Arial" w:cs="Arial"/>
          <w:sz w:val="24"/>
          <w:szCs w:val="24"/>
        </w:rPr>
        <w:t>,</w:t>
      </w:r>
      <w:r w:rsidR="00DF2435" w:rsidRPr="005452B3">
        <w:rPr>
          <w:rFonts w:ascii="Arial" w:hAnsi="Arial" w:cs="Arial"/>
          <w:sz w:val="24"/>
          <w:szCs w:val="24"/>
        </w:rPr>
        <w:t xml:space="preserve"> </w:t>
      </w:r>
      <w:r w:rsidR="00D73575" w:rsidRPr="005452B3">
        <w:rPr>
          <w:rFonts w:ascii="Arial" w:hAnsi="Arial" w:cs="Arial"/>
          <w:sz w:val="24"/>
          <w:szCs w:val="24"/>
        </w:rPr>
        <w:t>used Kenyan data to test the relationships between interest rates and financial and nonfinancial saving. Their results reveal that the real deposit rate has an insignificant influence on both financial and non-financial saving in Kenya. They also found out that higher interest rates constrict the demand for credit, suggesting that a policy of interest rate liberalization might be stag-inflationary in its effects.</w:t>
      </w:r>
    </w:p>
    <w:p w:rsidR="006A0A31" w:rsidRPr="005452B3" w:rsidRDefault="006A0A31" w:rsidP="005D213C">
      <w:pPr>
        <w:pStyle w:val="ListParagraph"/>
        <w:tabs>
          <w:tab w:val="left" w:pos="0"/>
        </w:tabs>
        <w:spacing w:after="0" w:line="240" w:lineRule="auto"/>
        <w:ind w:left="0"/>
        <w:jc w:val="both"/>
        <w:rPr>
          <w:rFonts w:ascii="Arial" w:hAnsi="Arial" w:cs="Arial"/>
          <w:sz w:val="24"/>
          <w:szCs w:val="24"/>
        </w:rPr>
      </w:pPr>
    </w:p>
    <w:p w:rsidR="00D73575" w:rsidRDefault="008A447E" w:rsidP="005D213C">
      <w:pPr>
        <w:pStyle w:val="Default"/>
        <w:tabs>
          <w:tab w:val="left" w:pos="0"/>
        </w:tabs>
        <w:jc w:val="both"/>
        <w:rPr>
          <w:rFonts w:ascii="Arial" w:hAnsi="Arial" w:cs="Arial"/>
          <w:color w:val="auto"/>
        </w:rPr>
      </w:pPr>
      <w:r w:rsidRPr="005452B3">
        <w:rPr>
          <w:rFonts w:ascii="Arial" w:hAnsi="Arial" w:cs="Arial"/>
          <w:color w:val="auto"/>
        </w:rPr>
        <w:t>(</w:t>
      </w:r>
      <w:proofErr w:type="spellStart"/>
      <w:r w:rsidR="00D73575" w:rsidRPr="005452B3">
        <w:rPr>
          <w:rFonts w:ascii="Arial" w:hAnsi="Arial" w:cs="Arial"/>
          <w:color w:val="auto"/>
        </w:rPr>
        <w:t>Khat</w:t>
      </w:r>
      <w:proofErr w:type="spellEnd"/>
      <w:r w:rsidR="00D73575" w:rsidRPr="005452B3">
        <w:rPr>
          <w:rFonts w:ascii="Arial" w:hAnsi="Arial" w:cs="Arial"/>
          <w:color w:val="auto"/>
        </w:rPr>
        <w:t xml:space="preserve"> </w:t>
      </w:r>
      <w:r w:rsidR="007C36F0" w:rsidRPr="005452B3">
        <w:rPr>
          <w:rFonts w:ascii="Arial" w:hAnsi="Arial" w:cs="Arial"/>
          <w:color w:val="auto"/>
        </w:rPr>
        <w:t>&amp;</w:t>
      </w:r>
      <w:r w:rsidR="00D73575" w:rsidRPr="005452B3">
        <w:rPr>
          <w:rFonts w:ascii="Arial" w:hAnsi="Arial" w:cs="Arial"/>
          <w:color w:val="auto"/>
        </w:rPr>
        <w:t xml:space="preserve"> </w:t>
      </w:r>
      <w:proofErr w:type="spellStart"/>
      <w:r w:rsidR="00D73575" w:rsidRPr="005452B3">
        <w:rPr>
          <w:rFonts w:ascii="Arial" w:hAnsi="Arial" w:cs="Arial"/>
          <w:color w:val="auto"/>
        </w:rPr>
        <w:t>Bathia</w:t>
      </w:r>
      <w:proofErr w:type="spellEnd"/>
      <w:r w:rsidRPr="005452B3">
        <w:rPr>
          <w:rFonts w:ascii="Arial" w:hAnsi="Arial" w:cs="Arial"/>
          <w:color w:val="auto"/>
        </w:rPr>
        <w:t xml:space="preserve">, </w:t>
      </w:r>
      <w:r w:rsidR="00D73575" w:rsidRPr="005452B3">
        <w:rPr>
          <w:rFonts w:ascii="Arial" w:hAnsi="Arial" w:cs="Arial"/>
          <w:color w:val="auto"/>
        </w:rPr>
        <w:t xml:space="preserve">1993) used non parametric method in their study of the relationship between interest rate and other macroeconomic variable, including savings and investment. In his study he grouped sixty four (64) developing countries including Nigeria into three on bases the level of their real interest rate. They computed economic rate among which were gross savings, income and investment for countries applying Mann Whitney test, they found out that the impact of real interest was not significant for the three groups. However, this method of study was criticized by </w:t>
      </w:r>
      <w:sdt>
        <w:sdtPr>
          <w:rPr>
            <w:rFonts w:ascii="Arial" w:hAnsi="Arial" w:cs="Arial"/>
            <w:color w:val="auto"/>
          </w:rPr>
          <w:id w:val="1522194993"/>
          <w:citation/>
        </w:sdtPr>
        <w:sdtEndPr/>
        <w:sdtContent>
          <w:r w:rsidR="00E74E24" w:rsidRPr="005452B3">
            <w:rPr>
              <w:rFonts w:ascii="Arial" w:hAnsi="Arial" w:cs="Arial"/>
              <w:color w:val="auto"/>
            </w:rPr>
            <w:fldChar w:fldCharType="begin"/>
          </w:r>
          <w:r w:rsidR="00E74E24" w:rsidRPr="005452B3">
            <w:rPr>
              <w:rFonts w:ascii="Arial" w:hAnsi="Arial" w:cs="Arial"/>
              <w:color w:val="auto"/>
            </w:rPr>
            <w:instrText xml:space="preserve"> CITATION Bal89 \l 1033 </w:instrText>
          </w:r>
          <w:r w:rsidR="00E74E24" w:rsidRPr="005452B3">
            <w:rPr>
              <w:rFonts w:ascii="Arial" w:hAnsi="Arial" w:cs="Arial"/>
              <w:color w:val="auto"/>
            </w:rPr>
            <w:fldChar w:fldCharType="separate"/>
          </w:r>
          <w:r w:rsidR="00EF655C" w:rsidRPr="005452B3">
            <w:rPr>
              <w:rFonts w:ascii="Arial" w:hAnsi="Arial" w:cs="Arial"/>
              <w:noProof/>
              <w:color w:val="auto"/>
            </w:rPr>
            <w:t>(Balassa, 1989)</w:t>
          </w:r>
          <w:r w:rsidR="00E74E24" w:rsidRPr="005452B3">
            <w:rPr>
              <w:rFonts w:ascii="Arial" w:hAnsi="Arial" w:cs="Arial"/>
              <w:color w:val="auto"/>
            </w:rPr>
            <w:fldChar w:fldCharType="end"/>
          </w:r>
        </w:sdtContent>
      </w:sdt>
      <w:r w:rsidR="00E74E24" w:rsidRPr="005452B3">
        <w:rPr>
          <w:rFonts w:ascii="Arial" w:hAnsi="Arial" w:cs="Arial"/>
          <w:color w:val="auto"/>
        </w:rPr>
        <w:t xml:space="preserve"> </w:t>
      </w:r>
      <w:r w:rsidR="00D73575" w:rsidRPr="005452B3">
        <w:rPr>
          <w:rFonts w:ascii="Arial" w:hAnsi="Arial" w:cs="Arial"/>
          <w:color w:val="auto"/>
        </w:rPr>
        <w:t>that a relationship has been established by the use of regression analysis.</w:t>
      </w:r>
    </w:p>
    <w:p w:rsidR="005E2AD9" w:rsidRPr="005452B3" w:rsidRDefault="005E2AD9" w:rsidP="005D213C">
      <w:pPr>
        <w:pStyle w:val="Default"/>
        <w:tabs>
          <w:tab w:val="left" w:pos="0"/>
        </w:tabs>
        <w:jc w:val="both"/>
        <w:rPr>
          <w:rFonts w:ascii="Arial" w:hAnsi="Arial" w:cs="Arial"/>
          <w:color w:val="auto"/>
        </w:rPr>
      </w:pPr>
    </w:p>
    <w:p w:rsidR="00D73575" w:rsidRDefault="008A447E" w:rsidP="005E2AD9">
      <w:pPr>
        <w:tabs>
          <w:tab w:val="left" w:pos="0"/>
        </w:tabs>
        <w:spacing w:after="0" w:line="240" w:lineRule="auto"/>
        <w:jc w:val="both"/>
        <w:rPr>
          <w:rFonts w:ascii="Arial" w:hAnsi="Arial" w:cs="Arial"/>
          <w:sz w:val="24"/>
          <w:szCs w:val="24"/>
        </w:rPr>
      </w:pPr>
      <w:r w:rsidRPr="005452B3">
        <w:rPr>
          <w:rFonts w:ascii="Arial" w:hAnsi="Arial" w:cs="Arial"/>
          <w:sz w:val="24"/>
          <w:szCs w:val="24"/>
        </w:rPr>
        <w:t>(</w:t>
      </w:r>
      <w:proofErr w:type="spellStart"/>
      <w:r w:rsidRPr="005452B3">
        <w:rPr>
          <w:rFonts w:ascii="Arial" w:hAnsi="Arial" w:cs="Arial"/>
          <w:sz w:val="24"/>
          <w:szCs w:val="24"/>
        </w:rPr>
        <w:t>Albu</w:t>
      </w:r>
      <w:proofErr w:type="spellEnd"/>
      <w:r w:rsidRPr="005452B3">
        <w:rPr>
          <w:rFonts w:ascii="Arial" w:hAnsi="Arial" w:cs="Arial"/>
          <w:sz w:val="24"/>
          <w:szCs w:val="24"/>
        </w:rPr>
        <w:t>, 2006)</w:t>
      </w:r>
      <w:r w:rsidRPr="005452B3">
        <w:rPr>
          <w:rFonts w:ascii="Times New Roman" w:hAnsi="Times New Roman"/>
          <w:sz w:val="24"/>
          <w:szCs w:val="24"/>
        </w:rPr>
        <w:t xml:space="preserve"> </w:t>
      </w:r>
      <w:r w:rsidR="00D73575" w:rsidRPr="005452B3">
        <w:rPr>
          <w:rFonts w:ascii="Arial" w:hAnsi="Arial" w:cs="Arial"/>
          <w:sz w:val="24"/>
          <w:szCs w:val="24"/>
        </w:rPr>
        <w:t xml:space="preserve">studied </w:t>
      </w:r>
      <w:r w:rsidR="00203925" w:rsidRPr="005452B3">
        <w:rPr>
          <w:rFonts w:ascii="Arial" w:hAnsi="Arial" w:cs="Arial"/>
          <w:sz w:val="24"/>
          <w:szCs w:val="24"/>
        </w:rPr>
        <w:t xml:space="preserve">the </w:t>
      </w:r>
      <w:r w:rsidR="00D73575" w:rsidRPr="005452B3">
        <w:rPr>
          <w:rFonts w:ascii="Arial" w:hAnsi="Arial" w:cs="Arial"/>
          <w:sz w:val="24"/>
          <w:szCs w:val="24"/>
        </w:rPr>
        <w:t>trends in the interest rate, investment, GDP growth relationship us</w:t>
      </w:r>
      <w:r w:rsidR="00203925" w:rsidRPr="005452B3">
        <w:rPr>
          <w:rFonts w:ascii="Arial" w:hAnsi="Arial" w:cs="Arial"/>
          <w:sz w:val="24"/>
          <w:szCs w:val="24"/>
        </w:rPr>
        <w:t>ing</w:t>
      </w:r>
      <w:r w:rsidR="00D73575" w:rsidRPr="005452B3">
        <w:rPr>
          <w:rFonts w:ascii="Arial" w:hAnsi="Arial" w:cs="Arial"/>
          <w:sz w:val="24"/>
          <w:szCs w:val="24"/>
        </w:rPr>
        <w:t xml:space="preserve"> two partial models to examine the impact of investment on GDP growth and the relationship between interest rate and investment in the case of the Romanian economy. The study found out that the behavior of the national economy system and interest rate investment relationships tend to converge to those demonstrated in the normal market economy.</w:t>
      </w:r>
      <w:r w:rsidR="005E2AD9">
        <w:rPr>
          <w:rFonts w:ascii="Arial" w:hAnsi="Arial" w:cs="Arial"/>
          <w:sz w:val="24"/>
          <w:szCs w:val="24"/>
        </w:rPr>
        <w:t xml:space="preserve"> </w:t>
      </w:r>
      <w:r w:rsidR="00045ED5" w:rsidRPr="005452B3">
        <w:rPr>
          <w:rFonts w:ascii="Arial" w:hAnsi="Arial" w:cs="Arial"/>
          <w:noProof/>
          <w:sz w:val="24"/>
          <w:szCs w:val="24"/>
        </w:rPr>
        <w:t>(Akintoye &amp; Olowolaju, 2008)</w:t>
      </w:r>
      <w:r w:rsidR="00D73575" w:rsidRPr="005452B3">
        <w:rPr>
          <w:rFonts w:ascii="Arial" w:hAnsi="Arial" w:cs="Arial"/>
          <w:sz w:val="24"/>
          <w:szCs w:val="24"/>
        </w:rPr>
        <w:t xml:space="preserve"> in their work titled “Optimizing Macro Economic Investment decisions lesson from Nigeria” revealed that low interest rate have constrained investment decisions in Nigeria. This revelation does not support </w:t>
      </w:r>
      <w:sdt>
        <w:sdtPr>
          <w:rPr>
            <w:rFonts w:ascii="Arial" w:hAnsi="Arial" w:cs="Arial"/>
            <w:sz w:val="24"/>
            <w:szCs w:val="24"/>
          </w:rPr>
          <w:id w:val="-1140263687"/>
          <w:citation/>
        </w:sdtPr>
        <w:sdtEndPr/>
        <w:sdtContent>
          <w:r w:rsidR="001B2F4A" w:rsidRPr="005452B3">
            <w:rPr>
              <w:rFonts w:ascii="Arial" w:hAnsi="Arial" w:cs="Arial"/>
              <w:sz w:val="24"/>
              <w:szCs w:val="24"/>
            </w:rPr>
            <w:fldChar w:fldCharType="begin"/>
          </w:r>
          <w:r w:rsidR="001B2F4A" w:rsidRPr="005452B3">
            <w:rPr>
              <w:rFonts w:ascii="Arial" w:hAnsi="Arial" w:cs="Arial"/>
              <w:sz w:val="24"/>
              <w:szCs w:val="24"/>
            </w:rPr>
            <w:instrText xml:space="preserve">CITATION Ere10 \l 1033 </w:instrText>
          </w:r>
          <w:r w:rsidR="001B2F4A" w:rsidRPr="005452B3">
            <w:rPr>
              <w:rFonts w:ascii="Arial" w:hAnsi="Arial" w:cs="Arial"/>
              <w:sz w:val="24"/>
              <w:szCs w:val="24"/>
            </w:rPr>
            <w:fldChar w:fldCharType="separate"/>
          </w:r>
          <w:r w:rsidR="00EF655C" w:rsidRPr="005452B3">
            <w:rPr>
              <w:rFonts w:ascii="Arial" w:hAnsi="Arial" w:cs="Arial"/>
              <w:noProof/>
              <w:sz w:val="24"/>
              <w:szCs w:val="24"/>
            </w:rPr>
            <w:t>(Erega., 2010)</w:t>
          </w:r>
          <w:r w:rsidR="001B2F4A" w:rsidRPr="005452B3">
            <w:rPr>
              <w:rFonts w:ascii="Arial" w:hAnsi="Arial" w:cs="Arial"/>
              <w:sz w:val="24"/>
              <w:szCs w:val="24"/>
            </w:rPr>
            <w:fldChar w:fldCharType="end"/>
          </w:r>
        </w:sdtContent>
      </w:sdt>
      <w:r w:rsidR="001B2F4A" w:rsidRPr="005452B3">
        <w:rPr>
          <w:rFonts w:ascii="Arial" w:hAnsi="Arial" w:cs="Arial"/>
          <w:sz w:val="24"/>
          <w:szCs w:val="24"/>
        </w:rPr>
        <w:t xml:space="preserve"> </w:t>
      </w:r>
      <w:r w:rsidR="00D73575" w:rsidRPr="005452B3">
        <w:rPr>
          <w:rFonts w:ascii="Arial" w:hAnsi="Arial" w:cs="Arial"/>
          <w:sz w:val="24"/>
          <w:szCs w:val="24"/>
        </w:rPr>
        <w:t>whose study showed an inverse relationship between interest rate and investment rate in Nigeria.</w:t>
      </w:r>
    </w:p>
    <w:p w:rsidR="005E2AD9" w:rsidRPr="005452B3" w:rsidRDefault="005E2AD9" w:rsidP="005E2AD9">
      <w:pPr>
        <w:tabs>
          <w:tab w:val="left" w:pos="0"/>
        </w:tabs>
        <w:spacing w:after="0" w:line="240" w:lineRule="auto"/>
        <w:jc w:val="both"/>
        <w:rPr>
          <w:rFonts w:ascii="Arial" w:hAnsi="Arial" w:cs="Arial"/>
          <w:sz w:val="24"/>
          <w:szCs w:val="24"/>
        </w:rPr>
      </w:pPr>
    </w:p>
    <w:p w:rsidR="00D73575" w:rsidRPr="005E2AD9" w:rsidRDefault="00CD1FD1" w:rsidP="005E2AD9">
      <w:pPr>
        <w:pStyle w:val="Default"/>
        <w:tabs>
          <w:tab w:val="left" w:pos="0"/>
        </w:tabs>
        <w:jc w:val="both"/>
        <w:rPr>
          <w:rFonts w:ascii="Arial" w:hAnsi="Arial" w:cs="Arial"/>
          <w:color w:val="auto"/>
        </w:rPr>
      </w:pPr>
      <w:sdt>
        <w:sdtPr>
          <w:rPr>
            <w:rFonts w:ascii="Arial" w:hAnsi="Arial" w:cs="Arial"/>
            <w:color w:val="auto"/>
          </w:rPr>
          <w:id w:val="1293328063"/>
          <w:citation/>
        </w:sdtPr>
        <w:sdtEndPr/>
        <w:sdtContent>
          <w:r w:rsidR="00E74E24" w:rsidRPr="005452B3">
            <w:rPr>
              <w:rFonts w:ascii="Arial" w:hAnsi="Arial" w:cs="Arial"/>
              <w:color w:val="auto"/>
            </w:rPr>
            <w:fldChar w:fldCharType="begin"/>
          </w:r>
          <w:r w:rsidR="00E74E24" w:rsidRPr="005452B3">
            <w:rPr>
              <w:rFonts w:ascii="Arial" w:hAnsi="Arial" w:cs="Arial"/>
              <w:color w:val="auto"/>
            </w:rPr>
            <w:instrText xml:space="preserve"> CITATION TMO09 \l 1033 </w:instrText>
          </w:r>
          <w:r w:rsidR="00E74E24" w:rsidRPr="005452B3">
            <w:rPr>
              <w:rFonts w:ascii="Arial" w:hAnsi="Arial" w:cs="Arial"/>
              <w:color w:val="auto"/>
            </w:rPr>
            <w:fldChar w:fldCharType="separate"/>
          </w:r>
          <w:r w:rsidR="00EF655C" w:rsidRPr="005452B3">
            <w:rPr>
              <w:rFonts w:ascii="Arial" w:hAnsi="Arial" w:cs="Arial"/>
              <w:noProof/>
              <w:color w:val="auto"/>
            </w:rPr>
            <w:t>(Obamuyi, 2009)</w:t>
          </w:r>
          <w:r w:rsidR="00E74E24" w:rsidRPr="005452B3">
            <w:rPr>
              <w:rFonts w:ascii="Arial" w:hAnsi="Arial" w:cs="Arial"/>
              <w:color w:val="auto"/>
            </w:rPr>
            <w:fldChar w:fldCharType="end"/>
          </w:r>
        </w:sdtContent>
      </w:sdt>
      <w:r w:rsidR="00D73575" w:rsidRPr="005452B3">
        <w:rPr>
          <w:rFonts w:ascii="Arial" w:hAnsi="Arial" w:cs="Arial"/>
          <w:color w:val="auto"/>
        </w:rPr>
        <w:t xml:space="preserve"> </w:t>
      </w:r>
      <w:proofErr w:type="gramStart"/>
      <w:r w:rsidR="00045ED5" w:rsidRPr="005452B3">
        <w:rPr>
          <w:rFonts w:ascii="Arial" w:hAnsi="Arial" w:cs="Arial"/>
          <w:color w:val="auto"/>
        </w:rPr>
        <w:t>claimed</w:t>
      </w:r>
      <w:proofErr w:type="gramEnd"/>
      <w:r w:rsidR="00045ED5" w:rsidRPr="005452B3">
        <w:rPr>
          <w:rFonts w:ascii="Arial" w:hAnsi="Arial" w:cs="Arial"/>
          <w:color w:val="auto"/>
        </w:rPr>
        <w:t xml:space="preserve"> that</w:t>
      </w:r>
      <w:r w:rsidR="00D73575" w:rsidRPr="005452B3">
        <w:rPr>
          <w:rFonts w:ascii="Arial" w:hAnsi="Arial" w:cs="Arial"/>
          <w:color w:val="auto"/>
        </w:rPr>
        <w:t xml:space="preserve"> the relationship between interest rate and economic growth in Nigeria. The study modelling techniques and revealed the lending rate has significant effect on economic growth. The study then postulated that investment friendly interest rate policies necessary for promoting economic growth needs to be formulated and properly implemented.</w:t>
      </w:r>
      <w:r w:rsidR="005E2AD9">
        <w:rPr>
          <w:rFonts w:ascii="Arial" w:hAnsi="Arial" w:cs="Arial"/>
          <w:color w:val="auto"/>
        </w:rPr>
        <w:t xml:space="preserve"> </w:t>
      </w:r>
      <w:r w:rsidR="007C36F0" w:rsidRPr="005452B3">
        <w:rPr>
          <w:rFonts w:ascii="Arial" w:hAnsi="Arial" w:cs="Arial"/>
          <w:color w:val="auto"/>
        </w:rPr>
        <w:t>(</w:t>
      </w:r>
      <w:proofErr w:type="spellStart"/>
      <w:r w:rsidR="007C36F0" w:rsidRPr="005452B3">
        <w:rPr>
          <w:rFonts w:ascii="Arial" w:hAnsi="Arial" w:cs="Arial"/>
          <w:color w:val="auto"/>
        </w:rPr>
        <w:t>Erega</w:t>
      </w:r>
      <w:proofErr w:type="spellEnd"/>
      <w:r w:rsidR="007C36F0" w:rsidRPr="005452B3">
        <w:rPr>
          <w:rFonts w:ascii="Arial" w:hAnsi="Arial" w:cs="Arial"/>
          <w:color w:val="auto"/>
        </w:rPr>
        <w:t>, 2010)</w:t>
      </w:r>
      <w:r w:rsidR="00D73575" w:rsidRPr="005452B3">
        <w:rPr>
          <w:rFonts w:ascii="Arial" w:hAnsi="Arial" w:cs="Arial"/>
          <w:color w:val="auto"/>
        </w:rPr>
        <w:t xml:space="preserve"> </w:t>
      </w:r>
      <w:r w:rsidR="00045ED5" w:rsidRPr="005452B3">
        <w:rPr>
          <w:rFonts w:ascii="Arial" w:hAnsi="Arial" w:cs="Arial"/>
          <w:color w:val="auto"/>
        </w:rPr>
        <w:t>agrees that</w:t>
      </w:r>
      <w:r w:rsidR="00D73575" w:rsidRPr="005452B3">
        <w:rPr>
          <w:rFonts w:ascii="Arial" w:hAnsi="Arial" w:cs="Arial"/>
          <w:color w:val="auto"/>
        </w:rPr>
        <w:t xml:space="preserve"> the relationship between interest rate and investment in Nigeria between 1970 and 2002. His study revealed that variations in interest rate played a negative and significant role in investment decision in the economy and demand for growth.</w:t>
      </w:r>
    </w:p>
    <w:p w:rsidR="005E2AD9" w:rsidRPr="005452B3" w:rsidRDefault="005E2AD9" w:rsidP="005D213C">
      <w:pPr>
        <w:tabs>
          <w:tab w:val="left" w:pos="0"/>
        </w:tabs>
        <w:autoSpaceDE w:val="0"/>
        <w:autoSpaceDN w:val="0"/>
        <w:adjustRightInd w:val="0"/>
        <w:spacing w:after="0" w:line="240" w:lineRule="auto"/>
        <w:jc w:val="both"/>
        <w:rPr>
          <w:rFonts w:ascii="Arial" w:hAnsi="Arial" w:cs="Arial"/>
          <w:sz w:val="24"/>
          <w:szCs w:val="24"/>
        </w:rPr>
      </w:pPr>
    </w:p>
    <w:p w:rsidR="001142A6" w:rsidRDefault="007C36F0" w:rsidP="005D213C">
      <w:pPr>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w:t>
      </w:r>
      <w:proofErr w:type="spellStart"/>
      <w:r w:rsidRPr="005452B3">
        <w:rPr>
          <w:rFonts w:ascii="Arial" w:hAnsi="Arial" w:cs="Arial"/>
          <w:sz w:val="24"/>
          <w:szCs w:val="24"/>
        </w:rPr>
        <w:t>Obamuyi</w:t>
      </w:r>
      <w:proofErr w:type="spellEnd"/>
      <w:r w:rsidRPr="005452B3">
        <w:rPr>
          <w:rFonts w:ascii="Arial" w:hAnsi="Arial" w:cs="Arial"/>
          <w:sz w:val="24"/>
          <w:szCs w:val="24"/>
        </w:rPr>
        <w:t xml:space="preserve"> &amp; </w:t>
      </w:r>
      <w:proofErr w:type="spellStart"/>
      <w:r w:rsidRPr="005452B3">
        <w:rPr>
          <w:rFonts w:ascii="Arial" w:hAnsi="Arial" w:cs="Arial"/>
          <w:sz w:val="24"/>
          <w:szCs w:val="24"/>
        </w:rPr>
        <w:t>Olorunfemi</w:t>
      </w:r>
      <w:proofErr w:type="spellEnd"/>
      <w:r w:rsidRPr="005452B3">
        <w:rPr>
          <w:rFonts w:ascii="Arial" w:hAnsi="Arial" w:cs="Arial"/>
          <w:sz w:val="24"/>
          <w:szCs w:val="24"/>
        </w:rPr>
        <w:t>, 2011)</w:t>
      </w:r>
      <w:r w:rsidR="00D73575" w:rsidRPr="005452B3">
        <w:rPr>
          <w:rFonts w:ascii="Arial" w:hAnsi="Arial" w:cs="Arial"/>
          <w:sz w:val="24"/>
          <w:szCs w:val="24"/>
        </w:rPr>
        <w:t xml:space="preserve"> further investigation on implications of financial reform and interest rate behaviour on economic growth in Nigeria. Using co integration and error correction model on time series data from 1970-2006, they document that financial reform and interest rates have significant impact on economic growth in Nigeria. The results imply that the behaviour of interest rate is important for economic growth in view of the empirical nexus between interest rates and investment, and investment and growth</w:t>
      </w:r>
      <w:r w:rsidR="00147077" w:rsidRPr="005452B3">
        <w:rPr>
          <w:rFonts w:ascii="Arial" w:hAnsi="Arial" w:cs="Arial"/>
          <w:sz w:val="24"/>
          <w:szCs w:val="24"/>
        </w:rPr>
        <w:t xml:space="preserve">. The period use were </w:t>
      </w:r>
      <w:proofErr w:type="spellStart"/>
      <w:r w:rsidR="00147077" w:rsidRPr="005452B3">
        <w:rPr>
          <w:rFonts w:ascii="Arial" w:hAnsi="Arial" w:cs="Arial"/>
          <w:sz w:val="24"/>
          <w:szCs w:val="24"/>
        </w:rPr>
        <w:t>characterised</w:t>
      </w:r>
      <w:proofErr w:type="spellEnd"/>
      <w:r w:rsidR="00147077" w:rsidRPr="005452B3">
        <w:rPr>
          <w:rFonts w:ascii="Arial" w:hAnsi="Arial" w:cs="Arial"/>
          <w:sz w:val="24"/>
          <w:szCs w:val="24"/>
        </w:rPr>
        <w:t xml:space="preserve"> with m</w:t>
      </w:r>
      <w:r w:rsidR="001142A6" w:rsidRPr="005452B3">
        <w:rPr>
          <w:rFonts w:ascii="Arial" w:hAnsi="Arial" w:cs="Arial"/>
          <w:sz w:val="24"/>
          <w:szCs w:val="24"/>
        </w:rPr>
        <w:t>ostly fixed and regulated</w:t>
      </w:r>
      <w:r w:rsidR="00147077" w:rsidRPr="005452B3">
        <w:rPr>
          <w:rFonts w:ascii="Arial" w:hAnsi="Arial" w:cs="Arial"/>
          <w:sz w:val="24"/>
          <w:szCs w:val="24"/>
        </w:rPr>
        <w:t xml:space="preserve"> interest rate regime </w:t>
      </w:r>
      <w:r w:rsidR="001142A6" w:rsidRPr="005452B3">
        <w:rPr>
          <w:rFonts w:ascii="Arial" w:hAnsi="Arial" w:cs="Arial"/>
          <w:sz w:val="24"/>
          <w:szCs w:val="24"/>
        </w:rPr>
        <w:t>especially the early 70’s during the military rule which does not allowed the market forces t</w:t>
      </w:r>
      <w:r w:rsidR="002B3F53" w:rsidRPr="005452B3">
        <w:rPr>
          <w:rFonts w:ascii="Arial" w:hAnsi="Arial" w:cs="Arial"/>
          <w:sz w:val="24"/>
          <w:szCs w:val="24"/>
        </w:rPr>
        <w:t>he rate t</w:t>
      </w:r>
      <w:r w:rsidR="001142A6" w:rsidRPr="005452B3">
        <w:rPr>
          <w:rFonts w:ascii="Arial" w:hAnsi="Arial" w:cs="Arial"/>
          <w:sz w:val="24"/>
          <w:szCs w:val="24"/>
        </w:rPr>
        <w:t xml:space="preserve">o determine </w:t>
      </w:r>
      <w:r w:rsidR="002B3F53" w:rsidRPr="005452B3">
        <w:rPr>
          <w:rFonts w:ascii="Arial" w:hAnsi="Arial" w:cs="Arial"/>
          <w:sz w:val="24"/>
          <w:szCs w:val="24"/>
        </w:rPr>
        <w:t>the rate of interest</w:t>
      </w:r>
      <w:r w:rsidR="001142A6" w:rsidRPr="005452B3">
        <w:rPr>
          <w:rFonts w:ascii="Arial" w:hAnsi="Arial" w:cs="Arial"/>
          <w:sz w:val="24"/>
          <w:szCs w:val="24"/>
        </w:rPr>
        <w:t xml:space="preserve">. In this research the period is identify with when the economy been influence with liberalization of economy policy </w:t>
      </w:r>
      <w:r w:rsidR="00592F84" w:rsidRPr="005452B3">
        <w:rPr>
          <w:rFonts w:ascii="Arial" w:hAnsi="Arial" w:cs="Arial"/>
          <w:sz w:val="24"/>
          <w:szCs w:val="24"/>
        </w:rPr>
        <w:t>that</w:t>
      </w:r>
      <w:r w:rsidR="00147077" w:rsidRPr="005452B3">
        <w:rPr>
          <w:rFonts w:ascii="Arial" w:hAnsi="Arial" w:cs="Arial"/>
          <w:sz w:val="24"/>
          <w:szCs w:val="24"/>
        </w:rPr>
        <w:t xml:space="preserve"> enable the policy maker identify the </w:t>
      </w:r>
      <w:r w:rsidR="00572A42" w:rsidRPr="005452B3">
        <w:rPr>
          <w:rFonts w:ascii="Arial" w:hAnsi="Arial" w:cs="Arial"/>
          <w:sz w:val="24"/>
          <w:szCs w:val="24"/>
        </w:rPr>
        <w:t>optimal</w:t>
      </w:r>
      <w:r w:rsidR="00147077" w:rsidRPr="005452B3">
        <w:rPr>
          <w:rFonts w:ascii="Arial" w:hAnsi="Arial" w:cs="Arial"/>
          <w:sz w:val="24"/>
          <w:szCs w:val="24"/>
        </w:rPr>
        <w:t xml:space="preserve"> and appropriate interest rate regime that influence economic growth in the country. </w:t>
      </w:r>
    </w:p>
    <w:p w:rsidR="006A0A31" w:rsidRPr="005452B3" w:rsidRDefault="006A0A31" w:rsidP="005D213C">
      <w:pPr>
        <w:autoSpaceDE w:val="0"/>
        <w:autoSpaceDN w:val="0"/>
        <w:adjustRightInd w:val="0"/>
        <w:spacing w:after="0" w:line="240" w:lineRule="auto"/>
        <w:jc w:val="both"/>
        <w:rPr>
          <w:rFonts w:ascii="Arial" w:hAnsi="Arial" w:cs="Arial"/>
          <w:sz w:val="24"/>
          <w:szCs w:val="24"/>
        </w:rPr>
      </w:pPr>
    </w:p>
    <w:p w:rsidR="0084147F" w:rsidRPr="005452B3" w:rsidRDefault="0084147F" w:rsidP="005D213C">
      <w:pPr>
        <w:autoSpaceDE w:val="0"/>
        <w:autoSpaceDN w:val="0"/>
        <w:adjustRightInd w:val="0"/>
        <w:spacing w:after="0" w:line="240" w:lineRule="auto"/>
        <w:jc w:val="both"/>
        <w:rPr>
          <w:rFonts w:ascii="Arial" w:hAnsi="Arial" w:cs="Arial"/>
          <w:sz w:val="24"/>
          <w:szCs w:val="24"/>
        </w:rPr>
      </w:pPr>
    </w:p>
    <w:p w:rsidR="00D73575" w:rsidRPr="005452B3" w:rsidRDefault="00D73575" w:rsidP="005E2AD9">
      <w:pPr>
        <w:tabs>
          <w:tab w:val="left" w:pos="284"/>
        </w:tabs>
        <w:autoSpaceDE w:val="0"/>
        <w:autoSpaceDN w:val="0"/>
        <w:adjustRightInd w:val="0"/>
        <w:spacing w:after="0" w:line="240" w:lineRule="auto"/>
        <w:ind w:left="284" w:hanging="284"/>
        <w:jc w:val="both"/>
        <w:rPr>
          <w:rFonts w:ascii="Arial" w:hAnsi="Arial" w:cs="Arial"/>
          <w:b/>
          <w:sz w:val="28"/>
          <w:szCs w:val="28"/>
        </w:rPr>
      </w:pPr>
      <w:r w:rsidRPr="005452B3">
        <w:rPr>
          <w:rFonts w:ascii="Arial" w:hAnsi="Arial" w:cs="Arial"/>
          <w:b/>
          <w:sz w:val="28"/>
          <w:szCs w:val="28"/>
        </w:rPr>
        <w:t>3</w:t>
      </w:r>
      <w:r w:rsidR="00373B9C" w:rsidRPr="005452B3">
        <w:rPr>
          <w:rFonts w:ascii="Arial" w:hAnsi="Arial" w:cs="Arial"/>
          <w:b/>
          <w:sz w:val="28"/>
          <w:szCs w:val="28"/>
        </w:rPr>
        <w:t>.</w:t>
      </w:r>
      <w:r w:rsidR="000B4B48">
        <w:rPr>
          <w:rFonts w:ascii="Arial" w:hAnsi="Arial" w:cs="Arial"/>
          <w:b/>
          <w:sz w:val="28"/>
          <w:szCs w:val="28"/>
        </w:rPr>
        <w:t xml:space="preserve"> </w:t>
      </w:r>
      <w:r w:rsidR="00373B9C" w:rsidRPr="005452B3">
        <w:rPr>
          <w:rFonts w:ascii="Arial" w:hAnsi="Arial" w:cs="Arial"/>
          <w:b/>
          <w:bCs/>
          <w:sz w:val="28"/>
          <w:szCs w:val="28"/>
        </w:rPr>
        <w:t xml:space="preserve">The Methodology and Model </w:t>
      </w:r>
      <w:r w:rsidRPr="005452B3">
        <w:rPr>
          <w:rFonts w:ascii="Arial" w:hAnsi="Arial" w:cs="Arial"/>
          <w:b/>
          <w:sz w:val="28"/>
          <w:szCs w:val="28"/>
        </w:rPr>
        <w:t xml:space="preserve"> </w:t>
      </w:r>
    </w:p>
    <w:p w:rsidR="0084147F" w:rsidRPr="000B4B48" w:rsidRDefault="0084147F" w:rsidP="005D213C">
      <w:pPr>
        <w:tabs>
          <w:tab w:val="left" w:pos="0"/>
        </w:tabs>
        <w:autoSpaceDE w:val="0"/>
        <w:autoSpaceDN w:val="0"/>
        <w:adjustRightInd w:val="0"/>
        <w:spacing w:after="0" w:line="240" w:lineRule="auto"/>
        <w:jc w:val="both"/>
        <w:rPr>
          <w:rFonts w:ascii="Arial" w:hAnsi="Arial" w:cs="Arial"/>
          <w:b/>
          <w:sz w:val="24"/>
          <w:szCs w:val="24"/>
        </w:rPr>
      </w:pPr>
    </w:p>
    <w:p w:rsidR="00D73575"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This paper is on the </w:t>
      </w:r>
      <w:r w:rsidRPr="005452B3">
        <w:rPr>
          <w:rFonts w:ascii="Arial" w:hAnsi="Arial" w:cs="Arial"/>
          <w:sz w:val="24"/>
          <w:szCs w:val="24"/>
          <w:lang w:val="yo-NG"/>
        </w:rPr>
        <w:t xml:space="preserve">assessment of the </w:t>
      </w:r>
      <w:r w:rsidRPr="005452B3">
        <w:rPr>
          <w:rFonts w:ascii="Arial" w:hAnsi="Arial" w:cs="Arial"/>
          <w:sz w:val="24"/>
          <w:szCs w:val="24"/>
        </w:rPr>
        <w:t>effect of interest rate on Eco</w:t>
      </w:r>
      <w:r w:rsidR="006930B7" w:rsidRPr="005452B3">
        <w:rPr>
          <w:rFonts w:ascii="Arial" w:hAnsi="Arial" w:cs="Arial"/>
          <w:sz w:val="24"/>
          <w:szCs w:val="24"/>
        </w:rPr>
        <w:t>nomic Growth of Nigeria from 1980</w:t>
      </w:r>
      <w:r w:rsidRPr="005452B3">
        <w:rPr>
          <w:rFonts w:ascii="Arial" w:hAnsi="Arial" w:cs="Arial"/>
          <w:sz w:val="24"/>
          <w:szCs w:val="24"/>
        </w:rPr>
        <w:t>- 201</w:t>
      </w:r>
      <w:r w:rsidR="006930B7" w:rsidRPr="005452B3">
        <w:rPr>
          <w:rFonts w:ascii="Arial" w:hAnsi="Arial" w:cs="Arial"/>
          <w:sz w:val="24"/>
          <w:szCs w:val="24"/>
        </w:rPr>
        <w:t>2</w:t>
      </w:r>
      <w:r w:rsidR="00E90FB0" w:rsidRPr="005452B3">
        <w:rPr>
          <w:rFonts w:ascii="Arial" w:hAnsi="Arial" w:cs="Arial"/>
          <w:sz w:val="24"/>
          <w:szCs w:val="24"/>
        </w:rPr>
        <w:t xml:space="preserve"> this was in line with the stead economic policy and socio-political harmony in the country during the period</w:t>
      </w:r>
      <w:r w:rsidRPr="005452B3">
        <w:rPr>
          <w:rFonts w:ascii="Arial" w:hAnsi="Arial" w:cs="Arial"/>
          <w:sz w:val="24"/>
          <w:szCs w:val="24"/>
        </w:rPr>
        <w:t xml:space="preserve">. Secondary data were obtained from the CBN statistical bulletin of various years. The data would be analyzed, interpreted and tested in order to facilitate a valued conclusion on the effect of interest rate fluctuation in Nigeria. The major statistical tool used in the study is the multiple regression statistical technique. </w:t>
      </w:r>
    </w:p>
    <w:p w:rsidR="006A0A31" w:rsidRPr="005452B3" w:rsidRDefault="006A0A31" w:rsidP="005D213C">
      <w:pPr>
        <w:tabs>
          <w:tab w:val="left" w:pos="0"/>
        </w:tabs>
        <w:autoSpaceDE w:val="0"/>
        <w:autoSpaceDN w:val="0"/>
        <w:adjustRightInd w:val="0"/>
        <w:spacing w:after="0" w:line="240" w:lineRule="auto"/>
        <w:jc w:val="both"/>
        <w:rPr>
          <w:rFonts w:ascii="Arial" w:hAnsi="Arial" w:cs="Arial"/>
          <w:sz w:val="24"/>
          <w:szCs w:val="24"/>
        </w:rPr>
      </w:pPr>
    </w:p>
    <w:p w:rsidR="00D73575"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The model used for this research study is specified as follows:</w:t>
      </w:r>
    </w:p>
    <w:p w:rsidR="000B4B48" w:rsidRPr="005452B3" w:rsidRDefault="000B4B48" w:rsidP="005D213C">
      <w:pPr>
        <w:tabs>
          <w:tab w:val="left" w:pos="0"/>
        </w:tabs>
        <w:autoSpaceDE w:val="0"/>
        <w:autoSpaceDN w:val="0"/>
        <w:adjustRightInd w:val="0"/>
        <w:spacing w:after="0" w:line="240" w:lineRule="auto"/>
        <w:jc w:val="both"/>
        <w:rPr>
          <w:rFonts w:ascii="Arial" w:hAnsi="Arial" w:cs="Arial"/>
          <w:b/>
          <w:sz w:val="24"/>
          <w:szCs w:val="24"/>
        </w:rPr>
      </w:pPr>
    </w:p>
    <w:p w:rsidR="00D73575" w:rsidRPr="005452B3" w:rsidRDefault="00D73575" w:rsidP="000B4B48">
      <w:pPr>
        <w:tabs>
          <w:tab w:val="left" w:pos="0"/>
        </w:tabs>
        <w:autoSpaceDE w:val="0"/>
        <w:autoSpaceDN w:val="0"/>
        <w:adjustRightInd w:val="0"/>
        <w:spacing w:after="0" w:line="240" w:lineRule="auto"/>
        <w:jc w:val="center"/>
        <w:rPr>
          <w:rFonts w:ascii="Arial" w:hAnsi="Arial" w:cs="Arial"/>
          <w:sz w:val="24"/>
          <w:szCs w:val="24"/>
        </w:rPr>
      </w:pPr>
      <w:r w:rsidRPr="005452B3">
        <w:rPr>
          <w:rFonts w:ascii="Arial" w:hAnsi="Arial" w:cs="Arial"/>
          <w:sz w:val="24"/>
          <w:szCs w:val="24"/>
        </w:rPr>
        <w:t>GDPGR=f (SD, RIR, INFL)</w:t>
      </w:r>
    </w:p>
    <w:p w:rsidR="000B4B48" w:rsidRDefault="000B4B48" w:rsidP="005D213C">
      <w:pPr>
        <w:tabs>
          <w:tab w:val="left" w:pos="0"/>
        </w:tabs>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Thus, we can express the econometric form of the models as:</w:t>
      </w:r>
    </w:p>
    <w:p w:rsidR="000B4B48" w:rsidRPr="005452B3" w:rsidRDefault="000B4B48" w:rsidP="005D213C">
      <w:pPr>
        <w:tabs>
          <w:tab w:val="left" w:pos="0"/>
        </w:tabs>
        <w:spacing w:after="0" w:line="240" w:lineRule="auto"/>
        <w:jc w:val="both"/>
        <w:rPr>
          <w:rFonts w:ascii="Arial" w:hAnsi="Arial" w:cs="Arial"/>
          <w:sz w:val="24"/>
          <w:szCs w:val="24"/>
        </w:rPr>
      </w:pPr>
    </w:p>
    <w:p w:rsidR="00D73575" w:rsidRPr="000B4B48" w:rsidRDefault="00D73575" w:rsidP="005D213C">
      <w:pPr>
        <w:tabs>
          <w:tab w:val="left" w:pos="0"/>
        </w:tabs>
        <w:spacing w:after="0" w:line="240" w:lineRule="auto"/>
        <w:jc w:val="both"/>
        <w:rPr>
          <w:rFonts w:ascii="Arial" w:hAnsi="Arial" w:cs="Arial"/>
          <w:sz w:val="24"/>
          <w:szCs w:val="24"/>
        </w:rPr>
      </w:pPr>
      <m:oMathPara>
        <m:oMathParaPr>
          <m:jc m:val="center"/>
        </m:oMathParaPr>
        <m:oMath>
          <m:r>
            <w:rPr>
              <w:rFonts w:ascii="Cambria Math" w:hAnsi="Cambria Math" w:cs="Arial"/>
              <w:sz w:val="24"/>
              <w:szCs w:val="24"/>
            </w:rPr>
            <m:t>GDPGR=</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r>
            <w:rPr>
              <w:rFonts w:ascii="Cambria Math" w:hAnsi="Cambria Math" w:cs="Arial"/>
              <w:sz w:val="24"/>
              <w:szCs w:val="24"/>
            </w:rPr>
            <m:t>SD+</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r>
            <w:rPr>
              <w:rFonts w:ascii="Cambria Math" w:hAnsi="Cambria Math" w:cs="Arial"/>
              <w:sz w:val="24"/>
              <w:szCs w:val="24"/>
            </w:rPr>
            <m:t>RIR+</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3</m:t>
              </m:r>
            </m:sub>
          </m:sSub>
          <m:r>
            <w:rPr>
              <w:rFonts w:ascii="Cambria Math" w:hAnsi="Cambria Math" w:cs="Arial"/>
              <w:sz w:val="24"/>
              <w:szCs w:val="24"/>
            </w:rPr>
            <m:t>INFL+</m:t>
          </m:r>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t</m:t>
              </m:r>
            </m:sub>
          </m:sSub>
          <m:r>
            <w:rPr>
              <w:rFonts w:ascii="Cambria Math" w:hAnsi="Cambria Math" w:cs="Arial"/>
              <w:sz w:val="24"/>
              <w:szCs w:val="24"/>
            </w:rPr>
            <m:t xml:space="preserve"> </m:t>
          </m:r>
        </m:oMath>
      </m:oMathPara>
    </w:p>
    <w:p w:rsidR="000B4B48" w:rsidRDefault="000B4B48" w:rsidP="005D213C">
      <w:pPr>
        <w:tabs>
          <w:tab w:val="left" w:pos="0"/>
        </w:tabs>
        <w:autoSpaceDE w:val="0"/>
        <w:autoSpaceDN w:val="0"/>
        <w:adjustRightInd w:val="0"/>
        <w:spacing w:after="0" w:line="240" w:lineRule="auto"/>
        <w:jc w:val="both"/>
        <w:rPr>
          <w:rFonts w:ascii="Arial" w:hAnsi="Arial" w:cs="Arial"/>
          <w:sz w:val="24"/>
          <w:szCs w:val="24"/>
        </w:rPr>
      </w:pPr>
    </w:p>
    <w:p w:rsidR="00D73575"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Where,</w:t>
      </w:r>
    </w:p>
    <w:p w:rsidR="00275961" w:rsidRDefault="00275961" w:rsidP="005D213C">
      <w:pPr>
        <w:tabs>
          <w:tab w:val="left" w:pos="0"/>
        </w:tabs>
        <w:autoSpaceDE w:val="0"/>
        <w:autoSpaceDN w:val="0"/>
        <w:adjustRightInd w:val="0"/>
        <w:spacing w:after="0" w:line="240" w:lineRule="auto"/>
        <w:jc w:val="both"/>
        <w:rPr>
          <w:rFonts w:ascii="Arial" w:hAnsi="Arial" w:cs="Arial"/>
          <w:sz w:val="24"/>
          <w:szCs w:val="24"/>
        </w:rPr>
      </w:pP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GDPGR = Gross Domestic Product Growth Rate</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SD = Savings Deposit  </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RIR = Real interest rate </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INF = Inflation rate</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B</w:t>
      </w:r>
      <w:r w:rsidRPr="005452B3">
        <w:rPr>
          <w:rFonts w:ascii="Arial" w:hAnsi="Arial" w:cs="Arial"/>
          <w:sz w:val="24"/>
          <w:szCs w:val="24"/>
          <w:vertAlign w:val="subscript"/>
        </w:rPr>
        <w:t xml:space="preserve">0 </w:t>
      </w:r>
      <w:r w:rsidRPr="005452B3">
        <w:rPr>
          <w:rFonts w:ascii="Arial" w:hAnsi="Arial" w:cs="Arial"/>
          <w:sz w:val="24"/>
          <w:szCs w:val="24"/>
        </w:rPr>
        <w:t xml:space="preserve">= intercept </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B</w:t>
      </w:r>
      <w:r w:rsidRPr="005452B3">
        <w:rPr>
          <w:rFonts w:ascii="Arial" w:hAnsi="Arial" w:cs="Arial"/>
          <w:sz w:val="24"/>
          <w:szCs w:val="24"/>
          <w:vertAlign w:val="subscript"/>
        </w:rPr>
        <w:t>1</w:t>
      </w:r>
      <w:r w:rsidRPr="005452B3">
        <w:rPr>
          <w:rFonts w:ascii="Arial" w:hAnsi="Arial" w:cs="Arial"/>
          <w:sz w:val="24"/>
          <w:szCs w:val="24"/>
        </w:rPr>
        <w:t>, B</w:t>
      </w:r>
      <w:r w:rsidRPr="005452B3">
        <w:rPr>
          <w:rFonts w:ascii="Arial" w:hAnsi="Arial" w:cs="Arial"/>
          <w:sz w:val="24"/>
          <w:szCs w:val="24"/>
          <w:vertAlign w:val="subscript"/>
        </w:rPr>
        <w:t>2</w:t>
      </w:r>
      <w:r w:rsidRPr="005452B3">
        <w:rPr>
          <w:rFonts w:ascii="Arial" w:hAnsi="Arial" w:cs="Arial"/>
          <w:sz w:val="24"/>
          <w:szCs w:val="24"/>
        </w:rPr>
        <w:t xml:space="preserve"> andB</w:t>
      </w:r>
      <w:r w:rsidRPr="005452B3">
        <w:rPr>
          <w:rFonts w:ascii="Arial" w:hAnsi="Arial" w:cs="Arial"/>
          <w:sz w:val="24"/>
          <w:szCs w:val="24"/>
          <w:vertAlign w:val="subscript"/>
        </w:rPr>
        <w:t>3</w:t>
      </w:r>
      <w:r w:rsidRPr="005452B3">
        <w:rPr>
          <w:rFonts w:ascii="Arial" w:hAnsi="Arial" w:cs="Arial"/>
          <w:sz w:val="24"/>
          <w:szCs w:val="24"/>
        </w:rPr>
        <w:t xml:space="preserve"> are the regression parameters</w:t>
      </w:r>
    </w:p>
    <w:p w:rsidR="00D73575" w:rsidRPr="005452B3" w:rsidRDefault="00D73575" w:rsidP="005D213C">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U = Error terms</w:t>
      </w:r>
    </w:p>
    <w:p w:rsidR="00E0437D" w:rsidRDefault="00E0437D" w:rsidP="005D213C">
      <w:pPr>
        <w:tabs>
          <w:tab w:val="left" w:pos="0"/>
          <w:tab w:val="left" w:pos="153"/>
        </w:tabs>
        <w:spacing w:after="0" w:line="240" w:lineRule="auto"/>
        <w:jc w:val="both"/>
        <w:rPr>
          <w:rFonts w:ascii="Arial" w:hAnsi="Arial" w:cs="Arial"/>
          <w:sz w:val="24"/>
          <w:szCs w:val="24"/>
        </w:rPr>
      </w:pPr>
    </w:p>
    <w:p w:rsidR="00D73575" w:rsidRDefault="00D73575" w:rsidP="005D213C">
      <w:pPr>
        <w:tabs>
          <w:tab w:val="left" w:pos="0"/>
          <w:tab w:val="left" w:pos="153"/>
        </w:tabs>
        <w:spacing w:after="0" w:line="240" w:lineRule="auto"/>
        <w:jc w:val="both"/>
        <w:rPr>
          <w:rFonts w:ascii="Arial" w:hAnsi="Arial" w:cs="Arial"/>
          <w:sz w:val="24"/>
          <w:szCs w:val="24"/>
        </w:rPr>
      </w:pPr>
      <w:r w:rsidRPr="005452B3">
        <w:rPr>
          <w:rFonts w:ascii="Arial" w:hAnsi="Arial" w:cs="Arial"/>
          <w:sz w:val="24"/>
          <w:szCs w:val="24"/>
        </w:rPr>
        <w:t>Expressing in Log-linear Form,</w:t>
      </w:r>
    </w:p>
    <w:p w:rsidR="00E0437D" w:rsidRPr="005452B3" w:rsidRDefault="00E0437D" w:rsidP="005D213C">
      <w:pPr>
        <w:tabs>
          <w:tab w:val="left" w:pos="0"/>
          <w:tab w:val="left" w:pos="153"/>
        </w:tabs>
        <w:spacing w:after="0" w:line="240" w:lineRule="auto"/>
        <w:jc w:val="both"/>
        <w:rPr>
          <w:rFonts w:ascii="Arial" w:hAnsi="Arial" w:cs="Arial"/>
          <w:sz w:val="24"/>
          <w:szCs w:val="24"/>
        </w:rPr>
      </w:pPr>
    </w:p>
    <w:p w:rsidR="00D73575" w:rsidRPr="00E0437D" w:rsidRDefault="00D73575" w:rsidP="005D213C">
      <w:pPr>
        <w:tabs>
          <w:tab w:val="left" w:pos="0"/>
        </w:tabs>
        <w:autoSpaceDE w:val="0"/>
        <w:autoSpaceDN w:val="0"/>
        <w:adjustRightInd w:val="0"/>
        <w:spacing w:after="0" w:line="240" w:lineRule="auto"/>
        <w:jc w:val="both"/>
        <w:rPr>
          <w:rFonts w:ascii="Arial" w:eastAsia="Times New Roman" w:hAnsi="Arial" w:cs="Arial"/>
          <w:sz w:val="24"/>
          <w:szCs w:val="24"/>
        </w:rPr>
      </w:pPr>
      <m:oMathPara>
        <m:oMathParaPr>
          <m:jc m:val="center"/>
        </m:oMathParaPr>
        <m:oMath>
          <m:r>
            <w:rPr>
              <w:rFonts w:ascii="Cambria Math" w:hAnsi="Cambria Math" w:cs="Arial"/>
              <w:sz w:val="24"/>
              <w:szCs w:val="24"/>
            </w:rPr>
            <m:t>lnGDP=</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1</m:t>
              </m:r>
            </m:sub>
          </m:sSub>
          <m:r>
            <w:rPr>
              <w:rFonts w:ascii="Cambria Math" w:hAnsi="Cambria Math" w:cs="Arial"/>
              <w:sz w:val="24"/>
              <w:szCs w:val="24"/>
            </w:rPr>
            <m:t>lnSD+</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2</m:t>
              </m:r>
            </m:sub>
          </m:sSub>
          <m:r>
            <w:rPr>
              <w:rFonts w:ascii="Cambria Math" w:hAnsi="Cambria Math" w:cs="Arial"/>
              <w:sz w:val="24"/>
              <w:szCs w:val="24"/>
            </w:rPr>
            <m:t>RIR+</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3</m:t>
              </m:r>
            </m:sub>
          </m:sSub>
          <m:r>
            <w:rPr>
              <w:rFonts w:ascii="Cambria Math" w:hAnsi="Cambria Math" w:cs="Arial"/>
              <w:sz w:val="24"/>
              <w:szCs w:val="24"/>
            </w:rPr>
            <m:t>INFL+μ</m:t>
          </m:r>
        </m:oMath>
      </m:oMathPara>
    </w:p>
    <w:p w:rsidR="00410F54" w:rsidRPr="005452B3" w:rsidRDefault="00410F54" w:rsidP="005D213C">
      <w:pPr>
        <w:spacing w:after="0" w:line="240" w:lineRule="auto"/>
        <w:jc w:val="both"/>
        <w:rPr>
          <w:rFonts w:ascii="Arial" w:hAnsi="Arial" w:cs="Arial"/>
          <w:b/>
          <w:bCs/>
          <w:sz w:val="28"/>
          <w:szCs w:val="28"/>
        </w:rPr>
      </w:pPr>
    </w:p>
    <w:p w:rsidR="00373B9C" w:rsidRPr="005452B3" w:rsidRDefault="000B4B48" w:rsidP="000B4B48">
      <w:pPr>
        <w:spacing w:after="0" w:line="240" w:lineRule="auto"/>
        <w:ind w:left="284" w:hanging="284"/>
        <w:jc w:val="both"/>
        <w:rPr>
          <w:rFonts w:ascii="Arial" w:hAnsi="Arial" w:cs="Arial"/>
          <w:b/>
          <w:bCs/>
          <w:sz w:val="28"/>
          <w:szCs w:val="28"/>
        </w:rPr>
      </w:pPr>
      <w:r>
        <w:rPr>
          <w:rFonts w:ascii="Arial" w:hAnsi="Arial" w:cs="Arial"/>
          <w:b/>
          <w:bCs/>
          <w:sz w:val="28"/>
          <w:szCs w:val="28"/>
        </w:rPr>
        <w:t xml:space="preserve">4. </w:t>
      </w:r>
      <w:r w:rsidR="00373B9C" w:rsidRPr="005452B3">
        <w:rPr>
          <w:rFonts w:ascii="Arial" w:hAnsi="Arial" w:cs="Arial"/>
          <w:b/>
          <w:bCs/>
          <w:sz w:val="28"/>
          <w:szCs w:val="28"/>
        </w:rPr>
        <w:t xml:space="preserve">The </w:t>
      </w:r>
      <w:r w:rsidRPr="005452B3">
        <w:rPr>
          <w:rFonts w:ascii="Arial" w:hAnsi="Arial" w:cs="Arial"/>
          <w:b/>
          <w:bCs/>
          <w:sz w:val="28"/>
          <w:szCs w:val="28"/>
        </w:rPr>
        <w:t>Findings</w:t>
      </w:r>
    </w:p>
    <w:p w:rsidR="000B4B48" w:rsidRPr="000B4B48" w:rsidRDefault="000B4B48" w:rsidP="005D213C">
      <w:pPr>
        <w:tabs>
          <w:tab w:val="left" w:pos="0"/>
          <w:tab w:val="left" w:pos="2235"/>
        </w:tabs>
        <w:spacing w:after="0" w:line="240" w:lineRule="auto"/>
        <w:jc w:val="both"/>
        <w:rPr>
          <w:rFonts w:ascii="Arial" w:hAnsi="Arial" w:cs="Arial"/>
          <w:b/>
          <w:sz w:val="28"/>
          <w:szCs w:val="28"/>
        </w:rPr>
      </w:pPr>
    </w:p>
    <w:p w:rsidR="00D73575" w:rsidRPr="005452B3" w:rsidRDefault="000B4B48" w:rsidP="000B4B48">
      <w:pPr>
        <w:tabs>
          <w:tab w:val="left" w:pos="0"/>
          <w:tab w:val="left" w:pos="2235"/>
        </w:tabs>
        <w:spacing w:after="0" w:line="240" w:lineRule="auto"/>
        <w:jc w:val="center"/>
        <w:rPr>
          <w:rFonts w:ascii="Arial" w:hAnsi="Arial" w:cs="Arial"/>
          <w:b/>
          <w:sz w:val="24"/>
          <w:szCs w:val="24"/>
        </w:rPr>
      </w:pPr>
      <w:r>
        <w:rPr>
          <w:rFonts w:ascii="Arial" w:hAnsi="Arial" w:cs="Arial"/>
          <w:b/>
          <w:sz w:val="24"/>
          <w:szCs w:val="24"/>
        </w:rPr>
        <w:t xml:space="preserve">Table 1: </w:t>
      </w:r>
      <w:r w:rsidR="00D73575" w:rsidRPr="005452B3">
        <w:rPr>
          <w:rFonts w:ascii="Arial" w:hAnsi="Arial" w:cs="Arial"/>
          <w:b/>
          <w:bCs/>
          <w:sz w:val="24"/>
          <w:szCs w:val="24"/>
        </w:rPr>
        <w:t>Regression Results</w:t>
      </w:r>
    </w:p>
    <w:tbl>
      <w:tblPr>
        <w:tblW w:w="6030" w:type="dxa"/>
        <w:jc w:val="center"/>
        <w:tblLook w:val="04A0" w:firstRow="1" w:lastRow="0" w:firstColumn="1" w:lastColumn="0" w:noHBand="0" w:noVBand="1"/>
      </w:tblPr>
      <w:tblGrid>
        <w:gridCol w:w="1217"/>
        <w:gridCol w:w="1457"/>
        <w:gridCol w:w="1218"/>
        <w:gridCol w:w="1218"/>
        <w:gridCol w:w="951"/>
      </w:tblGrid>
      <w:tr w:rsidR="005452B3" w:rsidRPr="005452B3" w:rsidTr="00061F82">
        <w:trPr>
          <w:trHeight w:val="630"/>
          <w:jc w:val="center"/>
        </w:trPr>
        <w:tc>
          <w:tcPr>
            <w:tcW w:w="11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Variable</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Coefficient</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Std. Error</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t-Statistic</w:t>
            </w:r>
          </w:p>
        </w:tc>
        <w:tc>
          <w:tcPr>
            <w:tcW w:w="903" w:type="dxa"/>
            <w:tcBorders>
              <w:top w:val="single" w:sz="4" w:space="0" w:color="auto"/>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Prob.</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C</w:t>
            </w:r>
          </w:p>
        </w:tc>
        <w:tc>
          <w:tcPr>
            <w:tcW w:w="1336"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9.746334</w:t>
            </w:r>
          </w:p>
        </w:tc>
        <w:tc>
          <w:tcPr>
            <w:tcW w:w="1412"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0.377957</w:t>
            </w:r>
          </w:p>
        </w:tc>
        <w:tc>
          <w:tcPr>
            <w:tcW w:w="12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25.7869</w:t>
            </w:r>
          </w:p>
        </w:tc>
        <w:tc>
          <w:tcPr>
            <w:tcW w:w="9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0.0000</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LOG(SD)</w:t>
            </w:r>
          </w:p>
        </w:tc>
        <w:tc>
          <w:tcPr>
            <w:tcW w:w="1336"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0.27167</w:t>
            </w:r>
          </w:p>
        </w:tc>
        <w:tc>
          <w:tcPr>
            <w:tcW w:w="1412"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0.03351</w:t>
            </w:r>
          </w:p>
        </w:tc>
        <w:tc>
          <w:tcPr>
            <w:tcW w:w="12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8.107015</w:t>
            </w:r>
          </w:p>
        </w:tc>
        <w:tc>
          <w:tcPr>
            <w:tcW w:w="9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0.0000</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RIR</w:t>
            </w:r>
          </w:p>
        </w:tc>
        <w:tc>
          <w:tcPr>
            <w:tcW w:w="1336"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-0.002763</w:t>
            </w:r>
          </w:p>
        </w:tc>
        <w:tc>
          <w:tcPr>
            <w:tcW w:w="1412"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0.005321</w:t>
            </w:r>
          </w:p>
        </w:tc>
        <w:tc>
          <w:tcPr>
            <w:tcW w:w="12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-0.51928</w:t>
            </w:r>
          </w:p>
        </w:tc>
        <w:tc>
          <w:tcPr>
            <w:tcW w:w="9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0.6078</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INFL</w:t>
            </w:r>
          </w:p>
        </w:tc>
        <w:tc>
          <w:tcPr>
            <w:tcW w:w="1336"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-0.001107</w:t>
            </w:r>
          </w:p>
        </w:tc>
        <w:tc>
          <w:tcPr>
            <w:tcW w:w="1412"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0.004362</w:t>
            </w:r>
          </w:p>
        </w:tc>
        <w:tc>
          <w:tcPr>
            <w:tcW w:w="12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-0.25377</w:t>
            </w:r>
          </w:p>
        </w:tc>
        <w:tc>
          <w:tcPr>
            <w:tcW w:w="903" w:type="dxa"/>
            <w:tcBorders>
              <w:top w:val="nil"/>
              <w:left w:val="nil"/>
              <w:bottom w:val="single" w:sz="4" w:space="0" w:color="auto"/>
              <w:right w:val="single" w:sz="4" w:space="0" w:color="auto"/>
            </w:tcBorders>
            <w:shd w:val="clear" w:color="auto" w:fill="auto"/>
            <w:vAlign w:val="bottom"/>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0.8016</w:t>
            </w:r>
          </w:p>
        </w:tc>
      </w:tr>
    </w:tbl>
    <w:p w:rsidR="00D73575" w:rsidRPr="000B4B48" w:rsidRDefault="000B4B48" w:rsidP="005D213C">
      <w:pPr>
        <w:tabs>
          <w:tab w:val="left" w:pos="0"/>
        </w:tabs>
        <w:spacing w:after="0" w:line="240" w:lineRule="auto"/>
        <w:jc w:val="both"/>
        <w:rPr>
          <w:rFonts w:ascii="Arial" w:hAnsi="Arial" w:cs="Arial"/>
          <w:sz w:val="20"/>
          <w:szCs w:val="20"/>
        </w:rPr>
      </w:pPr>
      <w:r>
        <w:rPr>
          <w:rFonts w:ascii="Arial" w:hAnsi="Arial" w:cs="Arial"/>
          <w:sz w:val="20"/>
          <w:szCs w:val="20"/>
        </w:rPr>
        <w:t xml:space="preserve">                                       </w:t>
      </w:r>
      <w:r w:rsidR="00D73575" w:rsidRPr="000B4B48">
        <w:rPr>
          <w:rFonts w:ascii="Arial" w:hAnsi="Arial" w:cs="Arial"/>
          <w:sz w:val="20"/>
          <w:szCs w:val="20"/>
        </w:rPr>
        <w:t>Source: E-views 7</w:t>
      </w:r>
    </w:p>
    <w:p w:rsidR="000B4B48" w:rsidRPr="005452B3" w:rsidRDefault="000B4B48" w:rsidP="005D213C">
      <w:pPr>
        <w:tabs>
          <w:tab w:val="left" w:pos="0"/>
        </w:tabs>
        <w:spacing w:after="0" w:line="240" w:lineRule="auto"/>
        <w:jc w:val="both"/>
        <w:rPr>
          <w:rFonts w:ascii="Arial" w:hAnsi="Arial" w:cs="Arial"/>
          <w:sz w:val="24"/>
          <w:szCs w:val="24"/>
        </w:rPr>
      </w:pPr>
    </w:p>
    <w:p w:rsidR="00D73575" w:rsidRPr="005452B3" w:rsidRDefault="00D73575" w:rsidP="000B4B48">
      <w:pPr>
        <w:tabs>
          <w:tab w:val="left" w:pos="0"/>
        </w:tabs>
        <w:spacing w:after="0" w:line="240" w:lineRule="auto"/>
        <w:jc w:val="center"/>
        <w:rPr>
          <w:rFonts w:ascii="Arial" w:eastAsia="Times New Roman" w:hAnsi="Arial" w:cs="Arial"/>
          <w:sz w:val="24"/>
          <w:szCs w:val="24"/>
        </w:rPr>
      </w:pPr>
      <m:oMathPara>
        <m:oMath>
          <m:r>
            <w:rPr>
              <w:rFonts w:ascii="Cambria Math" w:hAnsi="Cambria Math" w:cs="Arial"/>
              <w:sz w:val="24"/>
              <w:szCs w:val="24"/>
            </w:rPr>
            <m:t>GDPGR=9.746334+0.271670SD-0.002763RIR-0.001107INFL</m:t>
          </m:r>
        </m:oMath>
      </m:oMathPara>
    </w:p>
    <w:p w:rsidR="00D640CA" w:rsidRPr="005452B3" w:rsidRDefault="000B4B48" w:rsidP="000B4B48">
      <w:pPr>
        <w:tabs>
          <w:tab w:val="left" w:pos="0"/>
        </w:tabs>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D73575" w:rsidRPr="005452B3">
        <w:rPr>
          <w:rFonts w:ascii="Arial" w:eastAsia="Times New Roman" w:hAnsi="Arial" w:cs="Arial"/>
          <w:sz w:val="24"/>
          <w:szCs w:val="24"/>
        </w:rPr>
        <w:t>(0.377957)   (0.033510)</w:t>
      </w:r>
      <w:r w:rsidR="00D73575" w:rsidRPr="005452B3">
        <w:rPr>
          <w:rFonts w:ascii="Arial" w:eastAsia="Times New Roman" w:hAnsi="Arial" w:cs="Arial"/>
          <w:sz w:val="24"/>
          <w:szCs w:val="24"/>
        </w:rPr>
        <w:tab/>
        <w:t xml:space="preserve">        (0.005321)</w:t>
      </w:r>
      <w:r w:rsidR="00D73575" w:rsidRPr="005452B3">
        <w:rPr>
          <w:rFonts w:ascii="Arial" w:eastAsia="Times New Roman" w:hAnsi="Arial" w:cs="Arial"/>
          <w:sz w:val="24"/>
          <w:szCs w:val="24"/>
        </w:rPr>
        <w:tab/>
        <w:t xml:space="preserve">  (0.004362)</w:t>
      </w:r>
    </w:p>
    <w:p w:rsidR="00D640CA" w:rsidRPr="005452B3" w:rsidRDefault="00D640CA" w:rsidP="005D213C">
      <w:pPr>
        <w:tabs>
          <w:tab w:val="left" w:pos="0"/>
        </w:tabs>
        <w:spacing w:after="0" w:line="240" w:lineRule="auto"/>
        <w:jc w:val="both"/>
        <w:rPr>
          <w:rFonts w:ascii="Arial" w:hAnsi="Arial" w:cs="Arial"/>
          <w:sz w:val="24"/>
          <w:szCs w:val="24"/>
        </w:rPr>
      </w:pPr>
    </w:p>
    <w:p w:rsidR="000B4B48" w:rsidRPr="000B4B48" w:rsidRDefault="00D73575" w:rsidP="000B4B48">
      <w:pPr>
        <w:tabs>
          <w:tab w:val="left" w:pos="0"/>
        </w:tabs>
        <w:spacing w:after="0" w:line="240" w:lineRule="auto"/>
        <w:jc w:val="center"/>
        <w:rPr>
          <w:rFonts w:ascii="Arial" w:hAnsi="Arial" w:cs="Arial"/>
          <w:sz w:val="28"/>
          <w:szCs w:val="28"/>
        </w:rPr>
      </w:pPr>
      <w:r w:rsidRPr="005452B3">
        <w:rPr>
          <w:rFonts w:ascii="Arial" w:hAnsi="Arial" w:cs="Arial"/>
          <w:sz w:val="24"/>
          <w:szCs w:val="24"/>
        </w:rPr>
        <w:t>R</w:t>
      </w:r>
      <w:r w:rsidRPr="005452B3">
        <w:rPr>
          <w:rFonts w:ascii="Arial" w:hAnsi="Arial" w:cs="Arial"/>
          <w:sz w:val="24"/>
          <w:szCs w:val="24"/>
          <w:vertAlign w:val="superscript"/>
        </w:rPr>
        <w:t>2</w:t>
      </w:r>
      <w:r w:rsidRPr="005452B3">
        <w:rPr>
          <w:rFonts w:ascii="Arial" w:hAnsi="Arial" w:cs="Arial"/>
          <w:sz w:val="24"/>
          <w:szCs w:val="24"/>
        </w:rPr>
        <w:t>= 0.72</w:t>
      </w:r>
      <w:r w:rsidR="00D640CA" w:rsidRPr="005452B3">
        <w:rPr>
          <w:rFonts w:ascii="Arial" w:hAnsi="Arial" w:cs="Arial"/>
          <w:sz w:val="24"/>
          <w:szCs w:val="24"/>
        </w:rPr>
        <w:t xml:space="preserve">   </w:t>
      </w:r>
      <w:r w:rsidR="00D640CA" w:rsidRPr="005452B3">
        <w:rPr>
          <w:rFonts w:ascii="Arial" w:hAnsi="Arial" w:cs="Arial"/>
          <w:sz w:val="24"/>
          <w:szCs w:val="24"/>
        </w:rPr>
        <w:tab/>
      </w:r>
      <w:r w:rsidRPr="005452B3">
        <w:rPr>
          <w:rFonts w:ascii="Arial" w:hAnsi="Arial" w:cs="Arial"/>
          <w:sz w:val="24"/>
          <w:szCs w:val="24"/>
        </w:rPr>
        <w:t>ADJ R</w:t>
      </w:r>
      <w:r w:rsidRPr="005452B3">
        <w:rPr>
          <w:rFonts w:ascii="Arial" w:hAnsi="Arial" w:cs="Arial"/>
          <w:sz w:val="24"/>
          <w:szCs w:val="24"/>
          <w:vertAlign w:val="superscript"/>
        </w:rPr>
        <w:t>2</w:t>
      </w:r>
      <w:r w:rsidRPr="005452B3">
        <w:rPr>
          <w:rFonts w:ascii="Arial" w:hAnsi="Arial" w:cs="Arial"/>
          <w:sz w:val="24"/>
          <w:szCs w:val="24"/>
        </w:rPr>
        <w:t>=0.68</w:t>
      </w:r>
      <w:r w:rsidR="00D640CA" w:rsidRPr="005452B3">
        <w:rPr>
          <w:rFonts w:ascii="Arial" w:hAnsi="Arial" w:cs="Arial"/>
          <w:sz w:val="24"/>
          <w:szCs w:val="24"/>
        </w:rPr>
        <w:tab/>
      </w:r>
      <w:r w:rsidR="00D640CA" w:rsidRPr="005452B3">
        <w:rPr>
          <w:rFonts w:ascii="Arial" w:hAnsi="Arial" w:cs="Arial"/>
          <w:sz w:val="24"/>
          <w:szCs w:val="24"/>
        </w:rPr>
        <w:tab/>
      </w:r>
      <w:r w:rsidRPr="005452B3">
        <w:rPr>
          <w:rFonts w:ascii="Arial" w:hAnsi="Arial" w:cs="Arial"/>
          <w:sz w:val="24"/>
          <w:szCs w:val="24"/>
        </w:rPr>
        <w:t>DW=1.118</w:t>
      </w:r>
      <w:r w:rsidRPr="005452B3">
        <w:rPr>
          <w:rFonts w:ascii="Arial" w:hAnsi="Arial" w:cs="Arial"/>
          <w:sz w:val="24"/>
          <w:szCs w:val="24"/>
        </w:rPr>
        <w:br/>
      </w: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 xml:space="preserve">The regression coefficient of savings deposit (SD) in the estimated regression line represented above is 0.2717 which implies that a unit increase in savings will lead to 27% increase in gross domestic product (GDP). The coefficient of savings deposit is positive which conforms to the </w:t>
      </w:r>
      <w:r w:rsidRPr="005452B3">
        <w:rPr>
          <w:rFonts w:ascii="Arial" w:hAnsi="Arial" w:cs="Arial"/>
          <w:i/>
          <w:sz w:val="24"/>
          <w:szCs w:val="24"/>
        </w:rPr>
        <w:t>a priori</w:t>
      </w:r>
      <w:r w:rsidRPr="005452B3">
        <w:rPr>
          <w:rFonts w:ascii="Arial" w:hAnsi="Arial" w:cs="Arial"/>
          <w:sz w:val="24"/>
          <w:szCs w:val="24"/>
        </w:rPr>
        <w:t xml:space="preserve"> expectation. The relationship between GDP and SD is significant based on the fact that the P value is less than 0.01.</w:t>
      </w:r>
      <w:r w:rsidR="000B4B48">
        <w:rPr>
          <w:rFonts w:ascii="Arial" w:hAnsi="Arial" w:cs="Arial"/>
          <w:sz w:val="24"/>
          <w:szCs w:val="24"/>
        </w:rPr>
        <w:t xml:space="preserve"> </w:t>
      </w:r>
      <w:r w:rsidRPr="005452B3">
        <w:rPr>
          <w:rFonts w:ascii="Arial" w:hAnsi="Arial" w:cs="Arial"/>
          <w:sz w:val="24"/>
          <w:szCs w:val="24"/>
        </w:rPr>
        <w:t xml:space="preserve">The regression coefficient of real interest rate (RIR) presented in the table above is approximately -0.003 which implies that increase in real interest rate by 1% will lead to the decrease in gross domestic product (GDP) by 3%. The coefficient of real interest rate is negative which conforms to </w:t>
      </w:r>
      <w:r w:rsidRPr="005452B3">
        <w:rPr>
          <w:rFonts w:ascii="Arial" w:hAnsi="Arial" w:cs="Arial"/>
          <w:i/>
          <w:sz w:val="24"/>
          <w:szCs w:val="24"/>
        </w:rPr>
        <w:t>a priori</w:t>
      </w:r>
      <w:r w:rsidRPr="005452B3">
        <w:rPr>
          <w:rFonts w:ascii="Arial" w:hAnsi="Arial" w:cs="Arial"/>
          <w:sz w:val="24"/>
          <w:szCs w:val="24"/>
        </w:rPr>
        <w:t xml:space="preserve"> expectation. Findings also indicate that that the relationship between GDP and RIR is insignificant because the P value is greater than 0.01.</w:t>
      </w:r>
    </w:p>
    <w:p w:rsidR="00E0437D" w:rsidRPr="005452B3" w:rsidRDefault="00E0437D" w:rsidP="005D213C">
      <w:pPr>
        <w:tabs>
          <w:tab w:val="left" w:pos="0"/>
        </w:tabs>
        <w:spacing w:after="0" w:line="240" w:lineRule="auto"/>
        <w:jc w:val="both"/>
        <w:rPr>
          <w:rFonts w:ascii="Arial" w:hAnsi="Arial" w:cs="Arial"/>
          <w:sz w:val="24"/>
          <w:szCs w:val="24"/>
        </w:rPr>
      </w:pPr>
    </w:p>
    <w:p w:rsidR="00D73575" w:rsidRPr="005452B3"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 xml:space="preserve">The regression coefficient of inflation rate (INFL) in the estimated regression line presented above is -0.001 which implies that a unit increase in inflation rate will lead to a simultaneous decrease in GDP by 1%. The coefficient of inflation rate is negative which also conforms to </w:t>
      </w:r>
      <w:r w:rsidRPr="005452B3">
        <w:rPr>
          <w:rFonts w:ascii="Arial" w:hAnsi="Arial" w:cs="Arial"/>
          <w:i/>
          <w:sz w:val="24"/>
          <w:szCs w:val="24"/>
        </w:rPr>
        <w:t>a priori</w:t>
      </w:r>
      <w:r w:rsidRPr="005452B3">
        <w:rPr>
          <w:rFonts w:ascii="Arial" w:hAnsi="Arial" w:cs="Arial"/>
          <w:sz w:val="24"/>
          <w:szCs w:val="24"/>
        </w:rPr>
        <w:t xml:space="preserve"> expectation. Results also indicate that the relationship between GDP and INFL is insignificant because the P value is greater than 0.01.</w:t>
      </w:r>
      <w:r w:rsidR="000B4B48">
        <w:rPr>
          <w:rFonts w:ascii="Arial" w:hAnsi="Arial" w:cs="Arial"/>
          <w:sz w:val="24"/>
          <w:szCs w:val="24"/>
        </w:rPr>
        <w:t xml:space="preserve"> </w:t>
      </w:r>
      <w:r w:rsidRPr="005452B3">
        <w:rPr>
          <w:rFonts w:ascii="Arial" w:hAnsi="Arial" w:cs="Arial"/>
          <w:sz w:val="24"/>
          <w:szCs w:val="24"/>
        </w:rPr>
        <w:t>The R</w:t>
      </w:r>
      <w:r w:rsidRPr="005452B3">
        <w:rPr>
          <w:rFonts w:ascii="Arial" w:hAnsi="Arial" w:cs="Arial"/>
          <w:sz w:val="24"/>
          <w:szCs w:val="24"/>
          <w:vertAlign w:val="superscript"/>
        </w:rPr>
        <w:t>2</w:t>
      </w:r>
      <w:r w:rsidRPr="005452B3">
        <w:rPr>
          <w:rFonts w:ascii="Arial" w:hAnsi="Arial" w:cs="Arial"/>
          <w:sz w:val="24"/>
          <w:szCs w:val="24"/>
        </w:rPr>
        <w:t xml:space="preserve"> which is the coefficient of determination shows that about 72% of the total variations in the log of GDP are explained by all the independent variables in the model. This dropped to 69% after adjusting for degree of freedom.</w:t>
      </w:r>
      <w:r w:rsidR="000B4B48">
        <w:rPr>
          <w:rFonts w:ascii="Arial" w:hAnsi="Arial" w:cs="Arial"/>
          <w:sz w:val="24"/>
          <w:szCs w:val="24"/>
        </w:rPr>
        <w:t xml:space="preserve"> </w:t>
      </w:r>
      <w:r w:rsidRPr="005452B3">
        <w:rPr>
          <w:rFonts w:ascii="Arial" w:hAnsi="Arial" w:cs="Arial"/>
          <w:sz w:val="24"/>
          <w:szCs w:val="24"/>
        </w:rPr>
        <w:t>The Durbin Watson statistics which is 1.118166 indicates positive serial autocorrelation meaning that there is a linear relationship between Gross Domestic Product (GDP) and the independent variables.</w:t>
      </w:r>
    </w:p>
    <w:p w:rsidR="00061F82" w:rsidRPr="000B4B48" w:rsidRDefault="00061F82" w:rsidP="005D213C">
      <w:pPr>
        <w:tabs>
          <w:tab w:val="left" w:pos="0"/>
        </w:tabs>
        <w:spacing w:after="0" w:line="240" w:lineRule="auto"/>
        <w:jc w:val="both"/>
        <w:rPr>
          <w:rFonts w:ascii="Arial" w:hAnsi="Arial" w:cs="Arial"/>
          <w:b/>
          <w:sz w:val="28"/>
          <w:szCs w:val="28"/>
        </w:rPr>
      </w:pPr>
    </w:p>
    <w:p w:rsidR="00D73575" w:rsidRPr="005452B3" w:rsidRDefault="00D73575" w:rsidP="000B4B48">
      <w:pPr>
        <w:tabs>
          <w:tab w:val="left" w:pos="0"/>
        </w:tabs>
        <w:spacing w:after="0" w:line="240" w:lineRule="auto"/>
        <w:jc w:val="center"/>
        <w:rPr>
          <w:rFonts w:ascii="Arial" w:hAnsi="Arial" w:cs="Arial"/>
          <w:sz w:val="24"/>
          <w:szCs w:val="24"/>
        </w:rPr>
      </w:pPr>
      <w:r w:rsidRPr="005452B3">
        <w:rPr>
          <w:rFonts w:ascii="Arial" w:hAnsi="Arial" w:cs="Arial"/>
          <w:b/>
          <w:sz w:val="24"/>
          <w:szCs w:val="24"/>
        </w:rPr>
        <w:t>Table 2</w:t>
      </w:r>
      <w:r w:rsidR="000B4B48" w:rsidRPr="000B4B48">
        <w:rPr>
          <w:rFonts w:ascii="Arial" w:hAnsi="Arial" w:cs="Arial"/>
          <w:b/>
          <w:sz w:val="24"/>
          <w:szCs w:val="24"/>
        </w:rPr>
        <w:t>:</w:t>
      </w:r>
      <w:r w:rsidR="000B4B48">
        <w:rPr>
          <w:rFonts w:ascii="Arial" w:hAnsi="Arial" w:cs="Arial"/>
          <w:sz w:val="24"/>
          <w:szCs w:val="24"/>
        </w:rPr>
        <w:t xml:space="preserve"> </w:t>
      </w:r>
      <w:r w:rsidRPr="005452B3">
        <w:rPr>
          <w:rFonts w:ascii="Arial" w:hAnsi="Arial" w:cs="Arial"/>
          <w:b/>
          <w:sz w:val="24"/>
          <w:szCs w:val="24"/>
        </w:rPr>
        <w:t>Unit Root Test</w:t>
      </w:r>
    </w:p>
    <w:tbl>
      <w:tblPr>
        <w:tblW w:w="9664" w:type="dxa"/>
        <w:jc w:val="center"/>
        <w:tblLayout w:type="fixed"/>
        <w:tblLook w:val="04A0" w:firstRow="1" w:lastRow="0" w:firstColumn="1" w:lastColumn="0" w:noHBand="0" w:noVBand="1"/>
      </w:tblPr>
      <w:tblGrid>
        <w:gridCol w:w="1800"/>
        <w:gridCol w:w="1170"/>
        <w:gridCol w:w="1260"/>
        <w:gridCol w:w="1234"/>
        <w:gridCol w:w="1260"/>
        <w:gridCol w:w="1195"/>
        <w:gridCol w:w="1745"/>
      </w:tblGrid>
      <w:tr w:rsidR="005452B3" w:rsidRPr="005452B3" w:rsidTr="00061F82">
        <w:trPr>
          <w:trHeight w:val="300"/>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VARIABLES</w:t>
            </w:r>
          </w:p>
        </w:tc>
        <w:tc>
          <w:tcPr>
            <w:tcW w:w="2430" w:type="dxa"/>
            <w:gridSpan w:val="2"/>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ADF TEST STATISTICS</w:t>
            </w:r>
          </w:p>
        </w:tc>
        <w:tc>
          <w:tcPr>
            <w:tcW w:w="2494" w:type="dxa"/>
            <w:gridSpan w:val="2"/>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CRITICAL VALUE</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ORDER OF INTEGRATION</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REMARKS</w:t>
            </w:r>
          </w:p>
        </w:tc>
      </w:tr>
      <w:tr w:rsidR="005452B3" w:rsidRPr="005452B3" w:rsidTr="00061F82">
        <w:trPr>
          <w:trHeight w:val="66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73575" w:rsidRPr="005452B3" w:rsidRDefault="00D73575" w:rsidP="005D213C">
            <w:pPr>
              <w:tabs>
                <w:tab w:val="left" w:pos="0"/>
              </w:tabs>
              <w:spacing w:after="0" w:line="240" w:lineRule="auto"/>
              <w:jc w:val="both"/>
              <w:rPr>
                <w:rFonts w:ascii="Arial" w:eastAsia="Times New Roman" w:hAnsi="Arial" w:cs="Arial"/>
                <w:b/>
                <w:bCs/>
              </w:rPr>
            </w:pPr>
          </w:p>
        </w:tc>
        <w:tc>
          <w:tcPr>
            <w:tcW w:w="117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LEVEL</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1</w:t>
            </w:r>
            <w:r w:rsidRPr="005452B3">
              <w:rPr>
                <w:rFonts w:ascii="Arial" w:eastAsia="Times New Roman" w:hAnsi="Arial" w:cs="Arial"/>
                <w:b/>
                <w:bCs/>
                <w:vertAlign w:val="superscript"/>
              </w:rPr>
              <w:t>ST</w:t>
            </w:r>
            <w:r w:rsidRPr="005452B3">
              <w:rPr>
                <w:rFonts w:ascii="Arial" w:eastAsia="Times New Roman" w:hAnsi="Arial" w:cs="Arial"/>
                <w:b/>
                <w:bCs/>
              </w:rPr>
              <w:t xml:space="preserve"> DIFF</w:t>
            </w:r>
          </w:p>
        </w:tc>
        <w:tc>
          <w:tcPr>
            <w:tcW w:w="1234"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1%</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rPr>
            </w:pPr>
            <w:r w:rsidRPr="005452B3">
              <w:rPr>
                <w:rFonts w:ascii="Arial" w:eastAsia="Times New Roman" w:hAnsi="Arial" w:cs="Arial"/>
                <w:b/>
                <w:bCs/>
              </w:rPr>
              <w:t>5%</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D73575" w:rsidRPr="005452B3" w:rsidRDefault="00D73575" w:rsidP="005D213C">
            <w:pPr>
              <w:tabs>
                <w:tab w:val="left" w:pos="0"/>
              </w:tabs>
              <w:spacing w:after="0" w:line="240" w:lineRule="auto"/>
              <w:jc w:val="both"/>
              <w:rPr>
                <w:rFonts w:ascii="Arial" w:eastAsia="Times New Roman" w:hAnsi="Arial" w:cs="Arial"/>
                <w:b/>
                <w:bCs/>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D73575" w:rsidRPr="005452B3" w:rsidRDefault="00D73575" w:rsidP="005D213C">
            <w:pPr>
              <w:tabs>
                <w:tab w:val="left" w:pos="0"/>
              </w:tabs>
              <w:spacing w:after="0" w:line="240" w:lineRule="auto"/>
              <w:jc w:val="both"/>
              <w:rPr>
                <w:rFonts w:ascii="Arial" w:eastAsia="Times New Roman" w:hAnsi="Arial" w:cs="Arial"/>
                <w:b/>
                <w:bCs/>
              </w:rPr>
            </w:pPr>
          </w:p>
        </w:tc>
      </w:tr>
      <w:tr w:rsidR="005452B3" w:rsidRPr="005452B3" w:rsidTr="00061F82">
        <w:trPr>
          <w:trHeight w:val="512"/>
          <w:jc w:val="center"/>
        </w:trPr>
        <w:tc>
          <w:tcPr>
            <w:tcW w:w="1800"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LOG(GDPGR)</w:t>
            </w:r>
          </w:p>
        </w:tc>
        <w:tc>
          <w:tcPr>
            <w:tcW w:w="117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-2.64095</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-9.298366</w:t>
            </w:r>
          </w:p>
        </w:tc>
        <w:tc>
          <w:tcPr>
            <w:tcW w:w="1234"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-3.67932</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-2.96777</w:t>
            </w:r>
          </w:p>
        </w:tc>
        <w:tc>
          <w:tcPr>
            <w:tcW w:w="119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1(1)</w:t>
            </w:r>
          </w:p>
        </w:tc>
        <w:tc>
          <w:tcPr>
            <w:tcW w:w="174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STATIONARY</w:t>
            </w:r>
          </w:p>
        </w:tc>
      </w:tr>
      <w:tr w:rsidR="005452B3" w:rsidRPr="005452B3" w:rsidTr="00061F82">
        <w:trPr>
          <w:trHeight w:val="300"/>
          <w:jc w:val="center"/>
        </w:trPr>
        <w:tc>
          <w:tcPr>
            <w:tcW w:w="1800"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LOG(SD)</w:t>
            </w:r>
          </w:p>
        </w:tc>
        <w:tc>
          <w:tcPr>
            <w:tcW w:w="117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0.317114</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-4.419455</w:t>
            </w:r>
          </w:p>
        </w:tc>
        <w:tc>
          <w:tcPr>
            <w:tcW w:w="1234"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-3.67932</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-2.96777</w:t>
            </w:r>
          </w:p>
        </w:tc>
        <w:tc>
          <w:tcPr>
            <w:tcW w:w="119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1(1)</w:t>
            </w:r>
          </w:p>
        </w:tc>
        <w:tc>
          <w:tcPr>
            <w:tcW w:w="174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STATIONARY</w:t>
            </w:r>
          </w:p>
        </w:tc>
      </w:tr>
      <w:tr w:rsidR="005452B3" w:rsidRPr="005452B3" w:rsidTr="00061F82">
        <w:trPr>
          <w:trHeight w:val="431"/>
          <w:jc w:val="center"/>
        </w:trPr>
        <w:tc>
          <w:tcPr>
            <w:tcW w:w="1800"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RIR</w:t>
            </w:r>
          </w:p>
        </w:tc>
        <w:tc>
          <w:tcPr>
            <w:tcW w:w="117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-5.07994</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w:t>
            </w:r>
          </w:p>
        </w:tc>
        <w:tc>
          <w:tcPr>
            <w:tcW w:w="1234"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-3.67017</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-2.96397</w:t>
            </w:r>
          </w:p>
        </w:tc>
        <w:tc>
          <w:tcPr>
            <w:tcW w:w="119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1(0)</w:t>
            </w:r>
          </w:p>
        </w:tc>
        <w:tc>
          <w:tcPr>
            <w:tcW w:w="174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STATIONARY</w:t>
            </w:r>
          </w:p>
        </w:tc>
      </w:tr>
      <w:tr w:rsidR="005452B3" w:rsidRPr="005452B3" w:rsidTr="00061F82">
        <w:trPr>
          <w:trHeight w:val="440"/>
          <w:jc w:val="center"/>
        </w:trPr>
        <w:tc>
          <w:tcPr>
            <w:tcW w:w="1800"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INFL</w:t>
            </w:r>
          </w:p>
        </w:tc>
        <w:tc>
          <w:tcPr>
            <w:tcW w:w="117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-3.12576</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-5.376563</w:t>
            </w:r>
          </w:p>
        </w:tc>
        <w:tc>
          <w:tcPr>
            <w:tcW w:w="1234"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-3.68919</w:t>
            </w:r>
          </w:p>
        </w:tc>
        <w:tc>
          <w:tcPr>
            <w:tcW w:w="1260"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-2.97185</w:t>
            </w:r>
          </w:p>
        </w:tc>
        <w:tc>
          <w:tcPr>
            <w:tcW w:w="119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1(1)</w:t>
            </w:r>
          </w:p>
        </w:tc>
        <w:tc>
          <w:tcPr>
            <w:tcW w:w="1745"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Cs/>
              </w:rPr>
            </w:pPr>
            <w:r w:rsidRPr="005452B3">
              <w:rPr>
                <w:rFonts w:ascii="Arial" w:eastAsia="Times New Roman" w:hAnsi="Arial" w:cs="Arial"/>
                <w:bCs/>
              </w:rPr>
              <w:t>STATIONARY</w:t>
            </w:r>
          </w:p>
        </w:tc>
      </w:tr>
    </w:tbl>
    <w:p w:rsidR="00D73575" w:rsidRPr="000B4B48" w:rsidRDefault="000B4B48" w:rsidP="005D213C">
      <w:pPr>
        <w:tabs>
          <w:tab w:val="left" w:pos="0"/>
        </w:tabs>
        <w:spacing w:after="0" w:line="240" w:lineRule="auto"/>
        <w:jc w:val="both"/>
        <w:rPr>
          <w:rFonts w:ascii="Arial" w:hAnsi="Arial" w:cs="Arial"/>
          <w:sz w:val="20"/>
          <w:szCs w:val="20"/>
        </w:rPr>
      </w:pPr>
      <w:r>
        <w:rPr>
          <w:rFonts w:ascii="Arial" w:hAnsi="Arial" w:cs="Arial"/>
          <w:sz w:val="20"/>
          <w:szCs w:val="20"/>
        </w:rPr>
        <w:t xml:space="preserve">      </w:t>
      </w:r>
      <w:r w:rsidR="00D73575" w:rsidRPr="000B4B48">
        <w:rPr>
          <w:rFonts w:ascii="Arial" w:hAnsi="Arial" w:cs="Arial"/>
          <w:sz w:val="20"/>
          <w:szCs w:val="20"/>
        </w:rPr>
        <w:t>Source: Author’s computation</w:t>
      </w:r>
    </w:p>
    <w:p w:rsidR="000B4B48" w:rsidRPr="000B4B48" w:rsidRDefault="000B4B48" w:rsidP="005D213C">
      <w:pPr>
        <w:tabs>
          <w:tab w:val="left" w:pos="0"/>
        </w:tabs>
        <w:spacing w:after="0" w:line="240" w:lineRule="auto"/>
        <w:jc w:val="both"/>
        <w:rPr>
          <w:rFonts w:ascii="Arial" w:hAnsi="Arial" w:cs="Arial"/>
          <w:sz w:val="28"/>
          <w:szCs w:val="28"/>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In order to test for the stationarity of the variables, the Augmented Dickey-Fuller unit root test was employed for the variables of the model. The Augmented Dickey-Fuller value was compared with the critical value at 5% level of significance. The results of the unit root test show that variables namely GDP, SD, INFL are stationary at first difference while RIR was stationary at level. This suggests that variables employed have unit root. Therefore, co integration test will be conducted to determine if variables share long run relationship.</w:t>
      </w:r>
    </w:p>
    <w:p w:rsidR="000B4B48" w:rsidRPr="000B4B48" w:rsidRDefault="000B4B48" w:rsidP="005D213C">
      <w:pPr>
        <w:tabs>
          <w:tab w:val="left" w:pos="0"/>
        </w:tabs>
        <w:spacing w:after="0" w:line="240" w:lineRule="auto"/>
        <w:jc w:val="both"/>
        <w:rPr>
          <w:rFonts w:ascii="Arial" w:hAnsi="Arial" w:cs="Arial"/>
          <w:sz w:val="28"/>
          <w:szCs w:val="28"/>
        </w:rPr>
      </w:pPr>
    </w:p>
    <w:p w:rsidR="00D73575" w:rsidRPr="005452B3" w:rsidRDefault="006A0A31" w:rsidP="00AD328F">
      <w:pPr>
        <w:rPr>
          <w:rFonts w:ascii="Arial" w:hAnsi="Arial" w:cs="Arial"/>
          <w:b/>
          <w:sz w:val="24"/>
          <w:szCs w:val="24"/>
        </w:rPr>
      </w:pPr>
      <w:r>
        <w:rPr>
          <w:rFonts w:ascii="Arial" w:hAnsi="Arial" w:cs="Arial"/>
          <w:b/>
          <w:sz w:val="24"/>
          <w:szCs w:val="24"/>
        </w:rPr>
        <w:br w:type="page"/>
      </w:r>
      <w:r w:rsidR="000B4B48">
        <w:rPr>
          <w:rFonts w:ascii="Arial" w:hAnsi="Arial" w:cs="Arial"/>
          <w:b/>
          <w:sz w:val="24"/>
          <w:szCs w:val="24"/>
        </w:rPr>
        <w:lastRenderedPageBreak/>
        <w:t xml:space="preserve">Table 3: </w:t>
      </w:r>
      <w:proofErr w:type="spellStart"/>
      <w:r w:rsidR="00061F82" w:rsidRPr="005452B3">
        <w:rPr>
          <w:rFonts w:ascii="Arial" w:hAnsi="Arial" w:cs="Arial"/>
          <w:b/>
          <w:sz w:val="24"/>
          <w:szCs w:val="24"/>
        </w:rPr>
        <w:t>Cointegration</w:t>
      </w:r>
      <w:proofErr w:type="spellEnd"/>
      <w:r w:rsidR="00061F82" w:rsidRPr="005452B3">
        <w:rPr>
          <w:rFonts w:ascii="Arial" w:hAnsi="Arial" w:cs="Arial"/>
          <w:b/>
          <w:sz w:val="24"/>
          <w:szCs w:val="24"/>
        </w:rPr>
        <w:t xml:space="preserve"> Test</w:t>
      </w:r>
    </w:p>
    <w:tbl>
      <w:tblPr>
        <w:tblW w:w="7304" w:type="dxa"/>
        <w:jc w:val="center"/>
        <w:tblLook w:val="04A0" w:firstRow="1" w:lastRow="0" w:firstColumn="1" w:lastColumn="0" w:noHBand="0" w:noVBand="1"/>
      </w:tblPr>
      <w:tblGrid>
        <w:gridCol w:w="1284"/>
        <w:gridCol w:w="1617"/>
        <w:gridCol w:w="1336"/>
        <w:gridCol w:w="2083"/>
        <w:gridCol w:w="1017"/>
      </w:tblGrid>
      <w:tr w:rsidR="005452B3" w:rsidRPr="005452B3" w:rsidTr="00061F82">
        <w:trPr>
          <w:trHeight w:val="926"/>
          <w:jc w:val="center"/>
        </w:trPr>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EINGEN VALUE</w:t>
            </w:r>
          </w:p>
        </w:tc>
        <w:tc>
          <w:tcPr>
            <w:tcW w:w="1631" w:type="dxa"/>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TRACE STATISTICS</w:t>
            </w:r>
          </w:p>
        </w:tc>
        <w:tc>
          <w:tcPr>
            <w:tcW w:w="1417" w:type="dxa"/>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CRITICAL VALUE AT 5%</w:t>
            </w:r>
          </w:p>
        </w:tc>
        <w:tc>
          <w:tcPr>
            <w:tcW w:w="2137" w:type="dxa"/>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 xml:space="preserve">HYPOTHESIZED NO OF CE(s) </w:t>
            </w:r>
          </w:p>
        </w:tc>
        <w:tc>
          <w:tcPr>
            <w:tcW w:w="943" w:type="dxa"/>
            <w:tcBorders>
              <w:top w:val="single" w:sz="4" w:space="0" w:color="auto"/>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PROB. *</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0.616133</w:t>
            </w:r>
          </w:p>
        </w:tc>
        <w:tc>
          <w:tcPr>
            <w:tcW w:w="1631"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53.66690</w:t>
            </w:r>
          </w:p>
        </w:tc>
        <w:tc>
          <w:tcPr>
            <w:tcW w:w="141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47.85613</w:t>
            </w:r>
          </w:p>
        </w:tc>
        <w:tc>
          <w:tcPr>
            <w:tcW w:w="213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None *</w:t>
            </w:r>
          </w:p>
        </w:tc>
        <w:tc>
          <w:tcPr>
            <w:tcW w:w="943"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0.0129</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0.432351</w:t>
            </w:r>
          </w:p>
        </w:tc>
        <w:tc>
          <w:tcPr>
            <w:tcW w:w="1631"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25.90061</w:t>
            </w:r>
          </w:p>
        </w:tc>
        <w:tc>
          <w:tcPr>
            <w:tcW w:w="141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29.79707</w:t>
            </w:r>
          </w:p>
        </w:tc>
        <w:tc>
          <w:tcPr>
            <w:tcW w:w="213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At most 1</w:t>
            </w:r>
          </w:p>
        </w:tc>
        <w:tc>
          <w:tcPr>
            <w:tcW w:w="943"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0.1317</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0.241976</w:t>
            </w:r>
          </w:p>
        </w:tc>
        <w:tc>
          <w:tcPr>
            <w:tcW w:w="1631"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9.479290</w:t>
            </w:r>
          </w:p>
        </w:tc>
        <w:tc>
          <w:tcPr>
            <w:tcW w:w="141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15.49471</w:t>
            </w:r>
          </w:p>
        </w:tc>
        <w:tc>
          <w:tcPr>
            <w:tcW w:w="213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At most 2</w:t>
            </w:r>
          </w:p>
        </w:tc>
        <w:tc>
          <w:tcPr>
            <w:tcW w:w="943"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0.3229</w:t>
            </w:r>
          </w:p>
        </w:tc>
      </w:tr>
      <w:tr w:rsidR="005452B3" w:rsidRPr="005452B3" w:rsidTr="00061F82">
        <w:trPr>
          <w:trHeight w:val="315"/>
          <w:jc w:val="center"/>
        </w:trPr>
        <w:tc>
          <w:tcPr>
            <w:tcW w:w="1176" w:type="dxa"/>
            <w:tcBorders>
              <w:top w:val="nil"/>
              <w:left w:val="single" w:sz="4" w:space="0" w:color="auto"/>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0.048610</w:t>
            </w:r>
          </w:p>
        </w:tc>
        <w:tc>
          <w:tcPr>
            <w:tcW w:w="1631"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1.445110</w:t>
            </w:r>
          </w:p>
        </w:tc>
        <w:tc>
          <w:tcPr>
            <w:tcW w:w="141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3.841466</w:t>
            </w:r>
          </w:p>
        </w:tc>
        <w:tc>
          <w:tcPr>
            <w:tcW w:w="2137"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At most 3</w:t>
            </w:r>
          </w:p>
        </w:tc>
        <w:tc>
          <w:tcPr>
            <w:tcW w:w="943" w:type="dxa"/>
            <w:tcBorders>
              <w:top w:val="nil"/>
              <w:left w:val="nil"/>
              <w:bottom w:val="single" w:sz="4" w:space="0" w:color="auto"/>
              <w:right w:val="single" w:sz="4"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 0.2293</w:t>
            </w:r>
          </w:p>
        </w:tc>
      </w:tr>
    </w:tbl>
    <w:p w:rsidR="00D73575" w:rsidRPr="000B4B48" w:rsidRDefault="000B4B48" w:rsidP="005D213C">
      <w:pPr>
        <w:tabs>
          <w:tab w:val="left" w:pos="0"/>
        </w:tabs>
        <w:spacing w:after="0" w:line="240" w:lineRule="auto"/>
        <w:jc w:val="both"/>
        <w:rPr>
          <w:rFonts w:ascii="Arial" w:hAnsi="Arial" w:cs="Arial"/>
          <w:sz w:val="20"/>
          <w:szCs w:val="20"/>
        </w:rPr>
      </w:pPr>
      <w:r>
        <w:rPr>
          <w:rFonts w:ascii="Arial" w:hAnsi="Arial" w:cs="Arial"/>
          <w:sz w:val="20"/>
          <w:szCs w:val="20"/>
        </w:rPr>
        <w:t xml:space="preserve">                           </w:t>
      </w:r>
      <w:r w:rsidR="00D73575" w:rsidRPr="000B4B48">
        <w:rPr>
          <w:rFonts w:ascii="Arial" w:hAnsi="Arial" w:cs="Arial"/>
          <w:sz w:val="20"/>
          <w:szCs w:val="20"/>
        </w:rPr>
        <w:t xml:space="preserve">Trace test indicates 1 </w:t>
      </w:r>
      <w:proofErr w:type="spellStart"/>
      <w:r w:rsidR="00D73575" w:rsidRPr="000B4B48">
        <w:rPr>
          <w:rFonts w:ascii="Arial" w:hAnsi="Arial" w:cs="Arial"/>
          <w:sz w:val="20"/>
          <w:szCs w:val="20"/>
        </w:rPr>
        <w:t>cointegrating</w:t>
      </w:r>
      <w:proofErr w:type="spellEnd"/>
      <w:r w:rsidR="00D73575" w:rsidRPr="000B4B48">
        <w:rPr>
          <w:rFonts w:ascii="Arial" w:hAnsi="Arial" w:cs="Arial"/>
          <w:sz w:val="20"/>
          <w:szCs w:val="20"/>
        </w:rPr>
        <w:t xml:space="preserve"> equations at 5% level</w:t>
      </w:r>
    </w:p>
    <w:p w:rsidR="00D73575" w:rsidRPr="005452B3" w:rsidRDefault="000B4B48" w:rsidP="005D213C">
      <w:pPr>
        <w:tabs>
          <w:tab w:val="left" w:pos="0"/>
        </w:tabs>
        <w:spacing w:after="0" w:line="240" w:lineRule="auto"/>
        <w:jc w:val="both"/>
        <w:rPr>
          <w:rFonts w:ascii="Arial" w:hAnsi="Arial" w:cs="Arial"/>
          <w:sz w:val="24"/>
          <w:szCs w:val="24"/>
        </w:rPr>
      </w:pPr>
      <w:r>
        <w:rPr>
          <w:rFonts w:ascii="Arial" w:hAnsi="Arial" w:cs="Arial"/>
          <w:sz w:val="20"/>
          <w:szCs w:val="20"/>
        </w:rPr>
        <w:t xml:space="preserve">                           </w:t>
      </w:r>
      <w:r w:rsidR="00D73575" w:rsidRPr="000B4B48">
        <w:rPr>
          <w:rFonts w:ascii="Arial" w:hAnsi="Arial" w:cs="Arial"/>
          <w:sz w:val="20"/>
          <w:szCs w:val="20"/>
        </w:rPr>
        <w:t>Note: *denotes rejection of the hypothesis at 0.05 level</w:t>
      </w:r>
    </w:p>
    <w:p w:rsidR="000B4B48" w:rsidRPr="000B4B48" w:rsidRDefault="000B4B48" w:rsidP="005D213C">
      <w:pPr>
        <w:tabs>
          <w:tab w:val="left" w:pos="0"/>
        </w:tabs>
        <w:spacing w:after="0" w:line="240" w:lineRule="auto"/>
        <w:jc w:val="both"/>
        <w:rPr>
          <w:rFonts w:ascii="Arial" w:hAnsi="Arial" w:cs="Arial"/>
          <w:sz w:val="28"/>
          <w:szCs w:val="28"/>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The result of the co-integration rank test presented in the table above indicates het there is at least one co integrating equation. This is because the trace statistics value (53.66690) is greater than the critical value (25.90061) at 5% level of significance. The results therefore confirm the existence of co integration (long run relationship) among the variables. Thus we can conclude that there exist a long run relationship between interest rate and economic growth in Nigeria. The normalized co integrating equation is stated as follows:</w:t>
      </w:r>
    </w:p>
    <w:p w:rsidR="000B4B48" w:rsidRPr="005452B3" w:rsidRDefault="000B4B48" w:rsidP="005D213C">
      <w:pPr>
        <w:tabs>
          <w:tab w:val="left" w:pos="0"/>
        </w:tabs>
        <w:spacing w:after="0" w:line="240" w:lineRule="auto"/>
        <w:jc w:val="both"/>
        <w:rPr>
          <w:rFonts w:ascii="Arial" w:hAnsi="Arial" w:cs="Arial"/>
          <w:sz w:val="24"/>
          <w:szCs w:val="24"/>
        </w:rPr>
      </w:pPr>
    </w:p>
    <w:p w:rsidR="00D73575" w:rsidRPr="005452B3" w:rsidRDefault="00D73575" w:rsidP="005D213C">
      <w:pPr>
        <w:tabs>
          <w:tab w:val="left" w:pos="0"/>
        </w:tabs>
        <w:spacing w:after="0" w:line="240" w:lineRule="auto"/>
        <w:jc w:val="both"/>
        <w:rPr>
          <w:rFonts w:ascii="Arial" w:eastAsia="Times New Roman" w:hAnsi="Arial" w:cs="Arial"/>
          <w:sz w:val="24"/>
          <w:szCs w:val="24"/>
        </w:rPr>
      </w:pPr>
      <m:oMathPara>
        <m:oMath>
          <m:r>
            <w:rPr>
              <w:rFonts w:ascii="Cambria Math" w:hAnsi="Cambria Math" w:cs="Arial"/>
              <w:sz w:val="24"/>
              <w:szCs w:val="24"/>
            </w:rPr>
            <m:t>LOG</m:t>
          </m:r>
          <m:d>
            <m:dPr>
              <m:ctrlPr>
                <w:rPr>
                  <w:rFonts w:ascii="Cambria Math" w:hAnsi="Cambria Math" w:cs="Arial"/>
                  <w:i/>
                  <w:sz w:val="24"/>
                  <w:szCs w:val="24"/>
                </w:rPr>
              </m:ctrlPr>
            </m:dPr>
            <m:e>
              <m:r>
                <w:rPr>
                  <w:rFonts w:ascii="Cambria Math" w:hAnsi="Cambria Math" w:cs="Arial"/>
                  <w:sz w:val="24"/>
                  <w:szCs w:val="24"/>
                </w:rPr>
                <m:t>GDP</m:t>
              </m:r>
            </m:e>
          </m:d>
          <m:r>
            <w:rPr>
              <w:rFonts w:ascii="Cambria Math" w:hAnsi="Cambria Math" w:cs="Arial"/>
              <w:sz w:val="24"/>
              <w:szCs w:val="24"/>
            </w:rPr>
            <m:t>= 1.000000-0.572956SD+0.256921RIR+0.113181INFL</m:t>
          </m:r>
        </m:oMath>
      </m:oMathPara>
    </w:p>
    <w:p w:rsidR="00D73575" w:rsidRPr="005452B3" w:rsidRDefault="00D73575" w:rsidP="005D213C">
      <w:pPr>
        <w:tabs>
          <w:tab w:val="left" w:pos="0"/>
          <w:tab w:val="left" w:pos="1245"/>
        </w:tabs>
        <w:spacing w:after="0" w:line="240" w:lineRule="auto"/>
        <w:jc w:val="both"/>
        <w:rPr>
          <w:rFonts w:ascii="Arial" w:hAnsi="Arial" w:cs="Arial"/>
          <w:sz w:val="24"/>
          <w:szCs w:val="24"/>
        </w:rPr>
      </w:pPr>
      <w:r w:rsidRPr="005452B3">
        <w:rPr>
          <w:rFonts w:ascii="Arial" w:eastAsia="Times New Roman" w:hAnsi="Arial" w:cs="Arial"/>
          <w:sz w:val="24"/>
          <w:szCs w:val="24"/>
        </w:rPr>
        <w:t>`</w:t>
      </w:r>
      <w:r w:rsidRPr="005452B3">
        <w:rPr>
          <w:rFonts w:ascii="Arial" w:eastAsia="Times New Roman" w:hAnsi="Arial" w:cs="Arial"/>
          <w:sz w:val="24"/>
          <w:szCs w:val="24"/>
        </w:rPr>
        <w:tab/>
      </w:r>
      <w:r w:rsidRPr="005452B3">
        <w:rPr>
          <w:rFonts w:ascii="Arial" w:eastAsia="Times New Roman" w:hAnsi="Arial" w:cs="Arial"/>
          <w:sz w:val="24"/>
          <w:szCs w:val="24"/>
        </w:rPr>
        <w:tab/>
      </w:r>
      <w:r w:rsidRPr="005452B3">
        <w:rPr>
          <w:rFonts w:ascii="Arial" w:eastAsia="Times New Roman" w:hAnsi="Arial" w:cs="Arial"/>
          <w:sz w:val="24"/>
          <w:szCs w:val="24"/>
        </w:rPr>
        <w:tab/>
      </w:r>
      <w:r w:rsidRPr="005452B3">
        <w:rPr>
          <w:rFonts w:ascii="Arial" w:eastAsia="Times New Roman" w:hAnsi="Arial" w:cs="Arial"/>
          <w:sz w:val="24"/>
          <w:szCs w:val="24"/>
        </w:rPr>
        <w:tab/>
      </w:r>
      <w:r w:rsidRPr="005452B3">
        <w:rPr>
          <w:rFonts w:ascii="Arial" w:eastAsia="Times New Roman" w:hAnsi="Arial" w:cs="Arial"/>
          <w:sz w:val="24"/>
          <w:szCs w:val="24"/>
        </w:rPr>
        <w:tab/>
        <w:t xml:space="preserve">   (0.18677)</w:t>
      </w:r>
      <w:r w:rsidRPr="005452B3">
        <w:rPr>
          <w:rFonts w:ascii="Arial" w:eastAsia="Times New Roman" w:hAnsi="Arial" w:cs="Arial"/>
          <w:sz w:val="24"/>
          <w:szCs w:val="24"/>
        </w:rPr>
        <w:tab/>
        <w:t xml:space="preserve">      (0.04235)</w:t>
      </w:r>
      <w:r w:rsidRPr="005452B3">
        <w:rPr>
          <w:rFonts w:ascii="Arial" w:eastAsia="Times New Roman" w:hAnsi="Arial" w:cs="Arial"/>
          <w:sz w:val="24"/>
          <w:szCs w:val="24"/>
        </w:rPr>
        <w:tab/>
      </w:r>
      <w:r w:rsidRPr="005452B3">
        <w:rPr>
          <w:rFonts w:ascii="Arial" w:eastAsia="Times New Roman" w:hAnsi="Arial" w:cs="Arial"/>
          <w:sz w:val="24"/>
          <w:szCs w:val="24"/>
        </w:rPr>
        <w:tab/>
        <w:t>(0.02715)</w:t>
      </w:r>
    </w:p>
    <w:p w:rsidR="000B4B48" w:rsidRDefault="000B4B48" w:rsidP="005D213C">
      <w:pPr>
        <w:tabs>
          <w:tab w:val="left" w:pos="0"/>
        </w:tabs>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Now that we have seen that our variables are co-integrated; that is there is a long-term or equilibrium relationship between them, there is needed to state that there might be disequilibrium in the short run. In order to tie the short-run behavior of GDP to its long-run value, we shall express the relationship between GDP and independent variables as an Error Correction Mechanism (ECM).</w:t>
      </w:r>
    </w:p>
    <w:p w:rsidR="000B4B48" w:rsidRPr="005452B3" w:rsidRDefault="000B4B48" w:rsidP="005D213C">
      <w:pPr>
        <w:tabs>
          <w:tab w:val="left" w:pos="0"/>
        </w:tabs>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To estimate the short effect of interest rate on economic growth, the result is given below:</w:t>
      </w:r>
    </w:p>
    <w:p w:rsidR="000B4B48" w:rsidRPr="005452B3" w:rsidRDefault="000B4B48" w:rsidP="005D213C">
      <w:pPr>
        <w:tabs>
          <w:tab w:val="left" w:pos="0"/>
        </w:tabs>
        <w:spacing w:after="0" w:line="240" w:lineRule="auto"/>
        <w:jc w:val="both"/>
        <w:rPr>
          <w:rFonts w:ascii="Arial" w:hAnsi="Arial" w:cs="Arial"/>
          <w:sz w:val="24"/>
          <w:szCs w:val="24"/>
        </w:rPr>
      </w:pPr>
    </w:p>
    <w:p w:rsidR="00D73575" w:rsidRPr="005452B3" w:rsidRDefault="00D73575" w:rsidP="000B4B48">
      <w:pPr>
        <w:tabs>
          <w:tab w:val="left" w:pos="0"/>
        </w:tabs>
        <w:spacing w:after="0" w:line="240" w:lineRule="auto"/>
        <w:jc w:val="center"/>
        <w:rPr>
          <w:rFonts w:ascii="Arial" w:hAnsi="Arial" w:cs="Arial"/>
          <w:b/>
          <w:sz w:val="24"/>
          <w:szCs w:val="24"/>
        </w:rPr>
      </w:pPr>
      <w:r w:rsidRPr="005452B3">
        <w:rPr>
          <w:rFonts w:ascii="Arial" w:hAnsi="Arial" w:cs="Arial"/>
          <w:b/>
          <w:sz w:val="24"/>
          <w:szCs w:val="24"/>
        </w:rPr>
        <w:t>Tabl</w:t>
      </w:r>
      <w:r w:rsidR="000B4B48">
        <w:rPr>
          <w:rFonts w:ascii="Arial" w:hAnsi="Arial" w:cs="Arial"/>
          <w:b/>
          <w:sz w:val="24"/>
          <w:szCs w:val="24"/>
        </w:rPr>
        <w:t xml:space="preserve">e 4: </w:t>
      </w:r>
      <w:r w:rsidRPr="005452B3">
        <w:rPr>
          <w:rFonts w:ascii="Arial" w:hAnsi="Arial" w:cs="Arial"/>
          <w:b/>
          <w:sz w:val="24"/>
          <w:szCs w:val="24"/>
        </w:rPr>
        <w:t>Error Correction Mechanism</w:t>
      </w:r>
    </w:p>
    <w:tbl>
      <w:tblPr>
        <w:tblW w:w="8029" w:type="dxa"/>
        <w:jc w:val="center"/>
        <w:tblLook w:val="04A0" w:firstRow="1" w:lastRow="0" w:firstColumn="1" w:lastColumn="0" w:noHBand="0" w:noVBand="1"/>
      </w:tblPr>
      <w:tblGrid>
        <w:gridCol w:w="1615"/>
        <w:gridCol w:w="1872"/>
        <w:gridCol w:w="1514"/>
        <w:gridCol w:w="1944"/>
        <w:gridCol w:w="1084"/>
      </w:tblGrid>
      <w:tr w:rsidR="005452B3" w:rsidRPr="005452B3" w:rsidTr="00061F82">
        <w:trPr>
          <w:trHeight w:val="510"/>
          <w:jc w:val="center"/>
        </w:trPr>
        <w:tc>
          <w:tcPr>
            <w:tcW w:w="1618" w:type="dxa"/>
            <w:tcBorders>
              <w:top w:val="single" w:sz="8" w:space="0" w:color="auto"/>
              <w:left w:val="single" w:sz="8" w:space="0" w:color="auto"/>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VARIABLES</w:t>
            </w:r>
          </w:p>
        </w:tc>
        <w:tc>
          <w:tcPr>
            <w:tcW w:w="1883" w:type="dxa"/>
            <w:tcBorders>
              <w:top w:val="single" w:sz="8" w:space="0" w:color="auto"/>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COEFFICIENT</w:t>
            </w:r>
          </w:p>
        </w:tc>
        <w:tc>
          <w:tcPr>
            <w:tcW w:w="1520" w:type="dxa"/>
            <w:tcBorders>
              <w:top w:val="single" w:sz="8" w:space="0" w:color="auto"/>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STD. ERROR</w:t>
            </w:r>
          </w:p>
        </w:tc>
        <w:tc>
          <w:tcPr>
            <w:tcW w:w="2012" w:type="dxa"/>
            <w:tcBorders>
              <w:top w:val="single" w:sz="8" w:space="0" w:color="auto"/>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T-STATISTICS</w:t>
            </w:r>
          </w:p>
        </w:tc>
        <w:tc>
          <w:tcPr>
            <w:tcW w:w="996" w:type="dxa"/>
            <w:tcBorders>
              <w:top w:val="single" w:sz="8" w:space="0" w:color="auto"/>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b/>
                <w:bCs/>
                <w:sz w:val="24"/>
                <w:szCs w:val="24"/>
              </w:rPr>
            </w:pPr>
            <w:r w:rsidRPr="005452B3">
              <w:rPr>
                <w:rFonts w:ascii="Arial" w:eastAsia="Times New Roman" w:hAnsi="Arial" w:cs="Arial"/>
                <w:b/>
                <w:bCs/>
                <w:sz w:val="24"/>
                <w:szCs w:val="24"/>
              </w:rPr>
              <w:t>PROB.</w:t>
            </w:r>
          </w:p>
        </w:tc>
      </w:tr>
      <w:tr w:rsidR="005452B3" w:rsidRPr="005452B3" w:rsidTr="00061F82">
        <w:trPr>
          <w:trHeight w:val="330"/>
          <w:jc w:val="center"/>
        </w:trPr>
        <w:tc>
          <w:tcPr>
            <w:tcW w:w="1618" w:type="dxa"/>
            <w:tcBorders>
              <w:top w:val="nil"/>
              <w:left w:val="single" w:sz="8" w:space="0" w:color="auto"/>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LOG(SD)</w:t>
            </w:r>
          </w:p>
        </w:tc>
        <w:tc>
          <w:tcPr>
            <w:tcW w:w="1883"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0.150737</w:t>
            </w:r>
          </w:p>
        </w:tc>
        <w:tc>
          <w:tcPr>
            <w:tcW w:w="1520"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0.0198864</w:t>
            </w:r>
          </w:p>
        </w:tc>
        <w:tc>
          <w:tcPr>
            <w:tcW w:w="2012"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7.5799</w:t>
            </w:r>
          </w:p>
        </w:tc>
        <w:tc>
          <w:tcPr>
            <w:tcW w:w="996"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0.00002</w:t>
            </w:r>
          </w:p>
        </w:tc>
      </w:tr>
      <w:tr w:rsidR="005452B3" w:rsidRPr="005452B3" w:rsidTr="00061F82">
        <w:trPr>
          <w:trHeight w:val="330"/>
          <w:jc w:val="center"/>
        </w:trPr>
        <w:tc>
          <w:tcPr>
            <w:tcW w:w="1618" w:type="dxa"/>
            <w:tcBorders>
              <w:top w:val="nil"/>
              <w:left w:val="single" w:sz="8" w:space="0" w:color="auto"/>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RIR</w:t>
            </w:r>
          </w:p>
        </w:tc>
        <w:tc>
          <w:tcPr>
            <w:tcW w:w="1883"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0.00159871</w:t>
            </w:r>
          </w:p>
        </w:tc>
        <w:tc>
          <w:tcPr>
            <w:tcW w:w="1520"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0.00162627</w:t>
            </w:r>
          </w:p>
        </w:tc>
        <w:tc>
          <w:tcPr>
            <w:tcW w:w="2012"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0.9831</w:t>
            </w:r>
          </w:p>
        </w:tc>
        <w:tc>
          <w:tcPr>
            <w:tcW w:w="996"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0.34877</w:t>
            </w:r>
          </w:p>
        </w:tc>
      </w:tr>
      <w:tr w:rsidR="005452B3" w:rsidRPr="005452B3" w:rsidTr="00061F82">
        <w:trPr>
          <w:trHeight w:val="330"/>
          <w:jc w:val="center"/>
        </w:trPr>
        <w:tc>
          <w:tcPr>
            <w:tcW w:w="1618" w:type="dxa"/>
            <w:tcBorders>
              <w:top w:val="nil"/>
              <w:left w:val="single" w:sz="8" w:space="0" w:color="auto"/>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INFL</w:t>
            </w:r>
          </w:p>
        </w:tc>
        <w:tc>
          <w:tcPr>
            <w:tcW w:w="1883"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-0.00662478</w:t>
            </w:r>
          </w:p>
        </w:tc>
        <w:tc>
          <w:tcPr>
            <w:tcW w:w="1520"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0.00648765</w:t>
            </w:r>
          </w:p>
        </w:tc>
        <w:tc>
          <w:tcPr>
            <w:tcW w:w="2012"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-1.0211</w:t>
            </w:r>
          </w:p>
        </w:tc>
        <w:tc>
          <w:tcPr>
            <w:tcW w:w="996"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0.33126</w:t>
            </w:r>
          </w:p>
        </w:tc>
      </w:tr>
      <w:tr w:rsidR="005452B3" w:rsidRPr="005452B3" w:rsidTr="00061F82">
        <w:trPr>
          <w:trHeight w:val="330"/>
          <w:jc w:val="center"/>
        </w:trPr>
        <w:tc>
          <w:tcPr>
            <w:tcW w:w="1618" w:type="dxa"/>
            <w:tcBorders>
              <w:top w:val="nil"/>
              <w:left w:val="single" w:sz="8" w:space="0" w:color="auto"/>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ECM(-1)</w:t>
            </w:r>
          </w:p>
        </w:tc>
        <w:tc>
          <w:tcPr>
            <w:tcW w:w="1883"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-0.256429</w:t>
            </w:r>
          </w:p>
        </w:tc>
        <w:tc>
          <w:tcPr>
            <w:tcW w:w="1520"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0.0057127</w:t>
            </w:r>
          </w:p>
        </w:tc>
        <w:tc>
          <w:tcPr>
            <w:tcW w:w="2012"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-44.8875</w:t>
            </w:r>
          </w:p>
        </w:tc>
        <w:tc>
          <w:tcPr>
            <w:tcW w:w="996" w:type="dxa"/>
            <w:tcBorders>
              <w:top w:val="nil"/>
              <w:left w:val="nil"/>
              <w:bottom w:val="single" w:sz="8" w:space="0" w:color="auto"/>
              <w:right w:val="single" w:sz="8" w:space="0" w:color="auto"/>
            </w:tcBorders>
            <w:shd w:val="clear" w:color="auto" w:fill="auto"/>
            <w:hideMark/>
          </w:tcPr>
          <w:p w:rsidR="00D73575" w:rsidRPr="005452B3" w:rsidRDefault="00D73575" w:rsidP="005D213C">
            <w:pPr>
              <w:tabs>
                <w:tab w:val="left" w:pos="0"/>
              </w:tabs>
              <w:spacing w:after="0" w:line="240" w:lineRule="auto"/>
              <w:jc w:val="both"/>
              <w:rPr>
                <w:rFonts w:ascii="Arial" w:eastAsia="Times New Roman" w:hAnsi="Arial" w:cs="Arial"/>
                <w:sz w:val="24"/>
                <w:szCs w:val="24"/>
              </w:rPr>
            </w:pPr>
            <w:r w:rsidRPr="005452B3">
              <w:rPr>
                <w:rFonts w:ascii="Arial" w:eastAsia="Times New Roman" w:hAnsi="Arial" w:cs="Arial"/>
                <w:sz w:val="24"/>
                <w:szCs w:val="24"/>
              </w:rPr>
              <w:t>0.00001</w:t>
            </w:r>
          </w:p>
        </w:tc>
      </w:tr>
    </w:tbl>
    <w:p w:rsidR="00D73575" w:rsidRPr="000B4B48" w:rsidRDefault="000B4B48" w:rsidP="005D213C">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D73575" w:rsidRPr="000B4B48">
        <w:rPr>
          <w:rFonts w:ascii="Arial" w:hAnsi="Arial" w:cs="Arial"/>
          <w:sz w:val="24"/>
          <w:szCs w:val="24"/>
        </w:rPr>
        <w:t>R</w:t>
      </w:r>
      <w:r w:rsidR="00D73575" w:rsidRPr="000B4B48">
        <w:rPr>
          <w:rFonts w:ascii="Arial" w:hAnsi="Arial" w:cs="Arial"/>
          <w:sz w:val="24"/>
          <w:szCs w:val="24"/>
          <w:vertAlign w:val="superscript"/>
        </w:rPr>
        <w:t>2</w:t>
      </w:r>
      <w:r w:rsidR="00D73575" w:rsidRPr="000B4B48">
        <w:rPr>
          <w:rFonts w:ascii="Arial" w:hAnsi="Arial" w:cs="Arial"/>
          <w:sz w:val="24"/>
          <w:szCs w:val="24"/>
        </w:rPr>
        <w:t>= 0.861397</w:t>
      </w:r>
      <w:r w:rsidR="00D73575" w:rsidRPr="000B4B48">
        <w:rPr>
          <w:rFonts w:ascii="Arial" w:hAnsi="Arial" w:cs="Arial"/>
          <w:sz w:val="24"/>
          <w:szCs w:val="24"/>
        </w:rPr>
        <w:tab/>
      </w:r>
      <w:r w:rsidR="00D73575" w:rsidRPr="000B4B48">
        <w:rPr>
          <w:rFonts w:ascii="Arial" w:hAnsi="Arial" w:cs="Arial"/>
          <w:sz w:val="24"/>
          <w:szCs w:val="24"/>
        </w:rPr>
        <w:tab/>
        <w:t>Adj. R</w:t>
      </w:r>
      <w:r w:rsidR="00D73575" w:rsidRPr="000B4B48">
        <w:rPr>
          <w:rFonts w:ascii="Arial" w:hAnsi="Arial" w:cs="Arial"/>
          <w:sz w:val="24"/>
          <w:szCs w:val="24"/>
          <w:vertAlign w:val="superscript"/>
        </w:rPr>
        <w:t>2</w:t>
      </w:r>
      <w:r w:rsidR="00D73575" w:rsidRPr="000B4B48">
        <w:rPr>
          <w:rFonts w:ascii="Arial" w:hAnsi="Arial" w:cs="Arial"/>
          <w:sz w:val="24"/>
          <w:szCs w:val="24"/>
        </w:rPr>
        <w:t>= 0.819816</w:t>
      </w:r>
    </w:p>
    <w:p w:rsidR="000B4B48" w:rsidRDefault="000B4B48" w:rsidP="005D213C">
      <w:pPr>
        <w:tabs>
          <w:tab w:val="left" w:pos="0"/>
        </w:tabs>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From the results above, ECM is negative (-0.26), this indicates that the speed of adjustment in the short run is 26% (-0.256429). This indicates that 26% of the disequilibrium in the Gross domestic product is offset by short run adjustment in each year. The value of the R</w:t>
      </w:r>
      <w:r w:rsidRPr="005452B3">
        <w:rPr>
          <w:rFonts w:ascii="Arial" w:hAnsi="Arial" w:cs="Arial"/>
          <w:sz w:val="24"/>
          <w:szCs w:val="24"/>
          <w:vertAlign w:val="superscript"/>
        </w:rPr>
        <w:t>2</w:t>
      </w:r>
      <w:r w:rsidRPr="005452B3">
        <w:rPr>
          <w:rFonts w:ascii="Arial" w:hAnsi="Arial" w:cs="Arial"/>
          <w:sz w:val="24"/>
          <w:szCs w:val="24"/>
        </w:rPr>
        <w:t xml:space="preserve"> is 0.86 which is an indication that 86% of the variation in GDP is explained by the independent variables (SD, RIR, and INFL). We therefore state our ECM equation as follows:</w:t>
      </w:r>
    </w:p>
    <w:p w:rsidR="000B4B48" w:rsidRPr="005452B3" w:rsidRDefault="000B4B48" w:rsidP="005D213C">
      <w:pPr>
        <w:tabs>
          <w:tab w:val="left" w:pos="0"/>
        </w:tabs>
        <w:spacing w:after="0" w:line="240" w:lineRule="auto"/>
        <w:jc w:val="both"/>
        <w:rPr>
          <w:rFonts w:ascii="Arial" w:hAnsi="Arial" w:cs="Arial"/>
          <w:sz w:val="24"/>
          <w:szCs w:val="24"/>
        </w:rPr>
      </w:pPr>
      <w:bookmarkStart w:id="0" w:name="_GoBack"/>
      <w:bookmarkEnd w:id="0"/>
    </w:p>
    <w:p w:rsidR="00D73575" w:rsidRPr="005521C2" w:rsidRDefault="00D73575" w:rsidP="005D213C">
      <w:pPr>
        <w:tabs>
          <w:tab w:val="left" w:pos="0"/>
        </w:tabs>
        <w:spacing w:after="0" w:line="240" w:lineRule="auto"/>
        <w:jc w:val="both"/>
        <w:rPr>
          <w:rFonts w:ascii="Arial" w:eastAsia="Times New Roman" w:hAnsi="Arial" w:cs="Arial"/>
          <w:sz w:val="24"/>
          <w:szCs w:val="24"/>
        </w:rPr>
      </w:pPr>
      <m:oMathPara>
        <m:oMathParaPr>
          <m:jc m:val="center"/>
        </m:oMathParaPr>
        <m:oMath>
          <m:r>
            <w:rPr>
              <w:rFonts w:ascii="Cambria Math" w:hAnsi="Cambria Math" w:cs="Arial"/>
              <w:sz w:val="24"/>
              <w:szCs w:val="24"/>
            </w:rPr>
            <m:t>LOG(GDP)=0.150737SD+0.00159871RIR-0.00662478INFL-0.256429</m:t>
          </m:r>
          <m:sSub>
            <m:sSubPr>
              <m:ctrlPr>
                <w:rPr>
                  <w:rFonts w:ascii="Cambria Math" w:hAnsi="Cambria Math" w:cs="Arial"/>
                  <w:i/>
                  <w:sz w:val="24"/>
                  <w:szCs w:val="24"/>
                </w:rPr>
              </m:ctrlPr>
            </m:sSubPr>
            <m:e>
              <m:r>
                <w:rPr>
                  <w:rFonts w:ascii="Cambria Math" w:hAnsi="Cambria Math" w:cs="Arial"/>
                  <w:sz w:val="24"/>
                  <w:szCs w:val="24"/>
                </w:rPr>
                <m:t>ECM</m:t>
              </m:r>
            </m:e>
            <m:sub>
              <m:r>
                <w:rPr>
                  <w:rFonts w:ascii="Cambria Math" w:hAnsi="Cambria Math" w:cs="Arial"/>
                  <w:sz w:val="24"/>
                  <w:szCs w:val="24"/>
                </w:rPr>
                <m:t>t-1</m:t>
              </m:r>
            </m:sub>
          </m:sSub>
        </m:oMath>
      </m:oMathPara>
    </w:p>
    <w:p w:rsidR="000B4B48" w:rsidRDefault="000B4B48" w:rsidP="005D213C">
      <w:pPr>
        <w:tabs>
          <w:tab w:val="left" w:pos="0"/>
        </w:tabs>
        <w:spacing w:after="0" w:line="240" w:lineRule="auto"/>
        <w:jc w:val="both"/>
        <w:rPr>
          <w:rFonts w:ascii="Arial" w:eastAsia="Times New Roman" w:hAnsi="Arial" w:cs="Arial"/>
          <w:b/>
          <w:sz w:val="24"/>
          <w:szCs w:val="24"/>
        </w:rPr>
      </w:pPr>
    </w:p>
    <w:p w:rsidR="00A83434" w:rsidRPr="005452B3" w:rsidRDefault="000B4B48" w:rsidP="000B4B48">
      <w:pPr>
        <w:tabs>
          <w:tab w:val="left" w:pos="0"/>
        </w:tabs>
        <w:spacing w:after="0" w:line="240" w:lineRule="auto"/>
        <w:jc w:val="center"/>
        <w:rPr>
          <w:rFonts w:ascii="Arial" w:eastAsia="Times New Roman" w:hAnsi="Arial" w:cs="Arial"/>
          <w:sz w:val="24"/>
          <w:szCs w:val="24"/>
        </w:rPr>
      </w:pPr>
      <w:r>
        <w:rPr>
          <w:rFonts w:ascii="Arial" w:eastAsia="Times New Roman" w:hAnsi="Arial" w:cs="Arial"/>
          <w:b/>
          <w:sz w:val="24"/>
          <w:szCs w:val="24"/>
        </w:rPr>
        <w:t xml:space="preserve">Table 5: </w:t>
      </w:r>
      <w:r w:rsidR="00A83434" w:rsidRPr="005452B3">
        <w:rPr>
          <w:rFonts w:ascii="Arial" w:eastAsia="Times New Roman" w:hAnsi="Arial" w:cs="Arial"/>
          <w:b/>
          <w:sz w:val="24"/>
          <w:szCs w:val="24"/>
        </w:rPr>
        <w:t>Pairwise Granger Causality Test</w:t>
      </w: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30"/>
        <w:gridCol w:w="1394"/>
        <w:gridCol w:w="2002"/>
        <w:gridCol w:w="1849"/>
      </w:tblGrid>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Direction Of Causality</w:t>
            </w:r>
          </w:p>
        </w:tc>
        <w:tc>
          <w:tcPr>
            <w:tcW w:w="1530"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F-Statistics</w:t>
            </w:r>
          </w:p>
        </w:tc>
        <w:tc>
          <w:tcPr>
            <w:tcW w:w="1394"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Prob.</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Accept/Reject Ho</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Lags</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SD→GDPGR</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24.5243</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0.00003</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Reject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GDPGR→SD</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0.11667</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0.7353</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RIR→GDPGR</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2.20027</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0.1496</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GDPGR→RIR</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2.10757</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0.1581</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INFL→GDPGR</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1.22558</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0.2780</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r w:rsidR="000B4B48" w:rsidRPr="005452B3" w:rsidTr="000B4B48">
        <w:tc>
          <w:tcPr>
            <w:tcW w:w="2268"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m:oMathPara>
              <m:oMath>
                <m:r>
                  <m:rPr>
                    <m:sty m:val="p"/>
                  </m:rPr>
                  <w:rPr>
                    <w:rFonts w:ascii="Cambria Math" w:hAnsi="Cambria Math" w:cs="Arial"/>
                    <w:sz w:val="24"/>
                    <w:szCs w:val="24"/>
                  </w:rPr>
                  <m:t>GDPGR→INFL</m:t>
                </m:r>
              </m:oMath>
            </m:oMathPara>
          </w:p>
        </w:tc>
        <w:tc>
          <w:tcPr>
            <w:tcW w:w="1530"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0.67236</w:t>
            </w:r>
          </w:p>
        </w:tc>
        <w:tc>
          <w:tcPr>
            <w:tcW w:w="1394" w:type="dxa"/>
            <w:shd w:val="clear" w:color="auto" w:fill="auto"/>
            <w:vAlign w:val="bottom"/>
          </w:tcPr>
          <w:p w:rsidR="000B4B48" w:rsidRPr="005452B3" w:rsidRDefault="000B4B48" w:rsidP="000B4B48">
            <w:pPr>
              <w:tabs>
                <w:tab w:val="left" w:pos="0"/>
              </w:tabs>
              <w:autoSpaceDE w:val="0"/>
              <w:autoSpaceDN w:val="0"/>
              <w:adjustRightInd w:val="0"/>
              <w:spacing w:after="0" w:line="240" w:lineRule="auto"/>
              <w:ind w:right="10"/>
              <w:jc w:val="both"/>
              <w:rPr>
                <w:rFonts w:ascii="Arial" w:hAnsi="Arial" w:cs="Arial"/>
                <w:sz w:val="24"/>
                <w:szCs w:val="24"/>
              </w:rPr>
            </w:pPr>
            <w:r w:rsidRPr="005452B3">
              <w:rPr>
                <w:rFonts w:ascii="Arial" w:hAnsi="Arial" w:cs="Arial"/>
                <w:sz w:val="24"/>
                <w:szCs w:val="24"/>
              </w:rPr>
              <w:t>0.4194</w:t>
            </w:r>
          </w:p>
        </w:tc>
        <w:tc>
          <w:tcPr>
            <w:tcW w:w="2002"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Accept</w:t>
            </w:r>
          </w:p>
        </w:tc>
        <w:tc>
          <w:tcPr>
            <w:tcW w:w="1849" w:type="dxa"/>
            <w:shd w:val="clear" w:color="auto" w:fill="auto"/>
          </w:tcPr>
          <w:p w:rsidR="000B4B48" w:rsidRPr="005452B3" w:rsidRDefault="000B4B48" w:rsidP="000B4B48">
            <w:pPr>
              <w:tabs>
                <w:tab w:val="left" w:pos="0"/>
              </w:tabs>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1</w:t>
            </w:r>
          </w:p>
        </w:tc>
      </w:tr>
    </w:tbl>
    <w:p w:rsidR="000B4B48" w:rsidRDefault="000B4B48" w:rsidP="005D213C">
      <w:pPr>
        <w:tabs>
          <w:tab w:val="left" w:pos="0"/>
        </w:tabs>
        <w:spacing w:after="0" w:line="240" w:lineRule="auto"/>
        <w:jc w:val="both"/>
        <w:rPr>
          <w:rFonts w:ascii="Arial" w:hAnsi="Arial" w:cs="Arial"/>
          <w:sz w:val="20"/>
          <w:szCs w:val="20"/>
        </w:rPr>
      </w:pPr>
      <w:r>
        <w:rPr>
          <w:rFonts w:ascii="Arial" w:hAnsi="Arial" w:cs="Arial"/>
          <w:sz w:val="20"/>
          <w:szCs w:val="20"/>
        </w:rPr>
        <w:t xml:space="preserve">        </w:t>
      </w:r>
    </w:p>
    <w:p w:rsidR="00D73575" w:rsidRPr="000B4B48" w:rsidRDefault="000B4B48" w:rsidP="006A0A31">
      <w:pPr>
        <w:tabs>
          <w:tab w:val="left" w:pos="0"/>
        </w:tabs>
        <w:spacing w:after="0" w:line="240" w:lineRule="auto"/>
        <w:jc w:val="both"/>
        <w:rPr>
          <w:rFonts w:ascii="Arial" w:hAnsi="Arial" w:cs="Arial"/>
          <w:sz w:val="20"/>
          <w:szCs w:val="20"/>
        </w:rPr>
      </w:pPr>
      <w:r>
        <w:rPr>
          <w:rFonts w:ascii="Arial" w:hAnsi="Arial" w:cs="Arial"/>
          <w:sz w:val="20"/>
          <w:szCs w:val="20"/>
        </w:rPr>
        <w:t xml:space="preserve">   </w:t>
      </w:r>
      <w:r w:rsidR="00D73575" w:rsidRPr="000B4B48">
        <w:rPr>
          <w:rFonts w:ascii="Arial" w:hAnsi="Arial" w:cs="Arial"/>
          <w:sz w:val="20"/>
          <w:szCs w:val="20"/>
        </w:rPr>
        <w:t>Source: Author’s computation</w:t>
      </w:r>
    </w:p>
    <w:p w:rsidR="006A0A31" w:rsidRDefault="006A0A31" w:rsidP="005D213C">
      <w:pPr>
        <w:tabs>
          <w:tab w:val="left" w:pos="0"/>
        </w:tabs>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hAnsi="Arial" w:cs="Arial"/>
          <w:sz w:val="24"/>
          <w:szCs w:val="24"/>
        </w:rPr>
      </w:pPr>
      <w:r w:rsidRPr="005452B3">
        <w:rPr>
          <w:rFonts w:ascii="Arial" w:hAnsi="Arial" w:cs="Arial"/>
          <w:sz w:val="24"/>
          <w:szCs w:val="24"/>
        </w:rPr>
        <w:t>Evidence from the Granger causality test indicates that there is a causal relationship between SD and GDP significant at 1% level of significance. .  A unidirectional relationship exists between SD and GDP. The direction of the relationship is from SD to GDP), no feedback mechanism was confirmed. Therefore it can be said that Savings deposit causes Gross domestic product. Finally, it can be observed that there is no causality between GDP and RIR as well as GDP and INFL.</w:t>
      </w:r>
    </w:p>
    <w:p w:rsidR="000B4B48" w:rsidRPr="005452B3" w:rsidRDefault="000B4B48" w:rsidP="005D213C">
      <w:pPr>
        <w:tabs>
          <w:tab w:val="left" w:pos="0"/>
        </w:tabs>
        <w:spacing w:after="0" w:line="240" w:lineRule="auto"/>
        <w:jc w:val="both"/>
        <w:rPr>
          <w:rFonts w:ascii="Arial" w:hAnsi="Arial" w:cs="Arial"/>
          <w:sz w:val="24"/>
          <w:szCs w:val="24"/>
        </w:rPr>
      </w:pPr>
    </w:p>
    <w:p w:rsidR="00373B9C" w:rsidRPr="005452B3" w:rsidRDefault="000B4B48" w:rsidP="000B4B48">
      <w:pPr>
        <w:pStyle w:val="PlainText"/>
        <w:ind w:left="284" w:hanging="284"/>
        <w:jc w:val="both"/>
        <w:rPr>
          <w:rFonts w:ascii="Arial" w:eastAsia="MS Mincho" w:hAnsi="Arial" w:cs="Arial"/>
          <w:b/>
          <w:bCs/>
          <w:sz w:val="28"/>
          <w:szCs w:val="28"/>
        </w:rPr>
      </w:pPr>
      <w:r>
        <w:rPr>
          <w:rFonts w:ascii="Arial" w:eastAsia="MS Mincho" w:hAnsi="Arial" w:cs="Arial"/>
          <w:b/>
          <w:bCs/>
          <w:sz w:val="28"/>
          <w:szCs w:val="28"/>
        </w:rPr>
        <w:t xml:space="preserve">5. </w:t>
      </w:r>
      <w:r w:rsidR="00373B9C" w:rsidRPr="005452B3">
        <w:rPr>
          <w:rFonts w:ascii="Arial" w:eastAsia="MS Mincho" w:hAnsi="Arial" w:cs="Arial"/>
          <w:b/>
          <w:bCs/>
          <w:sz w:val="28"/>
          <w:szCs w:val="28"/>
        </w:rPr>
        <w:t>Summary and Conclusions</w:t>
      </w:r>
    </w:p>
    <w:p w:rsidR="0084147F" w:rsidRPr="000B4B48" w:rsidRDefault="0084147F" w:rsidP="005D213C">
      <w:pPr>
        <w:pStyle w:val="PlainText"/>
        <w:jc w:val="both"/>
        <w:rPr>
          <w:rFonts w:ascii="Arial" w:eastAsia="MS Mincho" w:hAnsi="Arial" w:cs="Arial"/>
          <w:b/>
          <w:bCs/>
          <w:sz w:val="24"/>
          <w:szCs w:val="24"/>
        </w:rPr>
      </w:pPr>
    </w:p>
    <w:p w:rsidR="00D73575" w:rsidRDefault="00861DB8" w:rsidP="005D213C">
      <w:pPr>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The main objective of this paper is to determine how interest rate serves as very sensitive monetary variable, crucial determinant of investment and how it will in turn bring about economic growth. </w:t>
      </w:r>
      <w:r w:rsidR="00D73575" w:rsidRPr="005452B3">
        <w:rPr>
          <w:rFonts w:ascii="Arial" w:hAnsi="Arial" w:cs="Arial"/>
          <w:sz w:val="24"/>
          <w:szCs w:val="24"/>
        </w:rPr>
        <w:t>However from the result we can also deduce that other factors such as real interest rate, investment, manufacturing capacity utilization, savings deposits, and gross capital formation have large impact in determining the level of growth.</w:t>
      </w:r>
    </w:p>
    <w:p w:rsidR="000B4B48" w:rsidRPr="005452B3" w:rsidRDefault="000B4B48" w:rsidP="005D213C">
      <w:pPr>
        <w:autoSpaceDE w:val="0"/>
        <w:autoSpaceDN w:val="0"/>
        <w:adjustRightInd w:val="0"/>
        <w:spacing w:after="0" w:line="240" w:lineRule="auto"/>
        <w:jc w:val="both"/>
        <w:rPr>
          <w:rFonts w:ascii="Arial" w:hAnsi="Arial" w:cs="Arial"/>
          <w:sz w:val="24"/>
          <w:szCs w:val="24"/>
        </w:rPr>
      </w:pPr>
    </w:p>
    <w:p w:rsidR="00D73575" w:rsidRDefault="00D73575" w:rsidP="005D213C">
      <w:pPr>
        <w:tabs>
          <w:tab w:val="left" w:pos="0"/>
        </w:tabs>
        <w:spacing w:after="0" w:line="240" w:lineRule="auto"/>
        <w:jc w:val="both"/>
        <w:rPr>
          <w:rFonts w:ascii="Arial" w:eastAsia="Times New Roman" w:hAnsi="Arial" w:cs="Arial"/>
          <w:sz w:val="24"/>
          <w:szCs w:val="24"/>
        </w:rPr>
      </w:pPr>
      <w:r w:rsidRPr="005452B3">
        <w:rPr>
          <w:rFonts w:ascii="Arial" w:hAnsi="Arial" w:cs="Arial"/>
          <w:sz w:val="24"/>
          <w:szCs w:val="24"/>
        </w:rPr>
        <w:t>It is important to note that since 1986, Monetary policy in Nigeria which involved market oriented measures have moved in line with the policy prescription of the financial liberalization i.e. promoting savings, investment and economic growth. However, interest rate is expected to reduce inflation, it could be via deregulation of the interest rate, which will in turn increase foreign private investment. The findings of this study suggest that Interest</w:t>
      </w:r>
      <w:r w:rsidRPr="005452B3">
        <w:rPr>
          <w:rFonts w:ascii="Arial" w:eastAsia="Times New Roman" w:hAnsi="Arial" w:cs="Arial"/>
          <w:sz w:val="24"/>
          <w:szCs w:val="24"/>
        </w:rPr>
        <w:t xml:space="preserve"> rate is a determinant of economic growth as measured by GDP. The result specifically leads to the conclusion that direct relationship existed between interest rate and the growth of the economy (GDP), indicating  that increase in interest rate will certainly increase savers are encouraged to save thereby inducing growth in the economy. </w:t>
      </w:r>
    </w:p>
    <w:p w:rsidR="006A0A31" w:rsidRPr="005452B3" w:rsidRDefault="006A0A31" w:rsidP="005D213C">
      <w:pPr>
        <w:tabs>
          <w:tab w:val="left" w:pos="0"/>
        </w:tabs>
        <w:spacing w:after="0" w:line="240" w:lineRule="auto"/>
        <w:jc w:val="both"/>
        <w:rPr>
          <w:rFonts w:ascii="Arial" w:hAnsi="Arial" w:cs="Arial"/>
          <w:b/>
          <w:sz w:val="24"/>
          <w:szCs w:val="24"/>
        </w:rPr>
      </w:pPr>
    </w:p>
    <w:p w:rsidR="0088674C" w:rsidRDefault="00D73575" w:rsidP="005D213C">
      <w:pPr>
        <w:autoSpaceDE w:val="0"/>
        <w:autoSpaceDN w:val="0"/>
        <w:adjustRightInd w:val="0"/>
        <w:spacing w:after="0" w:line="240" w:lineRule="auto"/>
        <w:jc w:val="both"/>
        <w:rPr>
          <w:rFonts w:ascii="Arial" w:hAnsi="Arial" w:cs="Arial"/>
          <w:sz w:val="24"/>
          <w:szCs w:val="24"/>
        </w:rPr>
      </w:pPr>
      <w:r w:rsidRPr="005452B3">
        <w:rPr>
          <w:rFonts w:ascii="Arial" w:hAnsi="Arial" w:cs="Arial"/>
          <w:sz w:val="24"/>
          <w:szCs w:val="24"/>
        </w:rPr>
        <w:t xml:space="preserve">For the enhancement of an appropriate economic stability leading to economic growth and development, the following policy recommendation is stated as that monetary authorities should make policies which would help to boost the saving culture of the people. The policy market should embark on a policy that will reduce Lending rate as will stimulate investment and increate output, proper implementation and co-ordination of policy objective should be rigorously pursed implementation of policy is usually multidimensional and hence its calls for </w:t>
      </w:r>
      <w:r w:rsidRPr="005452B3">
        <w:rPr>
          <w:rFonts w:ascii="Arial" w:hAnsi="Arial" w:cs="Arial"/>
          <w:sz w:val="24"/>
          <w:szCs w:val="24"/>
        </w:rPr>
        <w:lastRenderedPageBreak/>
        <w:t>effective co-ordination among the various government department, banks and other relevant sectors.</w:t>
      </w:r>
      <w:r w:rsidR="002B3F53" w:rsidRPr="005452B3">
        <w:rPr>
          <w:rFonts w:ascii="Arial" w:hAnsi="Arial" w:cs="Arial"/>
          <w:sz w:val="24"/>
          <w:szCs w:val="24"/>
        </w:rPr>
        <w:t xml:space="preserve"> </w:t>
      </w:r>
      <w:r w:rsidRPr="005452B3">
        <w:rPr>
          <w:rFonts w:ascii="Arial" w:hAnsi="Arial" w:cs="Arial"/>
          <w:sz w:val="24"/>
          <w:szCs w:val="24"/>
        </w:rPr>
        <w:t>Efforts should be made so as to ensure enabling environment so as to make sure there is good political and macro-economic stability where investment and savings can thrive and promoting a more efficient fiscal and monetary policy such that suit the economic condition of the country like the availability of credit rather than its cost of investment seems responsible to it.</w:t>
      </w:r>
      <w:r w:rsidR="00F81797" w:rsidRPr="005452B3">
        <w:rPr>
          <w:rFonts w:ascii="Arial" w:hAnsi="Arial" w:cs="Arial"/>
          <w:sz w:val="24"/>
          <w:szCs w:val="24"/>
        </w:rPr>
        <w:t xml:space="preserve"> </w:t>
      </w:r>
    </w:p>
    <w:p w:rsidR="000B4B48" w:rsidRPr="005452B3" w:rsidRDefault="000B4B48" w:rsidP="005D213C">
      <w:pPr>
        <w:autoSpaceDE w:val="0"/>
        <w:autoSpaceDN w:val="0"/>
        <w:adjustRightInd w:val="0"/>
        <w:spacing w:after="0" w:line="240" w:lineRule="auto"/>
        <w:jc w:val="both"/>
        <w:rPr>
          <w:rFonts w:ascii="Arial" w:hAnsi="Arial" w:cs="Arial"/>
          <w:sz w:val="24"/>
          <w:szCs w:val="24"/>
        </w:rPr>
      </w:pPr>
    </w:p>
    <w:p w:rsidR="006C1E95" w:rsidRDefault="00F81797" w:rsidP="005D213C">
      <w:pPr>
        <w:autoSpaceDE w:val="0"/>
        <w:autoSpaceDN w:val="0"/>
        <w:adjustRightInd w:val="0"/>
        <w:spacing w:after="0" w:line="240" w:lineRule="auto"/>
        <w:jc w:val="both"/>
        <w:rPr>
          <w:rFonts w:ascii="Arial" w:hAnsi="Arial" w:cs="Arial"/>
          <w:sz w:val="18"/>
          <w:szCs w:val="18"/>
        </w:rPr>
      </w:pPr>
      <w:r w:rsidRPr="005452B3">
        <w:rPr>
          <w:rFonts w:ascii="Arial" w:hAnsi="Arial" w:cs="Arial"/>
          <w:sz w:val="24"/>
          <w:szCs w:val="24"/>
        </w:rPr>
        <w:t xml:space="preserve">Though the result of this paper assert the findings of early studies like </w:t>
      </w:r>
      <w:r w:rsidR="00BB4319" w:rsidRPr="005452B3">
        <w:rPr>
          <w:rFonts w:ascii="Arial" w:hAnsi="Arial" w:cs="Arial"/>
          <w:sz w:val="24"/>
          <w:szCs w:val="24"/>
        </w:rPr>
        <w:t>(</w:t>
      </w:r>
      <w:proofErr w:type="spellStart"/>
      <w:r w:rsidRPr="005452B3">
        <w:rPr>
          <w:rFonts w:ascii="Arial" w:hAnsi="Arial" w:cs="Arial"/>
          <w:sz w:val="24"/>
          <w:szCs w:val="24"/>
        </w:rPr>
        <w:t>Obamuyi</w:t>
      </w:r>
      <w:proofErr w:type="spellEnd"/>
      <w:r w:rsidR="00BB4319" w:rsidRPr="005452B3">
        <w:rPr>
          <w:rFonts w:ascii="Arial" w:hAnsi="Arial" w:cs="Arial"/>
          <w:sz w:val="24"/>
          <w:szCs w:val="24"/>
        </w:rPr>
        <w:t>,</w:t>
      </w:r>
      <w:r w:rsidRPr="005452B3">
        <w:rPr>
          <w:rFonts w:ascii="Arial" w:hAnsi="Arial" w:cs="Arial"/>
          <w:sz w:val="24"/>
          <w:szCs w:val="24"/>
        </w:rPr>
        <w:t xml:space="preserve"> 2009)</w:t>
      </w:r>
      <w:r w:rsidR="00BB4319" w:rsidRPr="005452B3">
        <w:rPr>
          <w:rFonts w:ascii="Arial" w:hAnsi="Arial" w:cs="Arial"/>
          <w:sz w:val="24"/>
          <w:szCs w:val="24"/>
        </w:rPr>
        <w:t xml:space="preserve"> </w:t>
      </w:r>
      <w:proofErr w:type="gramStart"/>
      <w:r w:rsidR="00BB4319" w:rsidRPr="005452B3">
        <w:rPr>
          <w:rFonts w:ascii="Arial" w:hAnsi="Arial" w:cs="Arial"/>
          <w:sz w:val="24"/>
          <w:szCs w:val="24"/>
        </w:rPr>
        <w:t xml:space="preserve">and </w:t>
      </w:r>
      <w:r w:rsidRPr="005452B3">
        <w:rPr>
          <w:rFonts w:ascii="Arial" w:hAnsi="Arial" w:cs="Arial"/>
          <w:sz w:val="24"/>
          <w:szCs w:val="24"/>
        </w:rPr>
        <w:t xml:space="preserve"> </w:t>
      </w:r>
      <w:r w:rsidR="00BB4319" w:rsidRPr="005452B3">
        <w:rPr>
          <w:rFonts w:ascii="Arial" w:hAnsi="Arial" w:cs="Arial"/>
          <w:sz w:val="24"/>
          <w:szCs w:val="24"/>
        </w:rPr>
        <w:t>(</w:t>
      </w:r>
      <w:proofErr w:type="spellStart"/>
      <w:proofErr w:type="gramEnd"/>
      <w:r w:rsidRPr="005452B3">
        <w:rPr>
          <w:rFonts w:ascii="Arial" w:hAnsi="Arial" w:cs="Arial"/>
          <w:sz w:val="24"/>
          <w:szCs w:val="24"/>
        </w:rPr>
        <w:t>Soyibo</w:t>
      </w:r>
      <w:proofErr w:type="spellEnd"/>
      <w:r w:rsidRPr="005452B3">
        <w:rPr>
          <w:rFonts w:ascii="Arial" w:hAnsi="Arial" w:cs="Arial"/>
          <w:sz w:val="24"/>
          <w:szCs w:val="24"/>
        </w:rPr>
        <w:t xml:space="preserve"> </w:t>
      </w:r>
      <w:r w:rsidR="007C36F0" w:rsidRPr="005452B3">
        <w:rPr>
          <w:rFonts w:ascii="Arial" w:hAnsi="Arial" w:cs="Arial"/>
          <w:sz w:val="24"/>
          <w:szCs w:val="24"/>
        </w:rPr>
        <w:t>&amp;</w:t>
      </w:r>
      <w:r w:rsidRPr="005452B3">
        <w:rPr>
          <w:rFonts w:ascii="Arial" w:hAnsi="Arial" w:cs="Arial"/>
          <w:sz w:val="24"/>
          <w:szCs w:val="24"/>
        </w:rPr>
        <w:t xml:space="preserve"> </w:t>
      </w:r>
      <w:proofErr w:type="spellStart"/>
      <w:r w:rsidRPr="005452B3">
        <w:rPr>
          <w:rFonts w:ascii="Arial" w:hAnsi="Arial" w:cs="Arial"/>
          <w:sz w:val="24"/>
          <w:szCs w:val="24"/>
        </w:rPr>
        <w:t>Olayiwola</w:t>
      </w:r>
      <w:proofErr w:type="spellEnd"/>
      <w:r w:rsidR="00BB4319" w:rsidRPr="005452B3">
        <w:rPr>
          <w:rFonts w:ascii="Arial" w:hAnsi="Arial" w:cs="Arial"/>
          <w:sz w:val="24"/>
          <w:szCs w:val="24"/>
        </w:rPr>
        <w:t>,</w:t>
      </w:r>
      <w:r w:rsidRPr="005452B3">
        <w:rPr>
          <w:rFonts w:ascii="Arial" w:hAnsi="Arial" w:cs="Arial"/>
          <w:sz w:val="24"/>
          <w:szCs w:val="24"/>
        </w:rPr>
        <w:t xml:space="preserve"> 2000)</w:t>
      </w:r>
      <w:r w:rsidR="00BB4319" w:rsidRPr="005452B3">
        <w:rPr>
          <w:rFonts w:ascii="Arial" w:hAnsi="Arial" w:cs="Arial"/>
          <w:sz w:val="24"/>
          <w:szCs w:val="24"/>
        </w:rPr>
        <w:t>,</w:t>
      </w:r>
      <w:r w:rsidRPr="005452B3">
        <w:rPr>
          <w:rFonts w:ascii="Arial" w:hAnsi="Arial" w:cs="Arial"/>
          <w:sz w:val="24"/>
          <w:szCs w:val="24"/>
        </w:rPr>
        <w:t xml:space="preserve"> we which to state that limiting factor to </w:t>
      </w:r>
      <w:r w:rsidR="00D86CC2" w:rsidRPr="005452B3">
        <w:rPr>
          <w:rFonts w:ascii="Arial" w:hAnsi="Arial" w:cs="Arial"/>
          <w:sz w:val="24"/>
          <w:szCs w:val="24"/>
        </w:rPr>
        <w:t xml:space="preserve">this study is that ECM lack structural parameters of a system as evidence in the literature. And for </w:t>
      </w:r>
      <w:r w:rsidRPr="005452B3">
        <w:rPr>
          <w:rFonts w:ascii="Arial" w:hAnsi="Arial" w:cs="Arial"/>
          <w:sz w:val="24"/>
          <w:szCs w:val="24"/>
        </w:rPr>
        <w:t xml:space="preserve">interest rate </w:t>
      </w:r>
      <w:r w:rsidR="00D86CC2" w:rsidRPr="005452B3">
        <w:rPr>
          <w:rFonts w:ascii="Arial" w:hAnsi="Arial" w:cs="Arial"/>
          <w:sz w:val="24"/>
          <w:szCs w:val="24"/>
        </w:rPr>
        <w:t xml:space="preserve">to </w:t>
      </w:r>
      <w:r w:rsidRPr="005452B3">
        <w:rPr>
          <w:rFonts w:ascii="Arial" w:hAnsi="Arial" w:cs="Arial"/>
          <w:sz w:val="24"/>
          <w:szCs w:val="24"/>
        </w:rPr>
        <w:t xml:space="preserve">boost economic growth </w:t>
      </w:r>
      <w:r w:rsidR="00D86CC2" w:rsidRPr="005452B3">
        <w:rPr>
          <w:rFonts w:ascii="Arial" w:hAnsi="Arial" w:cs="Arial"/>
          <w:sz w:val="24"/>
          <w:szCs w:val="24"/>
        </w:rPr>
        <w:t xml:space="preserve">other socio – political economic hindrances </w:t>
      </w:r>
      <w:r w:rsidRPr="005452B3">
        <w:rPr>
          <w:rFonts w:ascii="Arial" w:hAnsi="Arial" w:cs="Arial"/>
          <w:sz w:val="24"/>
          <w:szCs w:val="24"/>
        </w:rPr>
        <w:t xml:space="preserve">are mainly political instability, regional socio-political unrest and insecurity of lives and property as witness in some parts of the country and investment uncertainty due to continuous agitation from the various ethnic groups across all geo-political zone as currently experienced. All </w:t>
      </w:r>
      <w:r w:rsidR="00B87B7C" w:rsidRPr="005452B3">
        <w:rPr>
          <w:rFonts w:ascii="Arial" w:hAnsi="Arial" w:cs="Arial"/>
          <w:sz w:val="24"/>
          <w:szCs w:val="24"/>
        </w:rPr>
        <w:t>these do</w:t>
      </w:r>
      <w:r w:rsidRPr="005452B3">
        <w:rPr>
          <w:rFonts w:ascii="Arial" w:hAnsi="Arial" w:cs="Arial"/>
          <w:sz w:val="24"/>
          <w:szCs w:val="24"/>
        </w:rPr>
        <w:t xml:space="preserve"> not encourage investment and thereby the interrelationship between interest rate, inflation rate, GDP and real economic growth are not having the adjustable relationship </w:t>
      </w:r>
      <w:r w:rsidR="00B87B7C" w:rsidRPr="005452B3">
        <w:rPr>
          <w:rFonts w:ascii="Arial" w:hAnsi="Arial" w:cs="Arial"/>
          <w:sz w:val="24"/>
          <w:szCs w:val="24"/>
        </w:rPr>
        <w:t>as in many macroeconomic theories.</w:t>
      </w:r>
      <w:r w:rsidR="002953E0" w:rsidRPr="005452B3">
        <w:rPr>
          <w:rFonts w:ascii="Arial" w:hAnsi="Arial" w:cs="Arial"/>
          <w:sz w:val="24"/>
          <w:szCs w:val="24"/>
        </w:rPr>
        <w:t xml:space="preserve"> Finally peace and stability should be pursue</w:t>
      </w:r>
      <w:r w:rsidR="00186092" w:rsidRPr="005452B3">
        <w:rPr>
          <w:rFonts w:ascii="Arial" w:hAnsi="Arial" w:cs="Arial"/>
          <w:sz w:val="24"/>
          <w:szCs w:val="24"/>
        </w:rPr>
        <w:t>d</w:t>
      </w:r>
      <w:r w:rsidR="002953E0" w:rsidRPr="005452B3">
        <w:rPr>
          <w:rFonts w:ascii="Arial" w:hAnsi="Arial" w:cs="Arial"/>
          <w:sz w:val="24"/>
          <w:szCs w:val="24"/>
        </w:rPr>
        <w:t xml:space="preserve"> by all to boost investment and sustainable economic growth</w:t>
      </w:r>
      <w:r w:rsidR="00794917" w:rsidRPr="005452B3">
        <w:rPr>
          <w:rFonts w:ascii="Arial" w:hAnsi="Arial" w:cs="Arial"/>
          <w:sz w:val="24"/>
          <w:szCs w:val="24"/>
        </w:rPr>
        <w:t>.</w:t>
      </w:r>
      <w:r w:rsidR="006C1E95" w:rsidRPr="005452B3">
        <w:rPr>
          <w:rFonts w:ascii="Arial" w:hAnsi="Arial" w:cs="Arial"/>
          <w:sz w:val="18"/>
          <w:szCs w:val="18"/>
        </w:rPr>
        <w:t xml:space="preserve"> </w:t>
      </w:r>
    </w:p>
    <w:p w:rsidR="000B4B48" w:rsidRPr="006A0A31" w:rsidRDefault="000B4B48" w:rsidP="005D213C">
      <w:pPr>
        <w:autoSpaceDE w:val="0"/>
        <w:autoSpaceDN w:val="0"/>
        <w:adjustRightInd w:val="0"/>
        <w:spacing w:after="0" w:line="240" w:lineRule="auto"/>
        <w:jc w:val="both"/>
        <w:rPr>
          <w:rFonts w:ascii="Arial" w:hAnsi="Arial" w:cs="Arial"/>
          <w:sz w:val="24"/>
          <w:szCs w:val="24"/>
        </w:rPr>
      </w:pPr>
    </w:p>
    <w:p w:rsidR="005245B6" w:rsidRPr="002273ED" w:rsidRDefault="003E4269" w:rsidP="005D213C">
      <w:pPr>
        <w:spacing w:after="0" w:line="240" w:lineRule="auto"/>
        <w:jc w:val="both"/>
        <w:rPr>
          <w:rFonts w:ascii="Arial" w:hAnsi="Arial" w:cs="Arial"/>
          <w:b/>
          <w:sz w:val="28"/>
          <w:szCs w:val="28"/>
        </w:rPr>
      </w:pPr>
      <w:r w:rsidRPr="002273ED">
        <w:rPr>
          <w:rFonts w:ascii="Arial" w:hAnsi="Arial" w:cs="Arial"/>
          <w:b/>
          <w:sz w:val="28"/>
          <w:szCs w:val="28"/>
        </w:rPr>
        <w:t>References</w:t>
      </w:r>
    </w:p>
    <w:p w:rsidR="002273ED" w:rsidRPr="003E4269" w:rsidRDefault="002273ED" w:rsidP="005D213C">
      <w:pPr>
        <w:spacing w:after="0" w:line="240" w:lineRule="auto"/>
        <w:jc w:val="both"/>
        <w:rPr>
          <w:rFonts w:ascii="Arial" w:hAnsi="Arial" w:cs="Arial"/>
          <w:sz w:val="24"/>
          <w:szCs w:val="24"/>
        </w:rPr>
      </w:pP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sz w:val="24"/>
          <w:szCs w:val="24"/>
        </w:rPr>
        <w:fldChar w:fldCharType="begin"/>
      </w:r>
      <w:r w:rsidRPr="005452B3">
        <w:rPr>
          <w:rFonts w:ascii="Arial" w:hAnsi="Arial" w:cs="Arial"/>
          <w:sz w:val="24"/>
          <w:szCs w:val="24"/>
        </w:rPr>
        <w:instrText xml:space="preserve"> BIBLIOGRAPHY  \l 1033 </w:instrText>
      </w:r>
      <w:r w:rsidRPr="005452B3">
        <w:rPr>
          <w:rFonts w:ascii="Arial" w:hAnsi="Arial" w:cs="Arial"/>
          <w:sz w:val="24"/>
          <w:szCs w:val="24"/>
        </w:rPr>
        <w:fldChar w:fldCharType="separate"/>
      </w:r>
      <w:r w:rsidRPr="005452B3">
        <w:rPr>
          <w:rFonts w:ascii="Arial" w:hAnsi="Arial" w:cs="Arial"/>
          <w:noProof/>
          <w:sz w:val="24"/>
          <w:szCs w:val="24"/>
        </w:rPr>
        <w:t xml:space="preserve">Abdul Aziz FS. &amp; Marwan, MA 2013. </w:t>
      </w:r>
      <w:r w:rsidR="000A3885" w:rsidRPr="005452B3">
        <w:rPr>
          <w:rFonts w:ascii="Arial" w:hAnsi="Arial" w:cs="Arial"/>
          <w:noProof/>
          <w:sz w:val="24"/>
          <w:szCs w:val="24"/>
        </w:rPr>
        <w:t>'</w:t>
      </w:r>
      <w:r w:rsidRPr="005452B3">
        <w:rPr>
          <w:rFonts w:ascii="Arial" w:hAnsi="Arial" w:cs="Arial"/>
          <w:noProof/>
          <w:sz w:val="24"/>
          <w:szCs w:val="24"/>
        </w:rPr>
        <w:t>The effect of interest rate, inflation rate, inflation rate, GDP, on Real Economic Growth Rate in Jordan</w:t>
      </w:r>
      <w:r w:rsidR="000A3885"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Asia Economic and Financial Reveiw, vol. 3, </w:t>
      </w:r>
      <w:r w:rsidRPr="005452B3">
        <w:rPr>
          <w:rFonts w:ascii="Arial" w:hAnsi="Arial" w:cs="Arial"/>
          <w:noProof/>
          <w:sz w:val="24"/>
          <w:szCs w:val="24"/>
        </w:rPr>
        <w:t>no.3, pp. 341-354.</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Agu, CC. </w:t>
      </w:r>
      <w:r w:rsidR="000A3885" w:rsidRPr="005452B3">
        <w:rPr>
          <w:rFonts w:ascii="Arial" w:hAnsi="Arial" w:cs="Arial"/>
          <w:noProof/>
          <w:sz w:val="24"/>
          <w:szCs w:val="24"/>
        </w:rPr>
        <w:t>'</w:t>
      </w:r>
      <w:r w:rsidRPr="005452B3">
        <w:rPr>
          <w:rFonts w:ascii="Arial" w:hAnsi="Arial" w:cs="Arial"/>
          <w:noProof/>
          <w:sz w:val="24"/>
          <w:szCs w:val="24"/>
        </w:rPr>
        <w:t>interest rates policy in Nigeria and it attendant distortions</w:t>
      </w:r>
      <w:r w:rsidR="000A3885" w:rsidRPr="005452B3">
        <w:rPr>
          <w:rFonts w:ascii="Arial" w:hAnsi="Arial" w:cs="Arial"/>
          <w:noProof/>
          <w:sz w:val="24"/>
          <w:szCs w:val="24"/>
        </w:rPr>
        <w:t>'</w:t>
      </w:r>
      <w:r w:rsidRPr="005452B3">
        <w:rPr>
          <w:rFonts w:ascii="Arial" w:hAnsi="Arial" w:cs="Arial"/>
          <w:noProof/>
          <w:sz w:val="24"/>
          <w:szCs w:val="24"/>
        </w:rPr>
        <w:t xml:space="preserve">. </w:t>
      </w:r>
      <w:r w:rsidR="000A3885" w:rsidRPr="005452B3">
        <w:rPr>
          <w:rFonts w:ascii="Arial" w:hAnsi="Arial" w:cs="Arial"/>
          <w:noProof/>
          <w:sz w:val="24"/>
          <w:szCs w:val="24"/>
        </w:rPr>
        <w:t>S</w:t>
      </w:r>
      <w:r w:rsidRPr="005452B3">
        <w:rPr>
          <w:rFonts w:ascii="Arial" w:hAnsi="Arial" w:cs="Arial"/>
          <w:noProof/>
          <w:sz w:val="24"/>
          <w:szCs w:val="24"/>
        </w:rPr>
        <w:t xml:space="preserve">avings and </w:t>
      </w:r>
      <w:r w:rsidR="000A3885" w:rsidRPr="005452B3">
        <w:rPr>
          <w:rFonts w:ascii="Arial" w:hAnsi="Arial" w:cs="Arial"/>
          <w:noProof/>
          <w:sz w:val="24"/>
          <w:szCs w:val="24"/>
        </w:rPr>
        <w:t>D</w:t>
      </w:r>
      <w:r w:rsidRPr="005452B3">
        <w:rPr>
          <w:rFonts w:ascii="Arial" w:hAnsi="Arial" w:cs="Arial"/>
          <w:noProof/>
          <w:sz w:val="24"/>
          <w:szCs w:val="24"/>
        </w:rPr>
        <w:t xml:space="preserve">evelopment. </w:t>
      </w:r>
      <w:r w:rsidRPr="005452B3">
        <w:rPr>
          <w:rFonts w:ascii="Arial" w:hAnsi="Arial" w:cs="Arial"/>
          <w:i/>
          <w:iCs/>
          <w:noProof/>
          <w:sz w:val="24"/>
          <w:szCs w:val="24"/>
        </w:rPr>
        <w:t>XII</w:t>
      </w:r>
      <w:r w:rsidRPr="005452B3">
        <w:rPr>
          <w:rFonts w:ascii="Arial" w:hAnsi="Arial" w:cs="Arial"/>
          <w:noProof/>
          <w:sz w:val="24"/>
          <w:szCs w:val="24"/>
        </w:rPr>
        <w:t>.</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Akintoye, IA &amp; Olowolaju, P 2008, </w:t>
      </w:r>
      <w:r w:rsidR="000A3885" w:rsidRPr="005452B3">
        <w:rPr>
          <w:rFonts w:ascii="Arial" w:hAnsi="Arial" w:cs="Arial"/>
          <w:noProof/>
          <w:sz w:val="24"/>
          <w:szCs w:val="24"/>
        </w:rPr>
        <w:t>'</w:t>
      </w:r>
      <w:r w:rsidRPr="005452B3">
        <w:rPr>
          <w:rFonts w:ascii="Arial" w:hAnsi="Arial" w:cs="Arial"/>
          <w:noProof/>
          <w:sz w:val="24"/>
          <w:szCs w:val="24"/>
        </w:rPr>
        <w:t>Optimising Macroeconomic Investment Decisions: A Lesson from Nigeria</w:t>
      </w:r>
      <w:r w:rsidR="000A3885"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European Journal of Scientific Research, vol. 22, no. </w:t>
      </w:r>
      <w:r w:rsidRPr="005452B3">
        <w:rPr>
          <w:rFonts w:ascii="Arial" w:hAnsi="Arial" w:cs="Arial"/>
          <w:noProof/>
          <w:sz w:val="24"/>
          <w:szCs w:val="24"/>
        </w:rPr>
        <w:t>4, pp. 469-479.</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Albu, L 2006, </w:t>
      </w:r>
      <w:r w:rsidR="000A3885" w:rsidRPr="005452B3">
        <w:rPr>
          <w:rFonts w:ascii="Arial" w:hAnsi="Arial" w:cs="Arial"/>
          <w:noProof/>
          <w:sz w:val="24"/>
          <w:szCs w:val="24"/>
        </w:rPr>
        <w:t>'</w:t>
      </w:r>
      <w:r w:rsidRPr="005452B3">
        <w:rPr>
          <w:rFonts w:ascii="Arial" w:hAnsi="Arial" w:cs="Arial"/>
          <w:noProof/>
          <w:sz w:val="24"/>
          <w:szCs w:val="24"/>
        </w:rPr>
        <w:t>Trends in the interest Rate-investment-GDP Growth Relationship</w:t>
      </w:r>
      <w:r w:rsidR="000A3885"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Romaniand Econ Forcast</w:t>
      </w:r>
      <w:r w:rsidRPr="005452B3">
        <w:rPr>
          <w:rFonts w:ascii="Arial" w:hAnsi="Arial" w:cs="Arial"/>
          <w:noProof/>
          <w:sz w:val="24"/>
          <w:szCs w:val="24"/>
        </w:rPr>
        <w:t>, issue 3.</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Anyanwu, JC 1997, </w:t>
      </w:r>
      <w:r w:rsidRPr="005452B3">
        <w:rPr>
          <w:rFonts w:ascii="Arial" w:hAnsi="Arial" w:cs="Arial"/>
          <w:i/>
          <w:iCs/>
          <w:noProof/>
          <w:sz w:val="24"/>
          <w:szCs w:val="24"/>
        </w:rPr>
        <w:t>Monetary Economics: Theory, Policy and Institutions.</w:t>
      </w:r>
      <w:r w:rsidRPr="005452B3">
        <w:rPr>
          <w:rFonts w:ascii="Arial" w:hAnsi="Arial" w:cs="Arial"/>
          <w:noProof/>
          <w:sz w:val="24"/>
          <w:szCs w:val="24"/>
        </w:rPr>
        <w:t xml:space="preserve"> Onitsha: Hybrid Publishers LTD,.</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Balassa, B 1989, </w:t>
      </w:r>
      <w:r w:rsidR="000A3885" w:rsidRPr="005452B3">
        <w:rPr>
          <w:rFonts w:ascii="Arial" w:hAnsi="Arial" w:cs="Arial"/>
          <w:noProof/>
          <w:sz w:val="24"/>
          <w:szCs w:val="24"/>
        </w:rPr>
        <w:t>'</w:t>
      </w:r>
      <w:r w:rsidRPr="005452B3">
        <w:rPr>
          <w:rFonts w:ascii="Arial" w:hAnsi="Arial" w:cs="Arial"/>
          <w:noProof/>
          <w:sz w:val="24"/>
          <w:szCs w:val="24"/>
        </w:rPr>
        <w:t>The effect of interest rate on savings in developing countries</w:t>
      </w:r>
      <w:r w:rsidR="000A3885"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World Bank Working Paper</w:t>
      </w:r>
      <w:r w:rsidRPr="005452B3">
        <w:rPr>
          <w:rFonts w:ascii="Arial" w:hAnsi="Arial" w:cs="Arial"/>
          <w:noProof/>
          <w:sz w:val="24"/>
          <w:szCs w:val="24"/>
        </w:rPr>
        <w:t>, issue 56.</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Erega, PB 2010, </w:t>
      </w:r>
      <w:r w:rsidR="000A3885" w:rsidRPr="005452B3">
        <w:rPr>
          <w:rFonts w:ascii="Arial" w:hAnsi="Arial" w:cs="Arial"/>
          <w:noProof/>
          <w:sz w:val="24"/>
          <w:szCs w:val="24"/>
        </w:rPr>
        <w:t>'</w:t>
      </w:r>
      <w:r w:rsidRPr="005452B3">
        <w:rPr>
          <w:rFonts w:ascii="Arial" w:hAnsi="Arial" w:cs="Arial"/>
          <w:noProof/>
          <w:sz w:val="24"/>
          <w:szCs w:val="24"/>
        </w:rPr>
        <w:t>Interest Rate Variation and Investment in Nigeria</w:t>
      </w:r>
      <w:r w:rsidR="000A3885"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International Business Management, vol. 4, </w:t>
      </w:r>
      <w:r w:rsidRPr="005452B3">
        <w:rPr>
          <w:rFonts w:ascii="Arial" w:hAnsi="Arial" w:cs="Arial"/>
          <w:noProof/>
          <w:sz w:val="24"/>
          <w:szCs w:val="24"/>
        </w:rPr>
        <w:t>no2, pp.  41-464.</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Fry, M 1995, </w:t>
      </w:r>
      <w:r w:rsidRPr="005452B3">
        <w:rPr>
          <w:rFonts w:ascii="Arial" w:hAnsi="Arial" w:cs="Arial"/>
          <w:i/>
          <w:iCs/>
          <w:noProof/>
          <w:sz w:val="24"/>
          <w:szCs w:val="24"/>
        </w:rPr>
        <w:t>Money Interest and banking Economic Development</w:t>
      </w:r>
      <w:r w:rsidRPr="005452B3">
        <w:rPr>
          <w:rFonts w:ascii="Arial" w:hAnsi="Arial" w:cs="Arial"/>
          <w:noProof/>
          <w:sz w:val="24"/>
          <w:szCs w:val="24"/>
        </w:rPr>
        <w:t xml:space="preserve"> (2nd ed.). Baltimore MD: John Hopkins University Press.</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Giovannini, A 1983, </w:t>
      </w:r>
      <w:r w:rsidR="001D4738" w:rsidRPr="005452B3">
        <w:rPr>
          <w:rFonts w:ascii="Arial" w:hAnsi="Arial" w:cs="Arial"/>
          <w:noProof/>
          <w:sz w:val="24"/>
          <w:szCs w:val="24"/>
        </w:rPr>
        <w:t>'</w:t>
      </w:r>
      <w:r w:rsidRPr="005452B3">
        <w:rPr>
          <w:rFonts w:ascii="Arial" w:hAnsi="Arial" w:cs="Arial"/>
          <w:noProof/>
          <w:sz w:val="24"/>
          <w:szCs w:val="24"/>
        </w:rPr>
        <w:t>The interest rate elasticity of savings in developing countries: The existing evidence</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World Development, vol. 11, no. </w:t>
      </w:r>
      <w:r w:rsidRPr="005452B3">
        <w:rPr>
          <w:rFonts w:ascii="Arial" w:hAnsi="Arial" w:cs="Arial"/>
          <w:noProof/>
          <w:sz w:val="24"/>
          <w:szCs w:val="24"/>
        </w:rPr>
        <w:t>7.</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Gujarati, DA 2009, </w:t>
      </w:r>
      <w:r w:rsidRPr="005452B3">
        <w:rPr>
          <w:rFonts w:ascii="Arial" w:hAnsi="Arial" w:cs="Arial"/>
          <w:i/>
          <w:iCs/>
          <w:noProof/>
          <w:sz w:val="24"/>
          <w:szCs w:val="24"/>
        </w:rPr>
        <w:t>Basic Econometrics.</w:t>
      </w:r>
      <w:r w:rsidRPr="005452B3">
        <w:rPr>
          <w:rFonts w:ascii="Arial" w:hAnsi="Arial" w:cs="Arial"/>
          <w:noProof/>
          <w:sz w:val="24"/>
          <w:szCs w:val="24"/>
        </w:rPr>
        <w:t xml:space="preserve"> New York: Mcgraw-Hill/Irvin.</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Iyoha, MA 2004, </w:t>
      </w:r>
      <w:r w:rsidR="00F81A8D" w:rsidRPr="005452B3">
        <w:rPr>
          <w:rFonts w:ascii="Arial" w:hAnsi="Arial" w:cs="Arial"/>
          <w:noProof/>
          <w:sz w:val="24"/>
          <w:szCs w:val="24"/>
        </w:rPr>
        <w:t>'</w:t>
      </w:r>
      <w:r w:rsidRPr="005452B3">
        <w:rPr>
          <w:rFonts w:ascii="Arial" w:hAnsi="Arial" w:cs="Arial"/>
          <w:i/>
          <w:iCs/>
          <w:noProof/>
          <w:sz w:val="24"/>
          <w:szCs w:val="24"/>
        </w:rPr>
        <w:t>Applied Econometrics</w:t>
      </w:r>
      <w:r w:rsidR="00F81A8D" w:rsidRPr="005452B3">
        <w:rPr>
          <w:rFonts w:ascii="Arial" w:hAnsi="Arial" w:cs="Arial"/>
          <w:i/>
          <w:iCs/>
          <w:noProof/>
          <w:sz w:val="24"/>
          <w:szCs w:val="24"/>
        </w:rPr>
        <w:t>'</w:t>
      </w:r>
      <w:r w:rsidRPr="005452B3">
        <w:rPr>
          <w:rFonts w:ascii="Arial" w:hAnsi="Arial" w:cs="Arial"/>
          <w:noProof/>
          <w:sz w:val="24"/>
          <w:szCs w:val="24"/>
        </w:rPr>
        <w:t xml:space="preserve"> vol. 1, Benin City: Mindex Publishing.</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Keynes JM 1936, </w:t>
      </w:r>
      <w:r w:rsidRPr="005452B3">
        <w:rPr>
          <w:rFonts w:ascii="Arial" w:hAnsi="Arial" w:cs="Arial"/>
          <w:i/>
          <w:iCs/>
          <w:noProof/>
          <w:sz w:val="24"/>
          <w:szCs w:val="24"/>
        </w:rPr>
        <w:t>The general Theory of Employment, Interest and Money</w:t>
      </w:r>
      <w:r w:rsidRPr="005452B3">
        <w:rPr>
          <w:rFonts w:ascii="Arial" w:hAnsi="Arial" w:cs="Arial"/>
          <w:noProof/>
          <w:sz w:val="24"/>
          <w:szCs w:val="24"/>
        </w:rPr>
        <w:t xml:space="preserve"> (HET ed.). London: Macmillan.</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lastRenderedPageBreak/>
        <w:t xml:space="preserve">Khat, DR &amp; Bhathia, F 1983, </w:t>
      </w:r>
      <w:r w:rsidR="001D4738" w:rsidRPr="005452B3">
        <w:rPr>
          <w:rFonts w:ascii="Arial" w:hAnsi="Arial" w:cs="Arial"/>
          <w:noProof/>
          <w:sz w:val="24"/>
          <w:szCs w:val="24"/>
        </w:rPr>
        <w:t>'</w:t>
      </w:r>
      <w:r w:rsidRPr="005452B3">
        <w:rPr>
          <w:rFonts w:ascii="Arial" w:hAnsi="Arial" w:cs="Arial"/>
          <w:i/>
          <w:iCs/>
          <w:noProof/>
          <w:sz w:val="24"/>
          <w:szCs w:val="24"/>
        </w:rPr>
        <w:t>Saving Mobilization and Entrepreneurial Development, The African Exprience</w:t>
      </w:r>
      <w:r w:rsidR="001D4738" w:rsidRPr="005452B3">
        <w:rPr>
          <w:rFonts w:ascii="Arial" w:hAnsi="Arial" w:cs="Arial"/>
          <w:i/>
          <w:iCs/>
          <w:noProof/>
          <w:sz w:val="24"/>
          <w:szCs w:val="24"/>
        </w:rPr>
        <w:t>'</w:t>
      </w:r>
      <w:r w:rsidRPr="005452B3">
        <w:rPr>
          <w:rFonts w:ascii="Arial" w:hAnsi="Arial" w:cs="Arial"/>
          <w:i/>
          <w:iCs/>
          <w:noProof/>
          <w:sz w:val="24"/>
          <w:szCs w:val="24"/>
        </w:rPr>
        <w:t>.</w:t>
      </w:r>
      <w:r w:rsidRPr="005452B3">
        <w:rPr>
          <w:rFonts w:ascii="Arial" w:hAnsi="Arial" w:cs="Arial"/>
          <w:noProof/>
          <w:sz w:val="24"/>
          <w:szCs w:val="24"/>
        </w:rPr>
        <w:t xml:space="preserve"> IMF Staff Paper vol 27.</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Mwega, A &amp; Ngola, 1991, </w:t>
      </w:r>
      <w:r w:rsidR="001D4738" w:rsidRPr="005452B3">
        <w:rPr>
          <w:rFonts w:ascii="Arial" w:hAnsi="Arial" w:cs="Arial"/>
          <w:noProof/>
          <w:sz w:val="24"/>
          <w:szCs w:val="24"/>
        </w:rPr>
        <w:t>'</w:t>
      </w:r>
      <w:r w:rsidRPr="005452B3">
        <w:rPr>
          <w:rFonts w:ascii="Arial" w:hAnsi="Arial" w:cs="Arial"/>
          <w:noProof/>
          <w:sz w:val="24"/>
          <w:szCs w:val="24"/>
        </w:rPr>
        <w:t>The role of Interest Rate in Mobolisation of Private Savings In Africa: A Case Study of Kenya</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Ife Journal of Economics and Finance, vol.1, no. </w:t>
      </w:r>
      <w:r w:rsidRPr="005452B3">
        <w:rPr>
          <w:rFonts w:ascii="Arial" w:hAnsi="Arial" w:cs="Arial"/>
          <w:noProof/>
          <w:sz w:val="24"/>
          <w:szCs w:val="24"/>
        </w:rPr>
        <w:t>1, pp.1-14.</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Nyong, M 2007, </w:t>
      </w:r>
      <w:r w:rsidR="001D4738" w:rsidRPr="005452B3">
        <w:rPr>
          <w:rFonts w:ascii="Arial" w:hAnsi="Arial" w:cs="Arial"/>
          <w:noProof/>
          <w:sz w:val="24"/>
          <w:szCs w:val="24"/>
        </w:rPr>
        <w:t>'</w:t>
      </w:r>
      <w:r w:rsidRPr="005452B3">
        <w:rPr>
          <w:rFonts w:ascii="Arial" w:hAnsi="Arial" w:cs="Arial"/>
          <w:noProof/>
          <w:sz w:val="24"/>
          <w:szCs w:val="24"/>
        </w:rPr>
        <w:t>Government Size, Political freedom and economic growth in Nigeria, 1960-2000</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Journal of Third World Studies, vol.13</w:t>
      </w:r>
      <w:r w:rsidRPr="005452B3">
        <w:rPr>
          <w:rFonts w:ascii="Arial" w:hAnsi="Arial" w:cs="Arial"/>
          <w:noProof/>
          <w:sz w:val="24"/>
          <w:szCs w:val="24"/>
        </w:rPr>
        <w:t>, pp. 87-93.</w:t>
      </w:r>
    </w:p>
    <w:p w:rsidR="005245B6" w:rsidRPr="005452B3" w:rsidRDefault="005245B6" w:rsidP="003E4269">
      <w:pPr>
        <w:tabs>
          <w:tab w:val="left" w:pos="0"/>
        </w:tabs>
        <w:spacing w:after="0" w:line="240" w:lineRule="auto"/>
        <w:ind w:left="567" w:hanging="567"/>
        <w:jc w:val="both"/>
        <w:rPr>
          <w:rFonts w:ascii="Arial" w:hAnsi="Arial" w:cs="Arial"/>
          <w:i/>
          <w:sz w:val="24"/>
          <w:szCs w:val="24"/>
        </w:rPr>
      </w:pPr>
      <w:r w:rsidRPr="005452B3">
        <w:rPr>
          <w:rFonts w:ascii="Arial" w:hAnsi="Arial" w:cs="Arial"/>
          <w:noProof/>
          <w:sz w:val="24"/>
          <w:szCs w:val="24"/>
        </w:rPr>
        <w:t xml:space="preserve">Obamuyi, TM &amp; Olorunfemi, S 2011, </w:t>
      </w:r>
      <w:r w:rsidR="001D4738" w:rsidRPr="005452B3">
        <w:rPr>
          <w:rFonts w:ascii="Arial" w:hAnsi="Arial" w:cs="Arial"/>
          <w:noProof/>
          <w:sz w:val="24"/>
          <w:szCs w:val="24"/>
        </w:rPr>
        <w:t>'</w:t>
      </w:r>
      <w:r w:rsidRPr="005452B3">
        <w:rPr>
          <w:rFonts w:ascii="Arial" w:hAnsi="Arial" w:cs="Arial"/>
          <w:noProof/>
          <w:sz w:val="24"/>
          <w:szCs w:val="24"/>
        </w:rPr>
        <w:t>Financial Reforms, Interest Rate Behaviourand Economic Growth in Nigeria</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Journal of Applied Finance and Banking, vol. 1, no. </w:t>
      </w:r>
      <w:r w:rsidRPr="005452B3">
        <w:rPr>
          <w:rFonts w:ascii="Arial" w:hAnsi="Arial" w:cs="Arial"/>
          <w:noProof/>
          <w:sz w:val="24"/>
          <w:szCs w:val="24"/>
        </w:rPr>
        <w:t>4.</w:t>
      </w:r>
      <w:r w:rsidRPr="005452B3">
        <w:rPr>
          <w:rFonts w:ascii="Arial" w:hAnsi="Arial" w:cs="Arial"/>
          <w:i/>
          <w:sz w:val="24"/>
          <w:szCs w:val="24"/>
        </w:rPr>
        <w:t xml:space="preserve"> pp. 39-55 </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Obamuyi, T. M. (2009). </w:t>
      </w:r>
      <w:r w:rsidR="001D4738" w:rsidRPr="005452B3">
        <w:rPr>
          <w:rFonts w:ascii="Arial" w:hAnsi="Arial" w:cs="Arial"/>
          <w:noProof/>
          <w:sz w:val="24"/>
          <w:szCs w:val="24"/>
        </w:rPr>
        <w:t>'</w:t>
      </w:r>
      <w:r w:rsidRPr="005452B3">
        <w:rPr>
          <w:rFonts w:ascii="Arial" w:hAnsi="Arial" w:cs="Arial"/>
          <w:noProof/>
          <w:sz w:val="24"/>
          <w:szCs w:val="24"/>
        </w:rPr>
        <w:t>An Investigation of the Relationship between Interest Rates and Economic Growth in Nigeria, 1976 -2006</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 xml:space="preserve">Journal of Economic and International Finance, vol. 1, no. </w:t>
      </w:r>
      <w:r w:rsidRPr="005452B3">
        <w:rPr>
          <w:rFonts w:ascii="Arial" w:hAnsi="Arial" w:cs="Arial"/>
          <w:noProof/>
          <w:sz w:val="24"/>
          <w:szCs w:val="24"/>
        </w:rPr>
        <w:t>4, pp.093-098.</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Okonjo-Iweala, N 2013, Is Interest Rate another Ghost Hunting Nigeria? </w:t>
      </w:r>
      <w:r w:rsidRPr="005452B3">
        <w:rPr>
          <w:rFonts w:ascii="Arial" w:hAnsi="Arial" w:cs="Arial"/>
          <w:i/>
          <w:iCs/>
          <w:noProof/>
          <w:sz w:val="24"/>
          <w:szCs w:val="24"/>
        </w:rPr>
        <w:t xml:space="preserve">Vanguard Newspaper, </w:t>
      </w:r>
      <w:r w:rsidRPr="005452B3">
        <w:rPr>
          <w:rFonts w:ascii="Arial" w:hAnsi="Arial" w:cs="Arial"/>
          <w:noProof/>
          <w:sz w:val="24"/>
          <w:szCs w:val="24"/>
        </w:rPr>
        <w:t xml:space="preserve"> 02 September, p.  10.</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Olayiwola, KA, &amp; Soyibo , A 2000, </w:t>
      </w:r>
      <w:r w:rsidR="001D4738" w:rsidRPr="005452B3">
        <w:rPr>
          <w:rFonts w:ascii="Arial" w:hAnsi="Arial" w:cs="Arial"/>
          <w:noProof/>
          <w:sz w:val="24"/>
          <w:szCs w:val="24"/>
        </w:rPr>
        <w:t>'</w:t>
      </w:r>
      <w:r w:rsidRPr="005452B3">
        <w:rPr>
          <w:rFonts w:ascii="Arial" w:hAnsi="Arial" w:cs="Arial"/>
          <w:i/>
          <w:iCs/>
          <w:noProof/>
          <w:sz w:val="24"/>
          <w:szCs w:val="24"/>
        </w:rPr>
        <w:t>Interest Rate Policy and the Promotion of Saving Investment and Resources Mobilisation in Nigeria</w:t>
      </w:r>
      <w:r w:rsidR="001D4738" w:rsidRPr="005452B3">
        <w:rPr>
          <w:rFonts w:ascii="Arial" w:hAnsi="Arial" w:cs="Arial"/>
          <w:i/>
          <w:iCs/>
          <w:noProof/>
          <w:sz w:val="24"/>
          <w:szCs w:val="24"/>
        </w:rPr>
        <w:t>'</w:t>
      </w:r>
      <w:r w:rsidRPr="005452B3">
        <w:rPr>
          <w:rFonts w:ascii="Arial" w:hAnsi="Arial" w:cs="Arial"/>
          <w:i/>
          <w:iCs/>
          <w:noProof/>
          <w:sz w:val="24"/>
          <w:szCs w:val="24"/>
        </w:rPr>
        <w:t xml:space="preserve">,  </w:t>
      </w:r>
      <w:r w:rsidRPr="005452B3">
        <w:rPr>
          <w:rFonts w:ascii="Arial" w:hAnsi="Arial" w:cs="Arial"/>
          <w:noProof/>
          <w:sz w:val="24"/>
          <w:szCs w:val="24"/>
        </w:rPr>
        <w:t>Report 24, Development Policy Centre Ibadan.</w:t>
      </w:r>
    </w:p>
    <w:p w:rsidR="005245B6" w:rsidRPr="005452B3" w:rsidRDefault="005245B6" w:rsidP="003E4269">
      <w:pPr>
        <w:pStyle w:val="Bibliography"/>
        <w:spacing w:after="0" w:line="240" w:lineRule="auto"/>
        <w:ind w:left="567" w:hanging="567"/>
        <w:jc w:val="both"/>
        <w:rPr>
          <w:rFonts w:ascii="Arial" w:hAnsi="Arial" w:cs="Arial"/>
          <w:noProof/>
          <w:sz w:val="24"/>
          <w:szCs w:val="24"/>
        </w:rPr>
      </w:pPr>
      <w:r w:rsidRPr="005452B3">
        <w:rPr>
          <w:rFonts w:ascii="Arial" w:hAnsi="Arial" w:cs="Arial"/>
          <w:noProof/>
          <w:sz w:val="24"/>
          <w:szCs w:val="24"/>
        </w:rPr>
        <w:t xml:space="preserve">Udoka, CA &amp; </w:t>
      </w:r>
      <w:r w:rsidRPr="005452B3">
        <w:rPr>
          <w:rFonts w:ascii="Arial" w:hAnsi="Arial" w:cs="Arial"/>
          <w:bCs/>
          <w:sz w:val="24"/>
          <w:szCs w:val="24"/>
        </w:rPr>
        <w:t>Anyingang,</w:t>
      </w:r>
      <w:r w:rsidRPr="005452B3">
        <w:rPr>
          <w:rFonts w:ascii="Arial" w:hAnsi="Arial" w:cs="Arial"/>
          <w:noProof/>
          <w:sz w:val="24"/>
          <w:szCs w:val="24"/>
        </w:rPr>
        <w:t xml:space="preserve"> AR 2012, </w:t>
      </w:r>
      <w:r w:rsidR="001D4738" w:rsidRPr="005452B3">
        <w:rPr>
          <w:rFonts w:ascii="Arial" w:hAnsi="Arial" w:cs="Arial"/>
          <w:noProof/>
          <w:sz w:val="24"/>
          <w:szCs w:val="24"/>
        </w:rPr>
        <w:t>'</w:t>
      </w:r>
      <w:r w:rsidRPr="005452B3">
        <w:rPr>
          <w:rFonts w:ascii="Arial" w:hAnsi="Arial" w:cs="Arial"/>
          <w:noProof/>
          <w:sz w:val="24"/>
          <w:szCs w:val="24"/>
        </w:rPr>
        <w:t>The Effect of Interst rate Fluctuation on the Economic Growth of Nigeria 1970-2010</w:t>
      </w:r>
      <w:r w:rsidR="001D4738" w:rsidRPr="005452B3">
        <w:rPr>
          <w:rFonts w:ascii="Arial" w:hAnsi="Arial" w:cs="Arial"/>
          <w:noProof/>
          <w:sz w:val="24"/>
          <w:szCs w:val="24"/>
        </w:rPr>
        <w:t>'</w:t>
      </w:r>
      <w:r w:rsidRPr="005452B3">
        <w:rPr>
          <w:rFonts w:ascii="Arial" w:hAnsi="Arial" w:cs="Arial"/>
          <w:noProof/>
          <w:sz w:val="24"/>
          <w:szCs w:val="24"/>
        </w:rPr>
        <w:t xml:space="preserve">. </w:t>
      </w:r>
      <w:r w:rsidRPr="005452B3">
        <w:rPr>
          <w:rFonts w:ascii="Arial" w:hAnsi="Arial" w:cs="Arial"/>
          <w:i/>
          <w:iCs/>
          <w:noProof/>
          <w:sz w:val="24"/>
          <w:szCs w:val="24"/>
        </w:rPr>
        <w:t>International Journal of Business and Social Science, vol. 3, no.</w:t>
      </w:r>
      <w:r w:rsidRPr="005452B3">
        <w:rPr>
          <w:rFonts w:ascii="Arial" w:hAnsi="Arial" w:cs="Arial"/>
          <w:noProof/>
          <w:sz w:val="24"/>
          <w:szCs w:val="24"/>
        </w:rPr>
        <w:t>20, pp. 295-302.</w:t>
      </w:r>
    </w:p>
    <w:p w:rsidR="00DB27A0" w:rsidRPr="005452B3" w:rsidRDefault="005245B6" w:rsidP="003E4269">
      <w:pPr>
        <w:pStyle w:val="Bibliography"/>
        <w:spacing w:after="0" w:line="240" w:lineRule="auto"/>
        <w:ind w:left="567" w:hanging="567"/>
        <w:jc w:val="both"/>
        <w:rPr>
          <w:rFonts w:ascii="Arial" w:hAnsi="Arial" w:cs="Arial"/>
        </w:rPr>
      </w:pPr>
      <w:r w:rsidRPr="005452B3">
        <w:rPr>
          <w:rFonts w:ascii="Arial" w:hAnsi="Arial" w:cs="Arial"/>
          <w:sz w:val="24"/>
          <w:szCs w:val="24"/>
        </w:rPr>
        <w:fldChar w:fldCharType="end"/>
      </w:r>
    </w:p>
    <w:p w:rsidR="006B573C" w:rsidRPr="005452B3" w:rsidRDefault="006B573C" w:rsidP="003E4269">
      <w:pPr>
        <w:spacing w:after="0" w:line="240" w:lineRule="auto"/>
        <w:ind w:left="567" w:hanging="567"/>
        <w:jc w:val="both"/>
        <w:rPr>
          <w:rFonts w:ascii="Arial" w:hAnsi="Arial" w:cs="Arial"/>
        </w:rPr>
      </w:pPr>
    </w:p>
    <w:sectPr w:rsidR="006B573C" w:rsidRPr="005452B3" w:rsidSect="006A0A31">
      <w:headerReference w:type="default" r:id="rId9"/>
      <w:footerReference w:type="default" r:id="rId10"/>
      <w:headerReference w:type="first" r:id="rId11"/>
      <w:pgSz w:w="12240" w:h="15840"/>
      <w:pgMar w:top="1440" w:right="1183" w:bottom="1440" w:left="1134" w:header="720" w:footer="720" w:gutter="0"/>
      <w:pgNumType w:start="1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D1" w:rsidRDefault="00CD1FD1" w:rsidP="001A735B">
      <w:pPr>
        <w:spacing w:after="0" w:line="240" w:lineRule="auto"/>
      </w:pPr>
      <w:r>
        <w:separator/>
      </w:r>
    </w:p>
  </w:endnote>
  <w:endnote w:type="continuationSeparator" w:id="0">
    <w:p w:rsidR="00CD1FD1" w:rsidRDefault="00CD1FD1" w:rsidP="001A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81"/>
      <w:docPartObj>
        <w:docPartGallery w:val="Page Numbers (Bottom of Page)"/>
        <w:docPartUnique/>
      </w:docPartObj>
    </w:sdtPr>
    <w:sdtEndPr>
      <w:rPr>
        <w:rFonts w:ascii="Times New Roman" w:hAnsi="Times New Roman" w:cs="Times New Roman"/>
        <w:noProof/>
        <w:sz w:val="24"/>
        <w:szCs w:val="24"/>
      </w:rPr>
    </w:sdtEndPr>
    <w:sdtContent>
      <w:p w:rsidR="006A0A31" w:rsidRPr="006A0A31" w:rsidRDefault="006A0A31">
        <w:pPr>
          <w:pStyle w:val="Footer"/>
          <w:jc w:val="right"/>
          <w:rPr>
            <w:rFonts w:ascii="Times New Roman" w:hAnsi="Times New Roman" w:cs="Times New Roman"/>
            <w:sz w:val="24"/>
            <w:szCs w:val="24"/>
          </w:rPr>
        </w:pPr>
        <w:r w:rsidRPr="006A0A31">
          <w:rPr>
            <w:rFonts w:ascii="Times New Roman" w:hAnsi="Times New Roman" w:cs="Times New Roman"/>
            <w:sz w:val="24"/>
            <w:szCs w:val="24"/>
          </w:rPr>
          <w:fldChar w:fldCharType="begin"/>
        </w:r>
        <w:r w:rsidRPr="006A0A31">
          <w:rPr>
            <w:rFonts w:ascii="Times New Roman" w:hAnsi="Times New Roman" w:cs="Times New Roman"/>
            <w:sz w:val="24"/>
            <w:szCs w:val="24"/>
          </w:rPr>
          <w:instrText xml:space="preserve"> PAGE   \* MERGEFORMAT </w:instrText>
        </w:r>
        <w:r w:rsidRPr="006A0A31">
          <w:rPr>
            <w:rFonts w:ascii="Times New Roman" w:hAnsi="Times New Roman" w:cs="Times New Roman"/>
            <w:sz w:val="24"/>
            <w:szCs w:val="24"/>
          </w:rPr>
          <w:fldChar w:fldCharType="separate"/>
        </w:r>
        <w:r w:rsidR="00A40C26">
          <w:rPr>
            <w:rFonts w:ascii="Times New Roman" w:hAnsi="Times New Roman" w:cs="Times New Roman"/>
            <w:noProof/>
            <w:sz w:val="24"/>
            <w:szCs w:val="24"/>
          </w:rPr>
          <w:t>148</w:t>
        </w:r>
        <w:r w:rsidRPr="006A0A31">
          <w:rPr>
            <w:rFonts w:ascii="Times New Roman" w:hAnsi="Times New Roman" w:cs="Times New Roman"/>
            <w:noProof/>
            <w:sz w:val="24"/>
            <w:szCs w:val="24"/>
          </w:rPr>
          <w:fldChar w:fldCharType="end"/>
        </w:r>
      </w:p>
    </w:sdtContent>
  </w:sdt>
  <w:p w:rsidR="006A0A31" w:rsidRDefault="006A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D1" w:rsidRDefault="00CD1FD1" w:rsidP="001A735B">
      <w:pPr>
        <w:spacing w:after="0" w:line="240" w:lineRule="auto"/>
      </w:pPr>
      <w:r>
        <w:separator/>
      </w:r>
    </w:p>
  </w:footnote>
  <w:footnote w:type="continuationSeparator" w:id="0">
    <w:p w:rsidR="00CD1FD1" w:rsidRDefault="00CD1FD1" w:rsidP="001A735B">
      <w:pPr>
        <w:spacing w:after="0" w:line="240" w:lineRule="auto"/>
      </w:pPr>
      <w:r>
        <w:continuationSeparator/>
      </w:r>
    </w:p>
  </w:footnote>
  <w:footnote w:id="1">
    <w:p w:rsidR="00C22662" w:rsidRPr="00DE6D0C" w:rsidRDefault="004E2981">
      <w:pPr>
        <w:pStyle w:val="FootnoteText"/>
        <w:rPr>
          <w:rFonts w:ascii="Arial" w:hAnsi="Arial" w:cs="Arial"/>
          <w:bCs/>
        </w:rPr>
      </w:pPr>
      <w:r w:rsidRPr="00DE6D0C">
        <w:rPr>
          <w:rStyle w:val="FootnoteReference"/>
        </w:rPr>
        <w:footnoteRef/>
      </w:r>
      <w:r w:rsidRPr="00DE6D0C">
        <w:t xml:space="preserve"> </w:t>
      </w:r>
      <w:proofErr w:type="spellStart"/>
      <w:r w:rsidR="00C22662" w:rsidRPr="00DE6D0C">
        <w:rPr>
          <w:rFonts w:ascii="Arial" w:hAnsi="Arial" w:cs="Arial"/>
          <w:bCs/>
        </w:rPr>
        <w:t>Ajayi</w:t>
      </w:r>
      <w:proofErr w:type="spellEnd"/>
      <w:r w:rsidR="00C22662" w:rsidRPr="00DE6D0C">
        <w:rPr>
          <w:rFonts w:ascii="Arial" w:hAnsi="Arial" w:cs="Arial"/>
          <w:bCs/>
        </w:rPr>
        <w:t xml:space="preserve">, Samuel A Landmark University </w:t>
      </w:r>
      <w:proofErr w:type="spellStart"/>
      <w:r w:rsidR="00C22662" w:rsidRPr="00DE6D0C">
        <w:rPr>
          <w:rFonts w:ascii="Arial" w:hAnsi="Arial" w:cs="Arial"/>
          <w:bCs/>
        </w:rPr>
        <w:t>Omu</w:t>
      </w:r>
      <w:proofErr w:type="spellEnd"/>
      <w:r w:rsidR="00C22662" w:rsidRPr="00DE6D0C">
        <w:rPr>
          <w:rFonts w:ascii="Arial" w:hAnsi="Arial" w:cs="Arial"/>
          <w:bCs/>
        </w:rPr>
        <w:t xml:space="preserve"> </w:t>
      </w:r>
      <w:proofErr w:type="spellStart"/>
      <w:r w:rsidR="00C22662" w:rsidRPr="00DE6D0C">
        <w:rPr>
          <w:rFonts w:ascii="Arial" w:hAnsi="Arial" w:cs="Arial"/>
          <w:bCs/>
        </w:rPr>
        <w:t>Aran</w:t>
      </w:r>
      <w:proofErr w:type="spellEnd"/>
      <w:r w:rsidR="00C22662" w:rsidRPr="00DE6D0C">
        <w:rPr>
          <w:rFonts w:ascii="Arial" w:hAnsi="Arial" w:cs="Arial"/>
          <w:bCs/>
        </w:rPr>
        <w:t xml:space="preserve">, Nigeria Email: </w:t>
      </w:r>
      <w:hyperlink r:id="rId1" w:history="1">
        <w:r w:rsidR="00C22662" w:rsidRPr="00DE6D0C">
          <w:rPr>
            <w:rStyle w:val="Hyperlink"/>
            <w:rFonts w:ascii="Arial" w:hAnsi="Arial" w:cs="Arial"/>
            <w:bCs/>
          </w:rPr>
          <w:t>ajayi.abiodun@lmu.edu.ng</w:t>
        </w:r>
      </w:hyperlink>
    </w:p>
  </w:footnote>
  <w:footnote w:id="2">
    <w:p w:rsidR="00C22662" w:rsidRPr="00DE6D0C" w:rsidRDefault="00C22662">
      <w:pPr>
        <w:pStyle w:val="FootnoteText"/>
        <w:rPr>
          <w:rFonts w:ascii="Arial" w:hAnsi="Arial" w:cs="Arial"/>
          <w:bCs/>
          <w:color w:val="0000FF" w:themeColor="hyperlink"/>
          <w:u w:val="single"/>
        </w:rPr>
      </w:pPr>
      <w:r w:rsidRPr="00DE6D0C">
        <w:rPr>
          <w:rStyle w:val="FootnoteReference"/>
        </w:rPr>
        <w:footnoteRef/>
      </w:r>
      <w:r w:rsidRPr="00DE6D0C">
        <w:t xml:space="preserve"> </w:t>
      </w:r>
      <w:r w:rsidRPr="00DE6D0C">
        <w:rPr>
          <w:rFonts w:ascii="Arial" w:hAnsi="Arial" w:cs="Arial"/>
          <w:bCs/>
        </w:rPr>
        <w:t>O</w:t>
      </w:r>
      <w:r w:rsidRPr="00DE6D0C">
        <w:rPr>
          <w:rFonts w:ascii="Arial" w:hAnsi="Arial" w:cs="Arial"/>
          <w:bCs/>
          <w:lang w:val="yo-NG"/>
        </w:rPr>
        <w:t>l</w:t>
      </w:r>
      <w:proofErr w:type="spellStart"/>
      <w:r w:rsidRPr="00DE6D0C">
        <w:rPr>
          <w:rFonts w:ascii="Arial" w:hAnsi="Arial" w:cs="Arial"/>
          <w:bCs/>
        </w:rPr>
        <w:t>adipo</w:t>
      </w:r>
      <w:proofErr w:type="spellEnd"/>
      <w:r w:rsidRPr="00DE6D0C">
        <w:rPr>
          <w:rFonts w:ascii="Arial" w:hAnsi="Arial" w:cs="Arial"/>
          <w:bCs/>
        </w:rPr>
        <w:t xml:space="preserve"> </w:t>
      </w:r>
      <w:proofErr w:type="spellStart"/>
      <w:r w:rsidRPr="00DE6D0C">
        <w:rPr>
          <w:rFonts w:ascii="Arial" w:hAnsi="Arial" w:cs="Arial"/>
          <w:bCs/>
        </w:rPr>
        <w:t>Oluwafemi</w:t>
      </w:r>
      <w:proofErr w:type="spellEnd"/>
      <w:r w:rsidRPr="00DE6D0C">
        <w:rPr>
          <w:rFonts w:ascii="Arial" w:hAnsi="Arial" w:cs="Arial"/>
          <w:bCs/>
        </w:rPr>
        <w:t xml:space="preserve"> A., Landmark University </w:t>
      </w:r>
      <w:proofErr w:type="spellStart"/>
      <w:r w:rsidRPr="00DE6D0C">
        <w:rPr>
          <w:rFonts w:ascii="Arial" w:hAnsi="Arial" w:cs="Arial"/>
          <w:bCs/>
        </w:rPr>
        <w:t>Omu</w:t>
      </w:r>
      <w:proofErr w:type="spellEnd"/>
      <w:r w:rsidRPr="00DE6D0C">
        <w:rPr>
          <w:rFonts w:ascii="Arial" w:hAnsi="Arial" w:cs="Arial"/>
          <w:bCs/>
        </w:rPr>
        <w:t xml:space="preserve"> </w:t>
      </w:r>
      <w:proofErr w:type="spellStart"/>
      <w:r w:rsidRPr="00DE6D0C">
        <w:rPr>
          <w:rFonts w:ascii="Arial" w:hAnsi="Arial" w:cs="Arial"/>
          <w:bCs/>
        </w:rPr>
        <w:t>Aran</w:t>
      </w:r>
      <w:proofErr w:type="spellEnd"/>
      <w:r w:rsidRPr="00DE6D0C">
        <w:rPr>
          <w:rFonts w:ascii="Arial" w:hAnsi="Arial" w:cs="Arial"/>
          <w:bCs/>
        </w:rPr>
        <w:t xml:space="preserve">, Nigeria. Email: </w:t>
      </w:r>
      <w:hyperlink r:id="rId2" w:history="1">
        <w:r w:rsidRPr="00DE6D0C">
          <w:rPr>
            <w:rStyle w:val="Hyperlink"/>
            <w:rFonts w:ascii="Arial" w:hAnsi="Arial" w:cs="Arial"/>
            <w:bCs/>
          </w:rPr>
          <w:t>oladipo.olufemi@lmu.edu.ng</w:t>
        </w:r>
      </w:hyperlink>
    </w:p>
  </w:footnote>
  <w:footnote w:id="3">
    <w:p w:rsidR="00C22662" w:rsidRPr="00DE6D0C" w:rsidRDefault="00C22662">
      <w:pPr>
        <w:pStyle w:val="FootnoteText"/>
      </w:pPr>
      <w:r w:rsidRPr="00DE6D0C">
        <w:rPr>
          <w:rStyle w:val="FootnoteReference"/>
        </w:rPr>
        <w:footnoteRef/>
      </w:r>
      <w:r w:rsidRPr="00DE6D0C">
        <w:rPr>
          <w:rFonts w:ascii="Arial" w:hAnsi="Arial" w:cs="Arial"/>
          <w:bCs/>
          <w:lang w:val="yo-NG"/>
        </w:rPr>
        <w:t>Ajayi, L</w:t>
      </w:r>
      <w:proofErr w:type="spellStart"/>
      <w:r w:rsidRPr="00DE6D0C">
        <w:rPr>
          <w:rFonts w:ascii="Arial" w:hAnsi="Arial" w:cs="Arial"/>
          <w:bCs/>
        </w:rPr>
        <w:t>awrence</w:t>
      </w:r>
      <w:proofErr w:type="spellEnd"/>
      <w:r w:rsidRPr="00DE6D0C">
        <w:rPr>
          <w:rFonts w:ascii="Arial" w:hAnsi="Arial" w:cs="Arial"/>
          <w:bCs/>
          <w:lang w:val="yo-NG"/>
        </w:rPr>
        <w:t>.B.</w:t>
      </w:r>
      <w:r w:rsidRPr="00DE6D0C">
        <w:rPr>
          <w:rFonts w:ascii="Arial" w:hAnsi="Arial" w:cs="Arial"/>
          <w:bCs/>
        </w:rPr>
        <w:t xml:space="preserve">, </w:t>
      </w:r>
      <w:proofErr w:type="spellStart"/>
      <w:r w:rsidRPr="00DE6D0C">
        <w:rPr>
          <w:rFonts w:ascii="Arial" w:hAnsi="Arial" w:cs="Arial"/>
          <w:bCs/>
        </w:rPr>
        <w:t>Ekiti</w:t>
      </w:r>
      <w:proofErr w:type="spellEnd"/>
      <w:r w:rsidRPr="00DE6D0C">
        <w:rPr>
          <w:rFonts w:ascii="Arial" w:hAnsi="Arial" w:cs="Arial"/>
          <w:bCs/>
        </w:rPr>
        <w:t xml:space="preserve"> State University, Ado </w:t>
      </w:r>
      <w:proofErr w:type="spellStart"/>
      <w:r w:rsidRPr="00DE6D0C">
        <w:rPr>
          <w:rFonts w:ascii="Arial" w:hAnsi="Arial" w:cs="Arial"/>
          <w:bCs/>
        </w:rPr>
        <w:t>Ekiti</w:t>
      </w:r>
      <w:proofErr w:type="spellEnd"/>
      <w:r w:rsidRPr="00DE6D0C">
        <w:rPr>
          <w:rFonts w:ascii="Arial" w:hAnsi="Arial" w:cs="Arial"/>
          <w:bCs/>
        </w:rPr>
        <w:t xml:space="preserve">, Nigeria. Email </w:t>
      </w:r>
      <w:hyperlink r:id="rId3" w:history="1">
        <w:r w:rsidRPr="00DE6D0C">
          <w:rPr>
            <w:rStyle w:val="Hyperlink"/>
            <w:rFonts w:ascii="Arial" w:hAnsi="Arial" w:cs="Arial"/>
            <w:bCs/>
            <w:lang w:val="yo-NG"/>
          </w:rPr>
          <w:t>boblaw2006@yahoo.com</w:t>
        </w:r>
      </w:hyperlink>
      <w:r w:rsidRPr="00DE6D0C">
        <w:t xml:space="preserve"> </w:t>
      </w:r>
    </w:p>
  </w:footnote>
  <w:footnote w:id="4">
    <w:p w:rsidR="00C22662" w:rsidRPr="00DE6D0C" w:rsidRDefault="00C22662" w:rsidP="00C22662">
      <w:pPr>
        <w:tabs>
          <w:tab w:val="left" w:pos="0"/>
          <w:tab w:val="left" w:pos="7200"/>
        </w:tabs>
        <w:spacing w:after="0"/>
        <w:rPr>
          <w:rFonts w:ascii="Arial" w:hAnsi="Arial" w:cs="Arial"/>
          <w:bCs/>
          <w:sz w:val="20"/>
          <w:szCs w:val="20"/>
        </w:rPr>
      </w:pPr>
      <w:r w:rsidRPr="00DE6D0C">
        <w:rPr>
          <w:rStyle w:val="FootnoteReference"/>
          <w:sz w:val="20"/>
          <w:szCs w:val="20"/>
        </w:rPr>
        <w:footnoteRef/>
      </w:r>
      <w:r w:rsidRPr="00DE6D0C">
        <w:rPr>
          <w:rFonts w:ascii="Arial" w:hAnsi="Arial" w:cs="Arial"/>
          <w:bCs/>
          <w:sz w:val="20"/>
          <w:szCs w:val="20"/>
        </w:rPr>
        <w:t xml:space="preserve">Dr. Tony </w:t>
      </w:r>
      <w:proofErr w:type="spellStart"/>
      <w:r w:rsidRPr="00DE6D0C">
        <w:rPr>
          <w:rFonts w:ascii="Arial" w:hAnsi="Arial" w:cs="Arial"/>
          <w:bCs/>
          <w:sz w:val="20"/>
          <w:szCs w:val="20"/>
        </w:rPr>
        <w:t>Ikechukwu</w:t>
      </w:r>
      <w:proofErr w:type="spellEnd"/>
      <w:r w:rsidRPr="00DE6D0C">
        <w:rPr>
          <w:rFonts w:ascii="Arial" w:hAnsi="Arial" w:cs="Arial"/>
          <w:bCs/>
          <w:sz w:val="20"/>
          <w:szCs w:val="20"/>
        </w:rPr>
        <w:t xml:space="preserve"> </w:t>
      </w:r>
      <w:proofErr w:type="spellStart"/>
      <w:r w:rsidRPr="00BC1E54">
        <w:rPr>
          <w:rFonts w:ascii="Arial" w:hAnsi="Arial" w:cs="Arial"/>
          <w:bCs/>
          <w:color w:val="FF0000"/>
          <w:sz w:val="20"/>
          <w:szCs w:val="20"/>
        </w:rPr>
        <w:t>Nwanji</w:t>
      </w:r>
      <w:proofErr w:type="spellEnd"/>
      <w:r w:rsidRPr="00BC1E54">
        <w:rPr>
          <w:rFonts w:ascii="Arial" w:hAnsi="Arial" w:cs="Arial"/>
          <w:bCs/>
          <w:color w:val="FF0000"/>
          <w:sz w:val="20"/>
          <w:szCs w:val="20"/>
        </w:rPr>
        <w:t>,</w:t>
      </w:r>
      <w:r w:rsidRPr="00DE6D0C">
        <w:rPr>
          <w:rFonts w:ascii="Arial" w:hAnsi="Arial" w:cs="Arial"/>
          <w:bCs/>
          <w:sz w:val="20"/>
          <w:szCs w:val="20"/>
        </w:rPr>
        <w:t xml:space="preserve"> Landmark University </w:t>
      </w:r>
      <w:proofErr w:type="spellStart"/>
      <w:r w:rsidRPr="00DE6D0C">
        <w:rPr>
          <w:rFonts w:ascii="Arial" w:hAnsi="Arial" w:cs="Arial"/>
          <w:bCs/>
          <w:sz w:val="20"/>
          <w:szCs w:val="20"/>
        </w:rPr>
        <w:t>Omu</w:t>
      </w:r>
      <w:proofErr w:type="spellEnd"/>
      <w:r w:rsidRPr="00DE6D0C">
        <w:rPr>
          <w:rFonts w:ascii="Arial" w:hAnsi="Arial" w:cs="Arial"/>
          <w:bCs/>
          <w:sz w:val="20"/>
          <w:szCs w:val="20"/>
        </w:rPr>
        <w:t xml:space="preserve"> </w:t>
      </w:r>
      <w:proofErr w:type="spellStart"/>
      <w:r w:rsidRPr="00DE6D0C">
        <w:rPr>
          <w:rFonts w:ascii="Arial" w:hAnsi="Arial" w:cs="Arial"/>
          <w:bCs/>
          <w:sz w:val="20"/>
          <w:szCs w:val="20"/>
        </w:rPr>
        <w:t>Aran</w:t>
      </w:r>
      <w:proofErr w:type="spellEnd"/>
      <w:r w:rsidRPr="00DE6D0C">
        <w:rPr>
          <w:rFonts w:ascii="Arial" w:hAnsi="Arial" w:cs="Arial"/>
          <w:bCs/>
          <w:sz w:val="20"/>
          <w:szCs w:val="20"/>
        </w:rPr>
        <w:t xml:space="preserve">, Nigeria </w:t>
      </w:r>
      <w:proofErr w:type="spellStart"/>
      <w:r w:rsidRPr="00DE6D0C">
        <w:rPr>
          <w:rFonts w:ascii="Arial" w:hAnsi="Arial" w:cs="Arial"/>
          <w:bCs/>
          <w:sz w:val="20"/>
          <w:szCs w:val="20"/>
        </w:rPr>
        <w:t>Email;</w:t>
      </w:r>
      <w:r w:rsidR="00AD328F" w:rsidRPr="00AD328F">
        <w:rPr>
          <w:rFonts w:ascii="Arial" w:hAnsi="Arial" w:cs="Arial"/>
          <w:bCs/>
          <w:color w:val="FF0000"/>
          <w:sz w:val="20"/>
          <w:szCs w:val="20"/>
        </w:rPr>
        <w:t>n</w:t>
      </w:r>
      <w:r w:rsidRPr="00AD328F">
        <w:rPr>
          <w:rFonts w:ascii="Arial" w:hAnsi="Arial" w:cs="Arial"/>
          <w:bCs/>
          <w:color w:val="FF0000"/>
          <w:sz w:val="20"/>
          <w:szCs w:val="20"/>
        </w:rPr>
        <w:t>wanji.tony@lmu.edu.ng</w:t>
      </w:r>
      <w:proofErr w:type="spellEnd"/>
    </w:p>
    <w:p w:rsidR="00C22662" w:rsidRPr="00DE6D0C" w:rsidRDefault="00C22662">
      <w:pPr>
        <w:pStyle w:val="FootnoteText"/>
      </w:pPr>
      <w:r w:rsidRPr="00DE6D0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3B" w:rsidRPr="005D213C" w:rsidRDefault="005D213C" w:rsidP="005D213C">
    <w:pPr>
      <w:tabs>
        <w:tab w:val="left" w:pos="0"/>
        <w:tab w:val="left" w:pos="7200"/>
      </w:tabs>
      <w:spacing w:after="0" w:line="240" w:lineRule="auto"/>
      <w:jc w:val="center"/>
      <w:rPr>
        <w:rFonts w:ascii="Arial" w:hAnsi="Arial" w:cs="Arial"/>
        <w:b/>
        <w:bCs/>
        <w:sz w:val="28"/>
        <w:szCs w:val="28"/>
      </w:rPr>
    </w:pPr>
    <w:proofErr w:type="spellStart"/>
    <w:r w:rsidRPr="005D213C">
      <w:rPr>
        <w:rFonts w:ascii="Arial" w:hAnsi="Arial" w:cs="Arial"/>
        <w:b/>
        <w:bCs/>
        <w:sz w:val="28"/>
        <w:szCs w:val="28"/>
      </w:rPr>
      <w:t>Ajayi</w:t>
    </w:r>
    <w:proofErr w:type="spellEnd"/>
    <w:r w:rsidRPr="005D213C">
      <w:rPr>
        <w:rFonts w:ascii="Arial" w:hAnsi="Arial" w:cs="Arial"/>
        <w:b/>
        <w:bCs/>
        <w:sz w:val="28"/>
        <w:szCs w:val="28"/>
      </w:rPr>
      <w:t xml:space="preserve">, </w:t>
    </w:r>
    <w:r w:rsidR="00AD328F" w:rsidRPr="00AD328F">
      <w:rPr>
        <w:rFonts w:ascii="Arial" w:hAnsi="Arial" w:cs="Arial"/>
        <w:b/>
        <w:bCs/>
        <w:sz w:val="28"/>
        <w:szCs w:val="28"/>
      </w:rPr>
      <w:t>O</w:t>
    </w:r>
    <w:r w:rsidR="00AD328F" w:rsidRPr="00AD328F">
      <w:rPr>
        <w:rFonts w:ascii="Arial" w:hAnsi="Arial" w:cs="Arial"/>
        <w:b/>
        <w:bCs/>
        <w:sz w:val="28"/>
        <w:szCs w:val="28"/>
        <w:lang w:val="yo-NG"/>
      </w:rPr>
      <w:t>l</w:t>
    </w:r>
    <w:proofErr w:type="spellStart"/>
    <w:r w:rsidR="00AD328F" w:rsidRPr="00AD328F">
      <w:rPr>
        <w:rFonts w:ascii="Arial" w:hAnsi="Arial" w:cs="Arial"/>
        <w:b/>
        <w:bCs/>
        <w:sz w:val="28"/>
        <w:szCs w:val="28"/>
      </w:rPr>
      <w:t>adipo</w:t>
    </w:r>
    <w:proofErr w:type="spellEnd"/>
    <w:r w:rsidRPr="005D213C">
      <w:rPr>
        <w:rFonts w:ascii="Arial" w:hAnsi="Arial" w:cs="Arial"/>
        <w:b/>
        <w:bCs/>
        <w:sz w:val="28"/>
        <w:szCs w:val="28"/>
      </w:rPr>
      <w:t xml:space="preserve">, </w:t>
    </w:r>
    <w:r w:rsidRPr="005D213C">
      <w:rPr>
        <w:rFonts w:ascii="Arial" w:hAnsi="Arial" w:cs="Arial"/>
        <w:b/>
        <w:bCs/>
        <w:sz w:val="28"/>
        <w:szCs w:val="28"/>
        <w:lang w:val="yo-NG"/>
      </w:rPr>
      <w:t>Ajayi, &amp;</w:t>
    </w:r>
    <w:r w:rsidRPr="005D213C">
      <w:rPr>
        <w:rFonts w:ascii="Arial" w:hAnsi="Arial" w:cs="Arial"/>
        <w:b/>
        <w:bCs/>
        <w:sz w:val="28"/>
        <w:szCs w:val="28"/>
      </w:rPr>
      <w:t xml:space="preserve"> </w:t>
    </w:r>
    <w:proofErr w:type="spellStart"/>
    <w:r w:rsidRPr="005D213C">
      <w:rPr>
        <w:rFonts w:ascii="Arial" w:hAnsi="Arial" w:cs="Arial"/>
        <w:b/>
        <w:bCs/>
        <w:sz w:val="28"/>
        <w:szCs w:val="28"/>
      </w:rPr>
      <w:t>Nwanji</w:t>
    </w:r>
    <w:proofErr w:type="spellEnd"/>
  </w:p>
  <w:p w:rsidR="00AA293B" w:rsidRDefault="00AA2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93B" w:rsidRDefault="00AA293B" w:rsidP="00AA293B">
    <w:pPr>
      <w:spacing w:after="0" w:line="240" w:lineRule="auto"/>
      <w:jc w:val="right"/>
      <w:rPr>
        <w:rFonts w:ascii="Times New Roman" w:hAnsi="Times New Roman"/>
        <w:i/>
        <w:sz w:val="28"/>
        <w:szCs w:val="28"/>
      </w:rPr>
    </w:pPr>
    <w:r>
      <w:rPr>
        <w:rFonts w:ascii="Times New Roman" w:hAnsi="Times New Roman"/>
        <w:i/>
        <w:sz w:val="28"/>
        <w:szCs w:val="28"/>
      </w:rPr>
      <w:t>International Review of Business Research Papers</w:t>
    </w:r>
  </w:p>
  <w:p w:rsidR="00AA293B" w:rsidRDefault="00AA293B" w:rsidP="00AA293B">
    <w:pPr>
      <w:pStyle w:val="Header"/>
      <w:jc w:val="right"/>
    </w:pPr>
    <w:r>
      <w:rPr>
        <w:rFonts w:ascii="Times New Roman" w:hAnsi="Times New Roman"/>
        <w:i/>
        <w:sz w:val="28"/>
        <w:szCs w:val="28"/>
      </w:rPr>
      <w:t>Vol. 13. No. 1. March 2017 Issue. Pp.</w:t>
    </w:r>
    <w:r w:rsidR="006A0A31">
      <w:rPr>
        <w:rFonts w:ascii="Times New Roman" w:hAnsi="Times New Roman"/>
        <w:i/>
        <w:sz w:val="28"/>
        <w:szCs w:val="28"/>
      </w:rPr>
      <w:t xml:space="preserve"> 141 – 150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0E8"/>
    <w:multiLevelType w:val="hybridMultilevel"/>
    <w:tmpl w:val="CE88C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75"/>
    <w:rsid w:val="00025C4E"/>
    <w:rsid w:val="00027EE5"/>
    <w:rsid w:val="00045ED5"/>
    <w:rsid w:val="00061F82"/>
    <w:rsid w:val="00085912"/>
    <w:rsid w:val="000A3885"/>
    <w:rsid w:val="000B4B48"/>
    <w:rsid w:val="001142A6"/>
    <w:rsid w:val="00147077"/>
    <w:rsid w:val="00172E5D"/>
    <w:rsid w:val="001844C8"/>
    <w:rsid w:val="00186092"/>
    <w:rsid w:val="001A735B"/>
    <w:rsid w:val="001B2F4A"/>
    <w:rsid w:val="001D4738"/>
    <w:rsid w:val="001F4A14"/>
    <w:rsid w:val="00203925"/>
    <w:rsid w:val="002120A4"/>
    <w:rsid w:val="002273ED"/>
    <w:rsid w:val="00275961"/>
    <w:rsid w:val="002953E0"/>
    <w:rsid w:val="002B3F53"/>
    <w:rsid w:val="002D33E2"/>
    <w:rsid w:val="0037313E"/>
    <w:rsid w:val="00373B9C"/>
    <w:rsid w:val="003B2747"/>
    <w:rsid w:val="003E39EA"/>
    <w:rsid w:val="003E4269"/>
    <w:rsid w:val="00410F54"/>
    <w:rsid w:val="004E2981"/>
    <w:rsid w:val="005245B6"/>
    <w:rsid w:val="00527295"/>
    <w:rsid w:val="00527D8A"/>
    <w:rsid w:val="005452B3"/>
    <w:rsid w:val="005521C2"/>
    <w:rsid w:val="00562973"/>
    <w:rsid w:val="00572A42"/>
    <w:rsid w:val="00592F84"/>
    <w:rsid w:val="005A2B6B"/>
    <w:rsid w:val="005D213C"/>
    <w:rsid w:val="005E2AD9"/>
    <w:rsid w:val="006004B0"/>
    <w:rsid w:val="006031BC"/>
    <w:rsid w:val="00663AE3"/>
    <w:rsid w:val="006930B7"/>
    <w:rsid w:val="006A0A31"/>
    <w:rsid w:val="006B573C"/>
    <w:rsid w:val="006C1E95"/>
    <w:rsid w:val="006E2AF4"/>
    <w:rsid w:val="00700661"/>
    <w:rsid w:val="00721C59"/>
    <w:rsid w:val="0074220F"/>
    <w:rsid w:val="007566CC"/>
    <w:rsid w:val="007616F1"/>
    <w:rsid w:val="00785C5E"/>
    <w:rsid w:val="00794917"/>
    <w:rsid w:val="007A2A0C"/>
    <w:rsid w:val="007B1B78"/>
    <w:rsid w:val="007C36F0"/>
    <w:rsid w:val="007C5058"/>
    <w:rsid w:val="00817886"/>
    <w:rsid w:val="00836578"/>
    <w:rsid w:val="00837FEB"/>
    <w:rsid w:val="0084147F"/>
    <w:rsid w:val="00861DB8"/>
    <w:rsid w:val="0088065B"/>
    <w:rsid w:val="0088674C"/>
    <w:rsid w:val="008A1D9B"/>
    <w:rsid w:val="008A447E"/>
    <w:rsid w:val="008E18B2"/>
    <w:rsid w:val="00913057"/>
    <w:rsid w:val="009244ED"/>
    <w:rsid w:val="00931E38"/>
    <w:rsid w:val="009360AD"/>
    <w:rsid w:val="0097252D"/>
    <w:rsid w:val="009C04EC"/>
    <w:rsid w:val="009D2A45"/>
    <w:rsid w:val="00A01653"/>
    <w:rsid w:val="00A15E1F"/>
    <w:rsid w:val="00A17DDF"/>
    <w:rsid w:val="00A23338"/>
    <w:rsid w:val="00A40186"/>
    <w:rsid w:val="00A40C26"/>
    <w:rsid w:val="00A52220"/>
    <w:rsid w:val="00A62256"/>
    <w:rsid w:val="00A83434"/>
    <w:rsid w:val="00AA293B"/>
    <w:rsid w:val="00AC6A5C"/>
    <w:rsid w:val="00AD328F"/>
    <w:rsid w:val="00AE785E"/>
    <w:rsid w:val="00B20CAF"/>
    <w:rsid w:val="00B87B7C"/>
    <w:rsid w:val="00BB4319"/>
    <w:rsid w:val="00BC1E54"/>
    <w:rsid w:val="00BD6143"/>
    <w:rsid w:val="00C144B2"/>
    <w:rsid w:val="00C22662"/>
    <w:rsid w:val="00C318E5"/>
    <w:rsid w:val="00C43217"/>
    <w:rsid w:val="00C61C3B"/>
    <w:rsid w:val="00CD1FD1"/>
    <w:rsid w:val="00CD3BE8"/>
    <w:rsid w:val="00CE1471"/>
    <w:rsid w:val="00CF34D5"/>
    <w:rsid w:val="00CF3956"/>
    <w:rsid w:val="00D25E2B"/>
    <w:rsid w:val="00D52D77"/>
    <w:rsid w:val="00D56F1F"/>
    <w:rsid w:val="00D604DC"/>
    <w:rsid w:val="00D640CA"/>
    <w:rsid w:val="00D73575"/>
    <w:rsid w:val="00D86CC2"/>
    <w:rsid w:val="00D90EEB"/>
    <w:rsid w:val="00D97768"/>
    <w:rsid w:val="00DB27A0"/>
    <w:rsid w:val="00DE6D0C"/>
    <w:rsid w:val="00DF2435"/>
    <w:rsid w:val="00DF31EA"/>
    <w:rsid w:val="00E0437D"/>
    <w:rsid w:val="00E1544C"/>
    <w:rsid w:val="00E40D5E"/>
    <w:rsid w:val="00E74E24"/>
    <w:rsid w:val="00E76B8D"/>
    <w:rsid w:val="00E867F8"/>
    <w:rsid w:val="00E90FB0"/>
    <w:rsid w:val="00EA33AE"/>
    <w:rsid w:val="00EC3CAE"/>
    <w:rsid w:val="00ED2291"/>
    <w:rsid w:val="00EF1642"/>
    <w:rsid w:val="00EF655C"/>
    <w:rsid w:val="00F00307"/>
    <w:rsid w:val="00F2710D"/>
    <w:rsid w:val="00F32912"/>
    <w:rsid w:val="00F4736B"/>
    <w:rsid w:val="00F60A94"/>
    <w:rsid w:val="00F81797"/>
    <w:rsid w:val="00F81A8D"/>
    <w:rsid w:val="00FD5923"/>
    <w:rsid w:val="00FF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D735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575"/>
    <w:pPr>
      <w:ind w:left="720"/>
      <w:contextualSpacing/>
    </w:pPr>
    <w:rPr>
      <w:rFonts w:ascii="Calibri" w:eastAsia="Calibri" w:hAnsi="Calibri" w:cs="Times New Roman"/>
    </w:rPr>
  </w:style>
  <w:style w:type="character" w:styleId="Hyperlink">
    <w:name w:val="Hyperlink"/>
    <w:basedOn w:val="DefaultParagraphFont"/>
    <w:uiPriority w:val="99"/>
    <w:unhideWhenUsed/>
    <w:rsid w:val="00D73575"/>
    <w:rPr>
      <w:color w:val="0000FF" w:themeColor="hyperlink"/>
      <w:u w:val="single"/>
    </w:rPr>
  </w:style>
  <w:style w:type="paragraph" w:styleId="BalloonText">
    <w:name w:val="Balloon Text"/>
    <w:basedOn w:val="Normal"/>
    <w:link w:val="BalloonTextChar"/>
    <w:uiPriority w:val="99"/>
    <w:semiHidden/>
    <w:unhideWhenUsed/>
    <w:rsid w:val="00D7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75"/>
    <w:rPr>
      <w:rFonts w:ascii="Tahoma" w:hAnsi="Tahoma" w:cs="Tahoma"/>
      <w:sz w:val="16"/>
      <w:szCs w:val="16"/>
    </w:rPr>
  </w:style>
  <w:style w:type="paragraph" w:styleId="Bibliography">
    <w:name w:val="Bibliography"/>
    <w:basedOn w:val="Normal"/>
    <w:next w:val="Normal"/>
    <w:uiPriority w:val="37"/>
    <w:unhideWhenUsed/>
    <w:rsid w:val="00931E38"/>
  </w:style>
  <w:style w:type="paragraph" w:styleId="PlainText">
    <w:name w:val="Plain Text"/>
    <w:basedOn w:val="Normal"/>
    <w:link w:val="PlainTextChar"/>
    <w:uiPriority w:val="99"/>
    <w:semiHidden/>
    <w:unhideWhenUsed/>
    <w:rsid w:val="00373B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373B9C"/>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1A7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35B"/>
    <w:rPr>
      <w:sz w:val="20"/>
      <w:szCs w:val="20"/>
    </w:rPr>
  </w:style>
  <w:style w:type="character" w:styleId="EndnoteReference">
    <w:name w:val="endnote reference"/>
    <w:basedOn w:val="DefaultParagraphFont"/>
    <w:uiPriority w:val="99"/>
    <w:semiHidden/>
    <w:unhideWhenUsed/>
    <w:rsid w:val="001A735B"/>
    <w:rPr>
      <w:vertAlign w:val="superscript"/>
    </w:rPr>
  </w:style>
  <w:style w:type="paragraph" w:styleId="FootnoteText">
    <w:name w:val="footnote text"/>
    <w:basedOn w:val="Normal"/>
    <w:link w:val="FootnoteTextChar"/>
    <w:uiPriority w:val="99"/>
    <w:semiHidden/>
    <w:unhideWhenUsed/>
    <w:rsid w:val="00A52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220"/>
    <w:rPr>
      <w:sz w:val="20"/>
      <w:szCs w:val="20"/>
    </w:rPr>
  </w:style>
  <w:style w:type="character" w:styleId="FootnoteReference">
    <w:name w:val="footnote reference"/>
    <w:basedOn w:val="DefaultParagraphFont"/>
    <w:uiPriority w:val="99"/>
    <w:semiHidden/>
    <w:unhideWhenUsed/>
    <w:rsid w:val="00A52220"/>
    <w:rPr>
      <w:vertAlign w:val="superscript"/>
    </w:rPr>
  </w:style>
  <w:style w:type="paragraph" w:styleId="Header">
    <w:name w:val="header"/>
    <w:basedOn w:val="Normal"/>
    <w:link w:val="HeaderChar"/>
    <w:uiPriority w:val="99"/>
    <w:unhideWhenUsed/>
    <w:rsid w:val="00AA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3B"/>
  </w:style>
  <w:style w:type="paragraph" w:styleId="Footer">
    <w:name w:val="footer"/>
    <w:basedOn w:val="Normal"/>
    <w:link w:val="FooterChar"/>
    <w:uiPriority w:val="99"/>
    <w:unhideWhenUsed/>
    <w:rsid w:val="00AA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5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D735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3575"/>
    <w:pPr>
      <w:ind w:left="720"/>
      <w:contextualSpacing/>
    </w:pPr>
    <w:rPr>
      <w:rFonts w:ascii="Calibri" w:eastAsia="Calibri" w:hAnsi="Calibri" w:cs="Times New Roman"/>
    </w:rPr>
  </w:style>
  <w:style w:type="character" w:styleId="Hyperlink">
    <w:name w:val="Hyperlink"/>
    <w:basedOn w:val="DefaultParagraphFont"/>
    <w:uiPriority w:val="99"/>
    <w:unhideWhenUsed/>
    <w:rsid w:val="00D73575"/>
    <w:rPr>
      <w:color w:val="0000FF" w:themeColor="hyperlink"/>
      <w:u w:val="single"/>
    </w:rPr>
  </w:style>
  <w:style w:type="paragraph" w:styleId="BalloonText">
    <w:name w:val="Balloon Text"/>
    <w:basedOn w:val="Normal"/>
    <w:link w:val="BalloonTextChar"/>
    <w:uiPriority w:val="99"/>
    <w:semiHidden/>
    <w:unhideWhenUsed/>
    <w:rsid w:val="00D7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75"/>
    <w:rPr>
      <w:rFonts w:ascii="Tahoma" w:hAnsi="Tahoma" w:cs="Tahoma"/>
      <w:sz w:val="16"/>
      <w:szCs w:val="16"/>
    </w:rPr>
  </w:style>
  <w:style w:type="paragraph" w:styleId="Bibliography">
    <w:name w:val="Bibliography"/>
    <w:basedOn w:val="Normal"/>
    <w:next w:val="Normal"/>
    <w:uiPriority w:val="37"/>
    <w:unhideWhenUsed/>
    <w:rsid w:val="00931E38"/>
  </w:style>
  <w:style w:type="paragraph" w:styleId="PlainText">
    <w:name w:val="Plain Text"/>
    <w:basedOn w:val="Normal"/>
    <w:link w:val="PlainTextChar"/>
    <w:uiPriority w:val="99"/>
    <w:semiHidden/>
    <w:unhideWhenUsed/>
    <w:rsid w:val="00373B9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373B9C"/>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1A7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735B"/>
    <w:rPr>
      <w:sz w:val="20"/>
      <w:szCs w:val="20"/>
    </w:rPr>
  </w:style>
  <w:style w:type="character" w:styleId="EndnoteReference">
    <w:name w:val="endnote reference"/>
    <w:basedOn w:val="DefaultParagraphFont"/>
    <w:uiPriority w:val="99"/>
    <w:semiHidden/>
    <w:unhideWhenUsed/>
    <w:rsid w:val="001A735B"/>
    <w:rPr>
      <w:vertAlign w:val="superscript"/>
    </w:rPr>
  </w:style>
  <w:style w:type="paragraph" w:styleId="FootnoteText">
    <w:name w:val="footnote text"/>
    <w:basedOn w:val="Normal"/>
    <w:link w:val="FootnoteTextChar"/>
    <w:uiPriority w:val="99"/>
    <w:semiHidden/>
    <w:unhideWhenUsed/>
    <w:rsid w:val="00A52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220"/>
    <w:rPr>
      <w:sz w:val="20"/>
      <w:szCs w:val="20"/>
    </w:rPr>
  </w:style>
  <w:style w:type="character" w:styleId="FootnoteReference">
    <w:name w:val="footnote reference"/>
    <w:basedOn w:val="DefaultParagraphFont"/>
    <w:uiPriority w:val="99"/>
    <w:semiHidden/>
    <w:unhideWhenUsed/>
    <w:rsid w:val="00A52220"/>
    <w:rPr>
      <w:vertAlign w:val="superscript"/>
    </w:rPr>
  </w:style>
  <w:style w:type="paragraph" w:styleId="Header">
    <w:name w:val="header"/>
    <w:basedOn w:val="Normal"/>
    <w:link w:val="HeaderChar"/>
    <w:uiPriority w:val="99"/>
    <w:unhideWhenUsed/>
    <w:rsid w:val="00AA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93B"/>
  </w:style>
  <w:style w:type="paragraph" w:styleId="Footer">
    <w:name w:val="footer"/>
    <w:basedOn w:val="Normal"/>
    <w:link w:val="FooterChar"/>
    <w:uiPriority w:val="99"/>
    <w:unhideWhenUsed/>
    <w:rsid w:val="00AA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50455">
      <w:bodyDiv w:val="1"/>
      <w:marLeft w:val="0"/>
      <w:marRight w:val="0"/>
      <w:marTop w:val="0"/>
      <w:marBottom w:val="0"/>
      <w:divBdr>
        <w:top w:val="none" w:sz="0" w:space="0" w:color="auto"/>
        <w:left w:val="none" w:sz="0" w:space="0" w:color="auto"/>
        <w:bottom w:val="none" w:sz="0" w:space="0" w:color="auto"/>
        <w:right w:val="none" w:sz="0" w:space="0" w:color="auto"/>
      </w:divBdr>
    </w:div>
    <w:div w:id="1378966906">
      <w:bodyDiv w:val="1"/>
      <w:marLeft w:val="0"/>
      <w:marRight w:val="0"/>
      <w:marTop w:val="0"/>
      <w:marBottom w:val="0"/>
      <w:divBdr>
        <w:top w:val="none" w:sz="0" w:space="0" w:color="auto"/>
        <w:left w:val="none" w:sz="0" w:space="0" w:color="auto"/>
        <w:bottom w:val="none" w:sz="0" w:space="0" w:color="auto"/>
        <w:right w:val="none" w:sz="0" w:space="0" w:color="auto"/>
      </w:divBdr>
    </w:div>
    <w:div w:id="1862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boblaw2006@yahoo.com" TargetMode="External"/><Relationship Id="rId2" Type="http://schemas.openxmlformats.org/officeDocument/2006/relationships/hyperlink" Target="mailto:oladipo.olufemi@lmu.edu.ng" TargetMode="External"/><Relationship Id="rId1" Type="http://schemas.openxmlformats.org/officeDocument/2006/relationships/hyperlink" Target="mailto:ajayi.abiodun@lmu.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RKh93</b:Tag>
    <b:SourceType>JournalArticle</b:SourceType>
    <b:Guid>{015C294D-41CE-46FD-B461-7C5B9DD76DE9}</b:Guid>
    <b:Author>
      <b:Author>
        <b:NameList>
          <b:Person>
            <b:Last>R</b:Last>
            <b:First>Khat</b:First>
            <b:Middle>K D</b:Middle>
          </b:Person>
          <b:Person>
            <b:Last>F</b:Last>
            <b:First>and</b:First>
            <b:Middle>Bathia</b:Middle>
          </b:Person>
        </b:NameList>
      </b:Author>
    </b:Author>
    <b:Title>Financial Interm ediation, Saving Mobilisation and Entrepreneurial Development, The African Expreience</b:Title>
    <b:JournalName>IMF Staff Paper</b:JournalName>
    <b:Year>1993</b:Year>
    <b:Volume>27</b:Volume>
    <b:RefOrder>6</b:RefOrder>
  </b:Source>
  <b:Source>
    <b:Tag>Agu</b:Tag>
    <b:SourceType>JournalArticle</b:SourceType>
    <b:Guid>{3CB79539-B188-480E-A72E-8D55705080E7}</b:Guid>
    <b:Author>
      <b:Author>
        <b:NameList>
          <b:Person>
            <b:Last>Agu</b:Last>
            <b:First>c.c.</b:First>
          </b:Person>
        </b:NameList>
      </b:Author>
    </b:Author>
    <b:Title>"interest rates policy in Nigeria and it attendant distortions". savings and development</b:Title>
    <b:Volume>XII</b:Volume>
    <b:RefOrder>7</b:RefOrder>
  </b:Source>
  <b:Source>
    <b:Tag>Alb06</b:Tag>
    <b:SourceType>JournalArticle</b:SourceType>
    <b:Guid>{F36DEF54-6165-4B9E-AF99-CB1D650EB572}</b:Guid>
    <b:Title>"Trends in the interest Rate-investment-GDP Growth Relationship"</b:Title>
    <b:JournalName>Romaniand Econ Forcast</b:JournalName>
    <b:Year>2006</b:Year>
    <b:Issue>3</b:Issue>
    <b:Author>
      <b:Author>
        <b:NameList>
          <b:Person>
            <b:Last>Albu</b:Last>
            <b:First>L.</b:First>
          </b:Person>
        </b:NameList>
      </b:Author>
    </b:Author>
    <b:RefOrder>8</b:RefOrder>
  </b:Source>
  <b:Source>
    <b:Tag>Bal89</b:Tag>
    <b:SourceType>JournalArticle</b:SourceType>
    <b:Guid>{F5A0C407-C1CD-415D-97C6-92B2C7C9AED2}</b:Guid>
    <b:Title>"The effect of interest rate on savings in developing countries"</b:Title>
    <b:Year>1989</b:Year>
    <b:Author>
      <b:Author>
        <b:NameList>
          <b:Person>
            <b:Last>Balassa</b:Last>
            <b:First>B.</b:First>
          </b:Person>
        </b:NameList>
      </b:Author>
    </b:Author>
    <b:JournalName>World Bank Working Paper</b:JournalName>
    <b:Issue>56</b:Issue>
    <b:RefOrder>2</b:RefOrder>
  </b:Source>
  <b:Source>
    <b:Tag>Fry95</b:Tag>
    <b:SourceType>Book</b:SourceType>
    <b:Guid>{B666CFD0-7131-4671-A49B-47358C5B3B76}</b:Guid>
    <b:Title>Money Interest and banking Economic Development</b:Title>
    <b:Year>1995</b:Year>
    <b:Author>
      <b:Author>
        <b:NameList>
          <b:Person>
            <b:Last>Fry</b:Last>
            <b:First>M.J.</b:First>
          </b:Person>
        </b:NameList>
      </b:Author>
    </b:Author>
    <b:City>Baltimore MD</b:City>
    <b:Publisher>John Hopkins University Press</b:Publisher>
    <b:Edition>2nd</b:Edition>
    <b:RefOrder>9</b:RefOrder>
  </b:Source>
  <b:Source>
    <b:Tag>Guj09</b:Tag>
    <b:SourceType>Book</b:SourceType>
    <b:Guid>{565EAF21-32FC-4EAC-8BBC-AD3761987A10}</b:Guid>
    <b:Author>
      <b:Author>
        <b:NameList>
          <b:Person>
            <b:Last>Gujarati</b:Last>
            <b:First>D.N.</b:First>
            <b:Middle>and Porter D.C.</b:Middle>
          </b:Person>
        </b:NameList>
      </b:Author>
    </b:Author>
    <b:Title>Basic Econometrics.</b:Title>
    <b:Year>2009</b:Year>
    <b:City>New York</b:City>
    <b:Publisher>Mcgraw-Hill/Irvin</b:Publisher>
    <b:RefOrder>10</b:RefOrder>
  </b:Source>
  <b:Source>
    <b:Tag>MNy07</b:Tag>
    <b:SourceType>JournalArticle</b:SourceType>
    <b:Guid>{B3EA7727-FA09-4C06-9081-DD00C959EDDE}</b:Guid>
    <b:Author>
      <b:Author>
        <b:NameList>
          <b:Person>
            <b:Last>Nyong</b:Last>
            <b:First>M.</b:First>
          </b:Person>
        </b:NameList>
      </b:Author>
    </b:Author>
    <b:Title>Government Size, Political freedom and economic growth in Nigeria, 1960-2000</b:Title>
    <b:JournalName>Journal of Third World Studies</b:JournalName>
    <b:Year>2007</b:Year>
    <b:Pages>87-93</b:Pages>
    <b:Volume>13</b:Volume>
    <b:RefOrder>11</b:RefOrder>
  </b:Source>
  <b:Source>
    <b:Tag>TMO09</b:Tag>
    <b:SourceType>JournalArticle</b:SourceType>
    <b:Guid>{46EFC4FD-28FB-4C15-847A-F8DA2141EEA5}</b:Guid>
    <b:Author>
      <b:Author>
        <b:NameList>
          <b:Person>
            <b:Last>Obamuyi</b:Last>
            <b:First>T.</b:First>
            <b:Middle>M.</b:Middle>
          </b:Person>
        </b:NameList>
      </b:Author>
    </b:Author>
    <b:Title>An Investigation of the Relationship between Interest Rates and Economic Growth in Nigeria, 1976 -2006</b:Title>
    <b:JournalName>Journal of Economic and International Finance</b:JournalName>
    <b:Year>2009</b:Year>
    <b:Pages>093-098</b:Pages>
    <b:Volume>1</b:Volume>
    <b:Issue>4</b:Issue>
    <b:RefOrder>4</b:RefOrder>
  </b:Source>
  <b:Source>
    <b:Tag>MAI04</b:Tag>
    <b:SourceType>Book</b:SourceType>
    <b:Guid>{6E7F114A-C5C1-4995-BE09-CA2141569684}</b:Guid>
    <b:Title>Applied Econometrics</b:Title>
    <b:Year>2004</b:Year>
    <b:Author>
      <b:Author>
        <b:NameList>
          <b:Person>
            <b:Last>Iyoha</b:Last>
            <b:First>M</b:First>
            <b:Middle>A</b:Middle>
          </b:Person>
        </b:NameList>
      </b:Author>
    </b:Author>
    <b:JournalName>Journal of Economics ans International Finance</b:JournalName>
    <b:Pages>93-98</b:Pages>
    <b:Volume>1</b:Volume>
    <b:Issue>4</b:Issue>
    <b:City>Benin City</b:City>
    <b:Publisher>Mindex Publishing</b:Publisher>
    <b:RefOrder>12</b:RefOrder>
  </b:Source>
  <b:Source>
    <b:Tag>Oko13</b:Tag>
    <b:SourceType>ArticleInAPeriodical</b:SourceType>
    <b:Guid>{7238344B-3F70-4941-96CA-01C8C8910E0B}</b:Guid>
    <b:Author>
      <b:Author>
        <b:NameList>
          <b:Person>
            <b:Last>Okonjo-Iweala</b:Last>
          </b:Person>
        </b:NameList>
      </b:Author>
    </b:Author>
    <b:Title>Is Interest Rate another Ghost Hunting Nigeria?</b:Title>
    <b:Year>2013</b:Year>
    <b:PeriodicalTitle>Vanguard Newspaper</b:PeriodicalTitle>
    <b:Month>September</b:Month>
    <b:Day>02</b:Day>
    <b:RefOrder>13</b:RefOrder>
  </b:Source>
  <b:Source>
    <b:Tag>Udo12</b:Tag>
    <b:SourceType>JournalArticle</b:SourceType>
    <b:Guid>{86369370-F002-4555-A9C0-443D06EFABBB}</b:Guid>
    <b:Title>The Effect of Interst rate Fluctuation on the Economic Growth of Nigeria 1970-2010</b:Title>
    <b:Year>2012</b:Year>
    <b:Author>
      <b:Author>
        <b:NameList>
          <b:Person>
            <b:Last>Udoka C. A.</b:Last>
            <b:First>Anyingang</b:First>
            <b:Middle>R. A.</b:Middle>
          </b:Person>
        </b:NameList>
      </b:Author>
    </b:Author>
    <b:JournalName>International Journal of Business and Social Science</b:JournalName>
    <b:Volume>3</b:Volume>
    <b:Issue>20</b:Issue>
    <b:Pages>295-302</b:Pages>
    <b:RefOrder>14</b:RefOrder>
  </b:Source>
  <b:Source>
    <b:Tag>MKe36</b:Tag>
    <b:SourceType>Book</b:SourceType>
    <b:Guid>{5D7C039F-D34E-4E4D-8C2C-CB7EAEC8E358}</b:Guid>
    <b:Author>
      <b:Author>
        <b:NameList>
          <b:Person>
            <b:Last>Keynes J.M.</b:Last>
          </b:Person>
        </b:NameList>
      </b:Author>
    </b:Author>
    <b:Title>The general Theory of Employment, Interest and Money</b:Title>
    <b:Year>1936</b:Year>
    <b:City>London</b:City>
    <b:Publisher>Macmillan</b:Publisher>
    <b:Edition>HET</b:Edition>
    <b:RefOrder>15</b:RefOrder>
  </b:Source>
  <b:Source>
    <b:Tag>Gio83</b:Tag>
    <b:SourceType>JournalArticle</b:SourceType>
    <b:Guid>{DAE67826-0315-479B-A836-96402E03ED23}</b:Guid>
    <b:Title>The interest rate elasticity of savings in developing countries: The existing evidence</b:Title>
    <b:Year>1983</b:Year>
    <b:Author>
      <b:Author>
        <b:NameList>
          <b:Person>
            <b:Last>Giovannini A.</b:Last>
          </b:Person>
        </b:NameList>
      </b:Author>
    </b:Author>
    <b:JournalName>World Development</b:JournalName>
    <b:Volume>11</b:Volume>
    <b:Issue>7</b:Issue>
    <b:RefOrder>16</b:RefOrder>
  </b:Source>
  <b:Source>
    <b:Tag>Abd13</b:Tag>
    <b:SourceType>JournalArticle</b:SourceType>
    <b:Guid>{CFEE231A-1472-477B-BADA-7EBC9169368B}</b:Guid>
    <b:Author>
      <b:Author>
        <b:NameList>
          <b:Person>
            <b:Last>Abdul Aziz F. S.</b:Last>
            <b:First>and</b:First>
          </b:Person>
          <b:Person>
            <b:Last>Marwan</b:Last>
            <b:First>M.</b:First>
            <b:Middle>A.</b:Middle>
          </b:Person>
        </b:NameList>
      </b:Author>
    </b:Author>
    <b:Title>The effect of interest rate, inflation rate, inflation rate, GDP, on Real Economic Growth Rate in Jordan.</b:Title>
    <b:JournalName>Asia Economic and Financial Reveiw</b:JournalName>
    <b:Year>2013</b:Year>
    <b:Volume>3</b:Volume>
    <b:Issue>3</b:Issue>
    <b:Pages>341-354</b:Pages>
    <b:RefOrder>17</b:RefOrder>
  </b:Source>
  <b:Source>
    <b:Tag>JCA97</b:Tag>
    <b:SourceType>Book</b:SourceType>
    <b:Guid>{9089F18A-4398-45B5-9C6B-A24CEDD2F866}</b:Guid>
    <b:Title>Monetary Economics: Theory, Policy and Institutions.</b:Title>
    <b:Year>1997</b:Year>
    <b:Author>
      <b:Author>
        <b:NameList>
          <b:Person>
            <b:Last>AnyanwuJ.C.</b:Last>
          </b:Person>
        </b:NameList>
      </b:Author>
    </b:Author>
    <b:City>Onitsha</b:City>
    <b:Publisher>Hybrid Publishers LTD,</b:Publisher>
    <b:RefOrder>18</b:RefOrder>
  </b:Source>
  <b:Source>
    <b:Tag>TMO11</b:Tag>
    <b:SourceType>JournalArticle</b:SourceType>
    <b:Guid>{C4125C20-6E95-423D-BFF3-8DA3EAEE9E3C}</b:Guid>
    <b:Author>
      <b:Author>
        <b:NameList>
          <b:Person>
            <b:Last>Obamuyi T. M.</b:Last>
            <b:First>and</b:First>
          </b:Person>
          <b:Person>
            <b:Last> Olorunfemi,</b:Last>
            <b:First> S</b:First>
          </b:Person>
        </b:NameList>
      </b:Author>
    </b:Author>
    <b:Title>Financial Reforms, Interest Rate Behaviourand Economic Growth in Nigeria</b:Title>
    <b:JournalName>Journal of Applied Finance and Banking</b:JournalName>
    <b:Year>2011</b:Year>
    <b:Volume>1</b:Volume>
    <b:Issue>4</b:Issue>
    <b:RefOrder>5</b:RefOrder>
  </b:Source>
  <b:Source>
    <b:Tag>Aki08</b:Tag>
    <b:SourceType>JournalArticle</b:SourceType>
    <b:Guid>{E11E991B-4333-41B8-A681-8D3BF451BC32}</b:Guid>
    <b:Author>
      <b:Author>
        <b:NameList>
          <b:Person>
            <b:Last>Akintoye</b:Last>
            <b:First>I.R.</b:First>
            <b:Middle>and</b:Middle>
          </b:Person>
          <b:Person>
            <b:Last> Olowolaju ,</b:Last>
            <b:First> P.S.</b:First>
          </b:Person>
        </b:NameList>
      </b:Author>
    </b:Author>
    <b:Title>Optimising Macroeconomic Investment Decisions: A Lesson from Nigeria</b:Title>
    <b:Year>2008</b:Year>
    <b:JournalName>European Journal of Scientific Research</b:JournalName>
    <b:Volume>22</b:Volume>
    <b:Issue>4</b:Issue>
    <b:Pages>469-479</b:Pages>
    <b:RefOrder>19</b:RefOrder>
  </b:Source>
  <b:Source>
    <b:Tag>Ola00</b:Tag>
    <b:SourceType>Report</b:SourceType>
    <b:Guid>{2D451D19-D76E-4E14-A699-DD9E07B37F9C}</b:Guid>
    <b:Title>Interest Rate Policy and the Promotion of Saving Investment and Resources Mobilisation in Nigeria</b:Title>
    <b:Year>2000</b:Year>
    <b:Author>
      <b:Author>
        <b:NameList>
          <b:Person>
            <b:Last>Olayiwola K.</b:Last>
            <b:First>and</b:First>
          </b:Person>
          <b:Person>
            <b:Last>Soyibo </b:Last>
            <b:First>A.</b:First>
          </b:Person>
        </b:NameList>
      </b:Author>
    </b:Author>
    <b:JournalName>Research Report 24, Development Policy centre </b:JournalName>
    <b:Publisher>Gevelopment Policy Centre</b:Publisher>
    <b:City>Ibadan</b:City>
    <b:RefOrder>20</b:RefOrder>
  </b:Source>
  <b:Source>
    <b:Tag>Placeholder1</b:Tag>
    <b:SourceType>JournalArticle</b:SourceType>
    <b:Guid>{F2A5E1B7-99FF-4960-A59C-91FA416DFAD1}</b:Guid>
    <b:Title>Saving Mobilization and Entrepreneurial Development, The African Expreience</b:Title>
    <b:Year>1983</b:Year>
    <b:Author>
      <b:Author>
        <b:NameList>
          <b:Person>
            <b:Last>Khat</b:Last>
            <b:First>D.</b:First>
            <b:Middle>R. and F. J. Bhathia</b:Middle>
          </b:Person>
        </b:NameList>
      </b:Author>
    </b:Author>
    <b:JournalName>IMF Staff Paper</b:JournalName>
    <b:Volume>27</b:Volume>
    <b:RefOrder>21</b:RefOrder>
  </b:Source>
  <b:Source>
    <b:Tag>Placeholder2</b:Tag>
    <b:SourceType>Report</b:SourceType>
    <b:Guid>{13C58C93-F320-4799-821D-F702387E02CE}</b:Guid>
    <b:Title>Interest Rate Policy and the Promotion of Saving Investment and Resources Mobilisation in Nigeria</b:Title>
    <b:Year>2000</b:Year>
    <b:Author>
      <b:Author>
        <b:NameList>
          <b:Person>
            <b:Last>Olayiwola K.</b:Last>
            <b:First>Soyibo</b:First>
            <b:Middle>A.</b:Middle>
          </b:Person>
        </b:NameList>
      </b:Author>
    </b:Author>
    <b:JournalName>Research Report 24, Development Policy centre </b:JournalName>
    <b:Publisher>Gevelopment Policy Centre </b:Publisher>
    <b:City>Ibadan</b:City>
    <b:RefOrder>22</b:RefOrder>
  </b:Source>
  <b:Source>
    <b:Tag>Kha83</b:Tag>
    <b:SourceType>Report</b:SourceType>
    <b:Guid>{5AAA7E3D-3FC8-47C5-AA2D-84E6FC62E6BB}</b:Guid>
    <b:Title>Saving Mobilization and Entrepreneurial Development, The African Expreience</b:Title>
    <b:Year>1983</b:Year>
    <b:Author>
      <b:Author>
        <b:NameList>
          <b:Person>
            <b:Last>Khat</b:Last>
            <b:First>D.</b:First>
            <b:Middle>R. and</b:Middle>
          </b:Person>
          <b:Person>
            <b:Last> Bhathia</b:Last>
            <b:First> F. J.</b:First>
          </b:Person>
        </b:NameList>
      </b:Author>
    </b:Author>
    <b:JournalName>IMF Staff Paper</b:JournalName>
    <b:Volume>27</b:Volume>
    <b:Publisher>IMF Staff Paper Vol 27</b:Publisher>
    <b:RefOrder>23</b:RefOrder>
  </b:Source>
  <b:Source>
    <b:Tag>Mwe91</b:Tag>
    <b:SourceType>JournalArticle</b:SourceType>
    <b:Guid>{ED4B5798-6625-4C42-8414-B11272195485}</b:Guid>
    <b:Title>The role of Interest Rate in Mobolisation of Private Savings In Africa: A Case Study of Kenya</b:Title>
    <b:Year>1991</b:Year>
    <b:Author>
      <b:Author>
        <b:NameList>
          <b:Person>
            <b:Last>Mwega</b:Last>
            <b:First>and</b:First>
          </b:Person>
          <b:Person>
            <b:Last>Ngola;</b:Last>
          </b:Person>
        </b:NameList>
      </b:Author>
    </b:Author>
    <b:JournalName>Ife Journal of Economics and Finance</b:JournalName>
    <b:Pages>1-14</b:Pages>
    <b:Volume>1</b:Volume>
    <b:Issue>1</b:Issue>
    <b:RefOrder>1</b:RefOrder>
  </b:Source>
  <b:Source>
    <b:Tag>Ere10</b:Tag>
    <b:SourceType>JournalArticle</b:SourceType>
    <b:Guid>{43E20F3F-C06C-4CF5-9AF8-BC3B16A6D198}</b:Guid>
    <b:Author>
      <b:Author>
        <b:NameList>
          <b:Person>
            <b:Last>Erega.</b:Last>
            <b:First>P.</b:First>
            <b:Middle>B.</b:Middle>
          </b:Person>
        </b:NameList>
      </b:Author>
    </b:Author>
    <b:Title>Interest Rate Variation and Investment in Nigeria</b:Title>
    <b:JournalName>International Business Management</b:JournalName>
    <b:Year>2010</b:Year>
    <b:Pages>41-464</b:Pages>
    <b:Volume>4</b:Volume>
    <b:Issue>2</b:Issue>
    <b:RefOrder>3</b:RefOrder>
  </b:Source>
  <b:Source>
    <b:Tag>Placeholder4</b:Tag>
    <b:SourceType>JournalArticle</b:SourceType>
    <b:Guid>{0786BC8D-B853-443C-B9DF-72E987114E81}</b:Guid>
    <b:Author>
      <b:Author>
        <b:NameList>
          <b:Person>
            <b:Last>Erega P. B.</b:Last>
          </b:Person>
        </b:NameList>
      </b:Author>
    </b:Author>
    <b:Title>Interest Rate Variation and Investment in Nigeria</b:Title>
    <b:JournalName>International Business Management</b:JournalName>
    <b:Year>2010</b:Year>
    <b:Pages>41-464</b:Pages>
    <b:Volume>4</b:Volume>
    <b:Issue>2</b:Issue>
    <b:RefOrder>24</b:RefOrder>
  </b:Source>
  <b:Source>
    <b:Tag>Placeholder3</b:Tag>
    <b:SourceType>JournalArticle</b:SourceType>
    <b:Guid>{4B83EAA7-245F-4385-A58A-D87BD4EDD2BB}</b:Guid>
    <b:Author>
      <b:Author>
        <b:NameList>
          <b:Person>
            <b:Last>Akintoye</b:Last>
            <b:First>I.R.</b:First>
            <b:Middle>and</b:Middle>
          </b:Person>
          <b:Person>
            <b:Last>Olowolaju</b:Last>
            <b:First>P.S.</b:First>
          </b:Person>
        </b:NameList>
      </b:Author>
    </b:Author>
    <b:Title>Optimising Macroeconomic Investment Decisions: A Lesson from Nigeria</b:Title>
    <b:Year>2008</b:Year>
    <b:RefOrder>25</b:RefOrder>
  </b:Source>
</b:Sources>
</file>

<file path=customXml/itemProps1.xml><?xml version="1.0" encoding="utf-8"?>
<ds:datastoreItem xmlns:ds="http://schemas.openxmlformats.org/officeDocument/2006/customXml" ds:itemID="{7CC7EA41-AD9D-43A7-924E-1C564515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Abiodun Ajayi</dc:creator>
  <cp:lastModifiedBy>Abiodun Ajayi</cp:lastModifiedBy>
  <cp:revision>2</cp:revision>
  <cp:lastPrinted>2017-03-29T12:20:00Z</cp:lastPrinted>
  <dcterms:created xsi:type="dcterms:W3CDTF">2017-12-17T16:30:00Z</dcterms:created>
  <dcterms:modified xsi:type="dcterms:W3CDTF">2017-12-17T16:30:00Z</dcterms:modified>
</cp:coreProperties>
</file>